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drawings/drawing3.xml" ContentType="application/vnd.openxmlformats-officedocument.drawingml.chartshapes+xml"/>
  <Override PartName="/word/charts/chart4.xml" ContentType="application/vnd.openxmlformats-officedocument.drawingml.chart+xml"/>
  <Override PartName="/word/drawings/drawing4.xml" ContentType="application/vnd.openxmlformats-officedocument.drawingml.chartshapes+xml"/>
  <Override PartName="/word/charts/chart5.xml" ContentType="application/vnd.openxmlformats-officedocument.drawingml.chart+xml"/>
  <Override PartName="/word/drawings/drawing5.xml" ContentType="application/vnd.openxmlformats-officedocument.drawingml.chartshapes+xml"/>
  <Override PartName="/word/charts/chart6.xml" ContentType="application/vnd.openxmlformats-officedocument.drawingml.chart+xml"/>
  <Override PartName="/word/drawings/drawing6.xml" ContentType="application/vnd.openxmlformats-officedocument.drawingml.chartshapes+xml"/>
  <Override PartName="/word/charts/chart7.xml" ContentType="application/vnd.openxmlformats-officedocument.drawingml.chart+xml"/>
  <Override PartName="/word/drawings/drawing7.xml" ContentType="application/vnd.openxmlformats-officedocument.drawingml.chartshapes+xml"/>
  <Override PartName="/word/charts/chart8.xml" ContentType="application/vnd.openxmlformats-officedocument.drawingml.chart+xml"/>
  <Override PartName="/word/drawings/drawing8.xml" ContentType="application/vnd.openxmlformats-officedocument.drawingml.chartshap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0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charts/chart34.xml" ContentType="application/vnd.openxmlformats-officedocument.drawingml.chart+xml"/>
  <Override PartName="/word/charts/chart35.xml" ContentType="application/vnd.openxmlformats-officedocument.drawingml.chart+xml"/>
  <Override PartName="/word/charts/chart36.xml" ContentType="application/vnd.openxmlformats-officedocument.drawingml.chart+xml"/>
  <Override PartName="/word/charts/chart37.xml" ContentType="application/vnd.openxmlformats-officedocument.drawingml.chart+xml"/>
  <Override PartName="/word/charts/chart38.xml" ContentType="application/vnd.openxmlformats-officedocument.drawingml.chart+xml"/>
  <Override PartName="/word/charts/chart39.xml" ContentType="application/vnd.openxmlformats-officedocument.drawingml.chart+xml"/>
  <Override PartName="/word/charts/chart40.xml" ContentType="application/vnd.openxmlformats-officedocument.drawingml.chart+xml"/>
  <Override PartName="/word/charts/chart41.xml" ContentType="application/vnd.openxmlformats-officedocument.drawingml.chart+xml"/>
  <Override PartName="/word/charts/chart42.xml" ContentType="application/vnd.openxmlformats-officedocument.drawingml.chart+xml"/>
  <Override PartName="/word/charts/chart43.xml" ContentType="application/vnd.openxmlformats-officedocument.drawingml.chart+xml"/>
  <Override PartName="/word/charts/chart44.xml" ContentType="application/vnd.openxmlformats-officedocument.drawingml.chart+xml"/>
  <Override PartName="/word/charts/chart45.xml" ContentType="application/vnd.openxmlformats-officedocument.drawingml.chart+xml"/>
  <Override PartName="/word/charts/chart46.xml" ContentType="application/vnd.openxmlformats-officedocument.drawingml.chart+xml"/>
  <Override PartName="/word/charts/chart47.xml" ContentType="application/vnd.openxmlformats-officedocument.drawingml.chart+xml"/>
  <Override PartName="/word/charts/chart48.xml" ContentType="application/vnd.openxmlformats-officedocument.drawingml.chart+xml"/>
  <Override PartName="/word/charts/chart49.xml" ContentType="application/vnd.openxmlformats-officedocument.drawingml.chart+xml"/>
  <Override PartName="/word/charts/chart50.xml" ContentType="application/vnd.openxmlformats-officedocument.drawingml.chart+xml"/>
  <Override PartName="/word/charts/chart51.xml" ContentType="application/vnd.openxmlformats-officedocument.drawingml.chart+xml"/>
  <Override PartName="/word/charts/chart52.xml" ContentType="application/vnd.openxmlformats-officedocument.drawingml.chart+xml"/>
  <Override PartName="/word/charts/chart53.xml" ContentType="application/vnd.openxmlformats-officedocument.drawingml.chart+xml"/>
  <Override PartName="/word/charts/chart54.xml" ContentType="application/vnd.openxmlformats-officedocument.drawingml.chart+xml"/>
  <Override PartName="/word/charts/chart55.xml" ContentType="application/vnd.openxmlformats-officedocument.drawingml.chart+xml"/>
  <Override PartName="/word/charts/chart56.xml" ContentType="application/vnd.openxmlformats-officedocument.drawingml.chart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E367E" w14:textId="77777777" w:rsidR="00436E47" w:rsidRDefault="00436E47" w:rsidP="004A1E63">
      <w:pPr>
        <w:pStyle w:val="Olivier1"/>
        <w:spacing w:after="0"/>
        <w:jc w:val="center"/>
        <w:rPr>
          <w:b/>
          <w:sz w:val="36"/>
          <w:szCs w:val="36"/>
        </w:rPr>
      </w:pPr>
      <w:bookmarkStart w:id="0" w:name="_GoBack"/>
      <w:bookmarkEnd w:id="0"/>
    </w:p>
    <w:p w14:paraId="2071B8B5" w14:textId="77777777" w:rsidR="00704A96" w:rsidRDefault="00704A96" w:rsidP="004A1E63">
      <w:pPr>
        <w:pStyle w:val="Olivier1"/>
        <w:spacing w:after="0"/>
        <w:jc w:val="center"/>
        <w:rPr>
          <w:b/>
          <w:sz w:val="36"/>
          <w:szCs w:val="36"/>
        </w:rPr>
      </w:pPr>
    </w:p>
    <w:p w14:paraId="0394FBB3" w14:textId="7A6EE972" w:rsidR="00D531B7" w:rsidRPr="00185849" w:rsidRDefault="00F43CCC" w:rsidP="0043682E">
      <w:pPr>
        <w:pStyle w:val="Olivier1"/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Overcoming</w:t>
      </w:r>
      <w:r w:rsidR="009A0847">
        <w:rPr>
          <w:b/>
          <w:sz w:val="36"/>
          <w:szCs w:val="36"/>
        </w:rPr>
        <w:t xml:space="preserve"> </w:t>
      </w:r>
      <w:r w:rsidR="004F45CC">
        <w:rPr>
          <w:b/>
          <w:sz w:val="36"/>
          <w:szCs w:val="36"/>
        </w:rPr>
        <w:t>Discount</w:t>
      </w:r>
      <w:r w:rsidR="009A0847">
        <w:rPr>
          <w:b/>
          <w:sz w:val="36"/>
          <w:szCs w:val="36"/>
        </w:rPr>
        <w:t xml:space="preserve"> </w:t>
      </w:r>
      <w:r w:rsidR="004F45CC">
        <w:rPr>
          <w:b/>
          <w:sz w:val="36"/>
          <w:szCs w:val="36"/>
        </w:rPr>
        <w:t>Window</w:t>
      </w:r>
      <w:r w:rsidR="009A0847">
        <w:rPr>
          <w:b/>
          <w:sz w:val="36"/>
          <w:szCs w:val="36"/>
        </w:rPr>
        <w:t xml:space="preserve"> </w:t>
      </w:r>
      <w:r w:rsidR="004F45CC">
        <w:rPr>
          <w:b/>
          <w:sz w:val="36"/>
          <w:szCs w:val="36"/>
        </w:rPr>
        <w:t>Stigma</w:t>
      </w:r>
    </w:p>
    <w:p w14:paraId="5F9AFC7C" w14:textId="2FBDEEAE" w:rsidR="00A568D8" w:rsidRPr="00185849" w:rsidRDefault="00A568D8" w:rsidP="0043682E">
      <w:pPr>
        <w:pStyle w:val="Olivier1"/>
        <w:jc w:val="center"/>
        <w:rPr>
          <w:b/>
          <w:sz w:val="36"/>
          <w:szCs w:val="36"/>
        </w:rPr>
      </w:pPr>
      <w:r w:rsidRPr="00185849">
        <w:rPr>
          <w:b/>
          <w:sz w:val="36"/>
          <w:szCs w:val="36"/>
        </w:rPr>
        <w:t>An</w:t>
      </w:r>
      <w:r w:rsidR="009A0847">
        <w:rPr>
          <w:b/>
          <w:sz w:val="36"/>
          <w:szCs w:val="36"/>
        </w:rPr>
        <w:t xml:space="preserve"> </w:t>
      </w:r>
      <w:r w:rsidR="00191088" w:rsidRPr="00185849">
        <w:rPr>
          <w:b/>
          <w:sz w:val="36"/>
          <w:szCs w:val="36"/>
        </w:rPr>
        <w:t>E</w:t>
      </w:r>
      <w:r w:rsidRPr="00185849">
        <w:rPr>
          <w:b/>
          <w:sz w:val="36"/>
          <w:szCs w:val="36"/>
        </w:rPr>
        <w:t>xperimental</w:t>
      </w:r>
      <w:r w:rsidR="009A0847">
        <w:rPr>
          <w:b/>
          <w:sz w:val="36"/>
          <w:szCs w:val="36"/>
        </w:rPr>
        <w:t xml:space="preserve"> </w:t>
      </w:r>
      <w:r w:rsidRPr="00185849">
        <w:rPr>
          <w:b/>
          <w:sz w:val="36"/>
          <w:szCs w:val="36"/>
        </w:rPr>
        <w:t>Investigation</w:t>
      </w:r>
    </w:p>
    <w:p w14:paraId="57D4FF9B" w14:textId="7690A13C" w:rsidR="00A568D8" w:rsidRDefault="00A568D8" w:rsidP="0043682E">
      <w:pPr>
        <w:pStyle w:val="Olivier1"/>
        <w:jc w:val="center"/>
      </w:pPr>
    </w:p>
    <w:p w14:paraId="0DA78578" w14:textId="364902B5" w:rsidR="00685BC4" w:rsidRDefault="003D5F31" w:rsidP="0043682E">
      <w:pPr>
        <w:pStyle w:val="Olivier1"/>
        <w:jc w:val="center"/>
      </w:pPr>
      <w:r>
        <w:t>Olivier</w:t>
      </w:r>
      <w:r w:rsidR="009A0847">
        <w:t xml:space="preserve"> </w:t>
      </w:r>
      <w:r>
        <w:t>Armantier</w:t>
      </w:r>
      <w:r>
        <w:tab/>
      </w:r>
      <w:r>
        <w:tab/>
        <w:t>and</w:t>
      </w:r>
      <w:r w:rsidR="0043682E">
        <w:tab/>
      </w:r>
      <w:r w:rsidR="00013622">
        <w:tab/>
      </w:r>
      <w:r w:rsidR="009A0847">
        <w:t xml:space="preserve">     </w:t>
      </w:r>
      <w:r w:rsidR="00685BC4">
        <w:t>Charles</w:t>
      </w:r>
      <w:r w:rsidR="009A0847">
        <w:t xml:space="preserve"> </w:t>
      </w:r>
      <w:r w:rsidR="00685BC4">
        <w:t>Holt</w:t>
      </w:r>
      <w:r w:rsidR="00210ED0" w:rsidRPr="00C71911">
        <w:rPr>
          <w:sz w:val="32"/>
          <w:szCs w:val="32"/>
          <w:vertAlign w:val="superscript"/>
        </w:rPr>
        <w:footnoteReference w:customMarkFollows="1" w:id="1"/>
        <w:sym w:font="Symbol" w:char="F02A"/>
      </w:r>
    </w:p>
    <w:p w14:paraId="78EFDC74" w14:textId="0EAFDC7A" w:rsidR="00597F91" w:rsidRDefault="00685BC4" w:rsidP="003D5F31">
      <w:pPr>
        <w:pStyle w:val="Olivier1"/>
        <w:ind w:left="-270"/>
        <w:jc w:val="center"/>
      </w:pPr>
      <w:r>
        <w:t>(Federal</w:t>
      </w:r>
      <w:r w:rsidR="009A0847">
        <w:t xml:space="preserve"> </w:t>
      </w:r>
      <w:r>
        <w:t>Reserve</w:t>
      </w:r>
      <w:r w:rsidR="009A0847">
        <w:t xml:space="preserve"> </w:t>
      </w:r>
      <w:r>
        <w:t>Bank</w:t>
      </w:r>
      <w:r w:rsidR="009A0847">
        <w:t xml:space="preserve"> </w:t>
      </w:r>
      <w:r>
        <w:t>of</w:t>
      </w:r>
      <w:r w:rsidR="009A0847">
        <w:t xml:space="preserve"> </w:t>
      </w:r>
      <w:r>
        <w:t>New</w:t>
      </w:r>
      <w:r w:rsidR="009A0847">
        <w:t xml:space="preserve"> </w:t>
      </w:r>
      <w:r>
        <w:t>York)</w:t>
      </w:r>
      <w:r w:rsidR="009A0847">
        <w:t xml:space="preserve">                       </w:t>
      </w:r>
      <w:r>
        <w:t>(University</w:t>
      </w:r>
      <w:r w:rsidR="009A0847">
        <w:t xml:space="preserve"> </w:t>
      </w:r>
      <w:r>
        <w:t>of</w:t>
      </w:r>
      <w:r w:rsidR="009A0847">
        <w:t xml:space="preserve"> </w:t>
      </w:r>
      <w:r>
        <w:t>Virginia)</w:t>
      </w:r>
    </w:p>
    <w:p w14:paraId="2BE8D13B" w14:textId="77777777" w:rsidR="004F45CC" w:rsidRDefault="004F45CC" w:rsidP="00185849">
      <w:pPr>
        <w:pStyle w:val="Olivier1"/>
      </w:pPr>
    </w:p>
    <w:p w14:paraId="6EFB98B1" w14:textId="77777777" w:rsidR="00E3136D" w:rsidRDefault="00E3136D" w:rsidP="00185849">
      <w:pPr>
        <w:pStyle w:val="Olivier1"/>
      </w:pPr>
    </w:p>
    <w:p w14:paraId="5034445D" w14:textId="17B47568" w:rsidR="0043682E" w:rsidRDefault="00E3136D" w:rsidP="00E3136D">
      <w:pPr>
        <w:pStyle w:val="Olivier1"/>
        <w:jc w:val="center"/>
        <w:rPr>
          <w:b/>
        </w:rPr>
      </w:pPr>
      <w:r w:rsidRPr="00E3136D">
        <w:rPr>
          <w:b/>
        </w:rPr>
        <w:t>Work in Progress. Please do not cite or circulate</w:t>
      </w:r>
      <w:r w:rsidR="00E80AC1">
        <w:rPr>
          <w:b/>
        </w:rPr>
        <w:t>.</w:t>
      </w:r>
    </w:p>
    <w:p w14:paraId="1E732B72" w14:textId="77777777" w:rsidR="00E3136D" w:rsidRDefault="00E3136D" w:rsidP="00E3136D">
      <w:pPr>
        <w:pStyle w:val="Olivier1"/>
        <w:jc w:val="center"/>
        <w:rPr>
          <w:b/>
        </w:rPr>
      </w:pPr>
    </w:p>
    <w:p w14:paraId="4356814A" w14:textId="77777777" w:rsidR="00E3136D" w:rsidRPr="00E3136D" w:rsidRDefault="00E3136D" w:rsidP="00E3136D">
      <w:pPr>
        <w:pStyle w:val="Olivier1"/>
        <w:jc w:val="center"/>
        <w:rPr>
          <w:b/>
        </w:rPr>
      </w:pPr>
    </w:p>
    <w:p w14:paraId="200DEF61" w14:textId="340C9680" w:rsidR="008651E4" w:rsidRPr="008651E4" w:rsidRDefault="008651E4" w:rsidP="008651E4">
      <w:pPr>
        <w:pStyle w:val="Olivier1"/>
        <w:ind w:right="810"/>
        <w:jc w:val="center"/>
        <w:rPr>
          <w:b/>
        </w:rPr>
      </w:pPr>
      <w:r w:rsidRPr="008651E4">
        <w:rPr>
          <w:b/>
        </w:rPr>
        <w:t>Abstract</w:t>
      </w:r>
    </w:p>
    <w:p w14:paraId="4FA5CDEF" w14:textId="355B37F2" w:rsidR="00924CA5" w:rsidRPr="0043682E" w:rsidRDefault="008651E4" w:rsidP="0043682E">
      <w:pPr>
        <w:pStyle w:val="Olivier1"/>
        <w:ind w:left="720" w:right="810"/>
      </w:pPr>
      <w:r w:rsidRPr="0043682E">
        <w:t>A</w:t>
      </w:r>
      <w:r w:rsidR="009A0847">
        <w:t xml:space="preserve"> </w:t>
      </w:r>
      <w:r w:rsidRPr="0043682E">
        <w:t>core</w:t>
      </w:r>
      <w:r w:rsidR="009A0847">
        <w:t xml:space="preserve"> </w:t>
      </w:r>
      <w:r w:rsidRPr="0043682E">
        <w:t>function</w:t>
      </w:r>
      <w:r w:rsidR="009A0847">
        <w:t xml:space="preserve"> </w:t>
      </w:r>
      <w:r w:rsidRPr="0043682E">
        <w:t>of</w:t>
      </w:r>
      <w:r w:rsidR="009A0847">
        <w:t xml:space="preserve"> </w:t>
      </w:r>
      <w:r w:rsidRPr="0043682E">
        <w:t>central</w:t>
      </w:r>
      <w:r w:rsidR="009A0847">
        <w:t xml:space="preserve"> </w:t>
      </w:r>
      <w:r w:rsidRPr="0043682E">
        <w:t>banks</w:t>
      </w:r>
      <w:r w:rsidR="009A0847">
        <w:t xml:space="preserve"> </w:t>
      </w:r>
      <w:r w:rsidRPr="0043682E">
        <w:t>is</w:t>
      </w:r>
      <w:r w:rsidR="009A0847">
        <w:t xml:space="preserve"> </w:t>
      </w:r>
      <w:r w:rsidRPr="0043682E">
        <w:t>to</w:t>
      </w:r>
      <w:r w:rsidR="009A0847">
        <w:t xml:space="preserve"> </w:t>
      </w:r>
      <w:r w:rsidRPr="0043682E">
        <w:t>act</w:t>
      </w:r>
      <w:r w:rsidR="009A0847">
        <w:t xml:space="preserve"> </w:t>
      </w:r>
      <w:r w:rsidRPr="0043682E">
        <w:t>as</w:t>
      </w:r>
      <w:r w:rsidR="009A0847">
        <w:t xml:space="preserve"> </w:t>
      </w:r>
      <w:r w:rsidRPr="0043682E">
        <w:t>a</w:t>
      </w:r>
      <w:r w:rsidR="009A0847">
        <w:t xml:space="preserve"> </w:t>
      </w:r>
      <w:r w:rsidRPr="0043682E">
        <w:t>“lender</w:t>
      </w:r>
      <w:r w:rsidR="009A0847">
        <w:t xml:space="preserve"> </w:t>
      </w:r>
      <w:r w:rsidRPr="0043682E">
        <w:t>of</w:t>
      </w:r>
      <w:r w:rsidR="009A0847">
        <w:t xml:space="preserve"> </w:t>
      </w:r>
      <w:r w:rsidRPr="0043682E">
        <w:t>last</w:t>
      </w:r>
      <w:r w:rsidR="009A0847">
        <w:t xml:space="preserve"> </w:t>
      </w:r>
      <w:r w:rsidRPr="0043682E">
        <w:t>resort”</w:t>
      </w:r>
      <w:r w:rsidR="009A0847">
        <w:t xml:space="preserve"> </w:t>
      </w:r>
      <w:r w:rsidRPr="0043682E">
        <w:t>to</w:t>
      </w:r>
      <w:r w:rsidR="009A0847">
        <w:t xml:space="preserve"> </w:t>
      </w:r>
      <w:r w:rsidRPr="0043682E">
        <w:t>the</w:t>
      </w:r>
      <w:r w:rsidR="009A0847">
        <w:t xml:space="preserve"> </w:t>
      </w:r>
      <w:r w:rsidRPr="0043682E">
        <w:t>banking</w:t>
      </w:r>
      <w:r w:rsidR="009A0847">
        <w:t xml:space="preserve"> </w:t>
      </w:r>
      <w:r w:rsidRPr="0043682E">
        <w:t>system.</w:t>
      </w:r>
      <w:r w:rsidR="009A0847">
        <w:t xml:space="preserve"> </w:t>
      </w:r>
      <w:r w:rsidRPr="0043682E">
        <w:t>In</w:t>
      </w:r>
      <w:r w:rsidR="009A0847">
        <w:t xml:space="preserve"> </w:t>
      </w:r>
      <w:r w:rsidR="0043682E" w:rsidRPr="0043682E">
        <w:t>the</w:t>
      </w:r>
      <w:r w:rsidR="009A0847">
        <w:t xml:space="preserve"> </w:t>
      </w:r>
      <w:r w:rsidR="0043682E" w:rsidRPr="0043682E">
        <w:t>U.S.,</w:t>
      </w:r>
      <w:r w:rsidR="009A0847">
        <w:t xml:space="preserve"> </w:t>
      </w:r>
      <w:r w:rsidR="0043682E" w:rsidRPr="0043682E">
        <w:t>the</w:t>
      </w:r>
      <w:r w:rsidR="009A0847">
        <w:t xml:space="preserve"> </w:t>
      </w:r>
      <w:r w:rsidR="0043682E" w:rsidRPr="0043682E">
        <w:t>Federal</w:t>
      </w:r>
      <w:r w:rsidR="009A0847">
        <w:t xml:space="preserve"> </w:t>
      </w:r>
      <w:r w:rsidR="0043682E" w:rsidRPr="0043682E">
        <w:t>Reserve</w:t>
      </w:r>
      <w:r w:rsidR="009A0847">
        <w:t xml:space="preserve"> </w:t>
      </w:r>
      <w:r w:rsidR="000A452C" w:rsidRPr="0043682E">
        <w:t>reli</w:t>
      </w:r>
      <w:r w:rsidRPr="0043682E">
        <w:t>es</w:t>
      </w:r>
      <w:r w:rsidR="009A0847">
        <w:t xml:space="preserve"> </w:t>
      </w:r>
      <w:r w:rsidR="000A452C" w:rsidRPr="0043682E">
        <w:t>on</w:t>
      </w:r>
      <w:r w:rsidR="009A0847">
        <w:t xml:space="preserve"> </w:t>
      </w:r>
      <w:r w:rsidRPr="0043682E">
        <w:t>the</w:t>
      </w:r>
      <w:r w:rsidR="009A0847">
        <w:t xml:space="preserve"> </w:t>
      </w:r>
      <w:r w:rsidRPr="0043682E">
        <w:t>Discount</w:t>
      </w:r>
      <w:r w:rsidR="009A0847">
        <w:t xml:space="preserve"> </w:t>
      </w:r>
      <w:r w:rsidRPr="0043682E">
        <w:t>Window</w:t>
      </w:r>
      <w:r w:rsidR="009A0847">
        <w:t xml:space="preserve"> </w:t>
      </w:r>
      <w:r w:rsidRPr="0043682E">
        <w:t>(DW)</w:t>
      </w:r>
      <w:r w:rsidR="009A0847">
        <w:t xml:space="preserve"> </w:t>
      </w:r>
      <w:r w:rsidRPr="0043682E">
        <w:t>to</w:t>
      </w:r>
      <w:r w:rsidR="009A0847">
        <w:t xml:space="preserve"> </w:t>
      </w:r>
      <w:r w:rsidRPr="0043682E">
        <w:t>fulfill</w:t>
      </w:r>
      <w:r w:rsidR="009A0847">
        <w:t xml:space="preserve"> </w:t>
      </w:r>
      <w:r w:rsidRPr="0043682E">
        <w:t>this</w:t>
      </w:r>
      <w:r w:rsidR="009A0847">
        <w:t xml:space="preserve"> </w:t>
      </w:r>
      <w:r w:rsidRPr="0043682E">
        <w:t>task.</w:t>
      </w:r>
      <w:r w:rsidR="009A0847">
        <w:t xml:space="preserve"> </w:t>
      </w:r>
      <w:r w:rsidR="00924CA5" w:rsidRPr="0043682E">
        <w:t>Historically,</w:t>
      </w:r>
      <w:r w:rsidR="009A0847">
        <w:t xml:space="preserve"> </w:t>
      </w:r>
      <w:r w:rsidR="00924CA5" w:rsidRPr="0043682E">
        <w:t>however,</w:t>
      </w:r>
      <w:r w:rsidR="009A0847">
        <w:t xml:space="preserve"> </w:t>
      </w:r>
      <w:r w:rsidR="00924CA5" w:rsidRPr="0043682E">
        <w:t>the</w:t>
      </w:r>
      <w:r w:rsidR="009A0847">
        <w:t xml:space="preserve"> </w:t>
      </w:r>
      <w:r w:rsidR="00924CA5" w:rsidRPr="0043682E">
        <w:t>DW</w:t>
      </w:r>
      <w:r w:rsidR="009A0847">
        <w:t xml:space="preserve"> </w:t>
      </w:r>
      <w:r w:rsidR="00924CA5" w:rsidRPr="0043682E">
        <w:t>has</w:t>
      </w:r>
      <w:r w:rsidR="009A0847">
        <w:t xml:space="preserve"> </w:t>
      </w:r>
      <w:r w:rsidR="00924CA5" w:rsidRPr="0043682E">
        <w:t>not</w:t>
      </w:r>
      <w:r w:rsidR="009A0847">
        <w:t xml:space="preserve"> </w:t>
      </w:r>
      <w:r w:rsidR="00924CA5" w:rsidRPr="0043682E">
        <w:t>been</w:t>
      </w:r>
      <w:r w:rsidR="009A0847">
        <w:t xml:space="preserve"> </w:t>
      </w:r>
      <w:r w:rsidR="00924CA5" w:rsidRPr="0043682E">
        <w:t>an</w:t>
      </w:r>
      <w:r w:rsidR="009A0847">
        <w:t xml:space="preserve"> </w:t>
      </w:r>
      <w:r w:rsidR="00924CA5" w:rsidRPr="0043682E">
        <w:t>effective</w:t>
      </w:r>
      <w:r w:rsidR="009A0847">
        <w:t xml:space="preserve"> </w:t>
      </w:r>
      <w:r w:rsidR="00924CA5" w:rsidRPr="0043682E">
        <w:t>liquidity</w:t>
      </w:r>
      <w:r w:rsidR="009A0847">
        <w:t xml:space="preserve"> </w:t>
      </w:r>
      <w:r w:rsidR="00924CA5" w:rsidRPr="0043682E">
        <w:t>backstop</w:t>
      </w:r>
      <w:r w:rsidR="009A0847">
        <w:t xml:space="preserve"> </w:t>
      </w:r>
      <w:r w:rsidR="00924CA5" w:rsidRPr="0043682E">
        <w:t>because</w:t>
      </w:r>
      <w:r w:rsidR="009A0847">
        <w:t xml:space="preserve"> </w:t>
      </w:r>
      <w:r w:rsidR="00924CA5" w:rsidRPr="0043682E">
        <w:t>its</w:t>
      </w:r>
      <w:r w:rsidR="009A0847">
        <w:t xml:space="preserve"> </w:t>
      </w:r>
      <w:r w:rsidR="00924CA5" w:rsidRPr="0043682E">
        <w:t>usage</w:t>
      </w:r>
      <w:r w:rsidR="009A0847">
        <w:t xml:space="preserve"> </w:t>
      </w:r>
      <w:r w:rsidR="00924CA5" w:rsidRPr="0043682E">
        <w:t>is</w:t>
      </w:r>
      <w:r w:rsidR="009A0847">
        <w:t xml:space="preserve"> </w:t>
      </w:r>
      <w:r w:rsidR="00924CA5" w:rsidRPr="0043682E">
        <w:t>stigmatized.</w:t>
      </w:r>
      <w:r w:rsidR="009A0847">
        <w:t xml:space="preserve"> </w:t>
      </w:r>
      <w:r w:rsidR="0043682E" w:rsidRPr="0043682E">
        <w:t>Although</w:t>
      </w:r>
      <w:r w:rsidR="009A0847">
        <w:t xml:space="preserve"> </w:t>
      </w:r>
      <w:r w:rsidR="0043682E" w:rsidRPr="0043682E">
        <w:t>DW</w:t>
      </w:r>
      <w:r w:rsidR="009A0847">
        <w:t xml:space="preserve"> </w:t>
      </w:r>
      <w:r w:rsidR="0043682E">
        <w:t>stigma</w:t>
      </w:r>
      <w:r w:rsidR="009A0847">
        <w:t xml:space="preserve"> </w:t>
      </w:r>
      <w:r w:rsidR="0043682E" w:rsidRPr="0043682E">
        <w:t>is</w:t>
      </w:r>
      <w:r w:rsidR="009A0847">
        <w:t xml:space="preserve"> </w:t>
      </w:r>
      <w:r w:rsidR="0043682E" w:rsidRPr="0043682E">
        <w:t>a</w:t>
      </w:r>
      <w:r w:rsidR="009A0847">
        <w:t xml:space="preserve"> </w:t>
      </w:r>
      <w:r w:rsidR="0043682E" w:rsidRPr="0043682E">
        <w:t>serious</w:t>
      </w:r>
      <w:r w:rsidR="009A0847">
        <w:t xml:space="preserve"> </w:t>
      </w:r>
      <w:r w:rsidR="0043682E" w:rsidRPr="0043682E">
        <w:t>impediment</w:t>
      </w:r>
      <w:r w:rsidR="009A0847">
        <w:t xml:space="preserve"> </w:t>
      </w:r>
      <w:r w:rsidR="0043682E" w:rsidRPr="0043682E">
        <w:t>to</w:t>
      </w:r>
      <w:r w:rsidR="009A0847">
        <w:t xml:space="preserve"> </w:t>
      </w:r>
      <w:r w:rsidR="0043682E" w:rsidRPr="0043682E">
        <w:t>the</w:t>
      </w:r>
      <w:r w:rsidR="009A0847">
        <w:t xml:space="preserve"> </w:t>
      </w:r>
      <w:r w:rsidR="0043682E" w:rsidRPr="0043682E">
        <w:t>mission</w:t>
      </w:r>
      <w:r w:rsidR="009A0847">
        <w:t xml:space="preserve"> </w:t>
      </w:r>
      <w:r w:rsidR="0043682E" w:rsidRPr="0043682E">
        <w:t>of</w:t>
      </w:r>
      <w:r w:rsidR="009A0847">
        <w:t xml:space="preserve"> </w:t>
      </w:r>
      <w:r w:rsidR="0043682E" w:rsidRPr="0043682E">
        <w:t>central</w:t>
      </w:r>
      <w:r w:rsidR="009A0847">
        <w:t xml:space="preserve"> </w:t>
      </w:r>
      <w:r w:rsidR="0043682E" w:rsidRPr="0043682E">
        <w:t>banks,</w:t>
      </w:r>
      <w:r w:rsidR="009A0847">
        <w:t xml:space="preserve"> </w:t>
      </w:r>
      <w:r w:rsidR="0043682E" w:rsidRPr="0043682E">
        <w:t>little</w:t>
      </w:r>
      <w:r w:rsidR="009A0847">
        <w:t xml:space="preserve"> </w:t>
      </w:r>
      <w:r w:rsidR="0043682E" w:rsidRPr="0043682E">
        <w:t>is</w:t>
      </w:r>
      <w:r w:rsidR="009A0847">
        <w:t xml:space="preserve"> </w:t>
      </w:r>
      <w:r w:rsidR="0043682E" w:rsidRPr="0043682E">
        <w:t>known</w:t>
      </w:r>
      <w:r w:rsidR="009A0847">
        <w:t xml:space="preserve"> </w:t>
      </w:r>
      <w:r w:rsidR="0043682E" w:rsidRPr="0043682E">
        <w:t>about</w:t>
      </w:r>
      <w:r w:rsidR="009A0847">
        <w:t xml:space="preserve"> </w:t>
      </w:r>
      <w:r w:rsidR="0043682E" w:rsidRPr="0043682E">
        <w:t>the</w:t>
      </w:r>
      <w:r w:rsidR="009A0847">
        <w:t xml:space="preserve"> </w:t>
      </w:r>
      <w:r w:rsidR="0043682E" w:rsidRPr="0043682E">
        <w:t>issue.</w:t>
      </w:r>
      <w:r w:rsidR="009A0847">
        <w:t xml:space="preserve"> </w:t>
      </w:r>
      <w:r w:rsidR="00B93E54">
        <w:t>This</w:t>
      </w:r>
      <w:r w:rsidR="009A0847">
        <w:t xml:space="preserve"> </w:t>
      </w:r>
      <w:r w:rsidR="00B93E54">
        <w:t>paper</w:t>
      </w:r>
      <w:r w:rsidR="009A0847">
        <w:t xml:space="preserve"> </w:t>
      </w:r>
      <w:r w:rsidR="00924CA5" w:rsidRPr="0043682E">
        <w:t>report</w:t>
      </w:r>
      <w:r w:rsidR="00B93E54">
        <w:t>s</w:t>
      </w:r>
      <w:r w:rsidR="009A0847">
        <w:t xml:space="preserve"> </w:t>
      </w:r>
      <w:r w:rsidR="00924CA5" w:rsidRPr="0043682E">
        <w:t>on</w:t>
      </w:r>
      <w:r w:rsidR="009A0847">
        <w:t xml:space="preserve"> </w:t>
      </w:r>
      <w:r w:rsidR="0043682E" w:rsidRPr="0043682E">
        <w:t>an</w:t>
      </w:r>
      <w:r w:rsidR="009A0847">
        <w:t xml:space="preserve"> </w:t>
      </w:r>
      <w:r w:rsidR="00924CA5" w:rsidRPr="0043682E">
        <w:t>experiment</w:t>
      </w:r>
      <w:r w:rsidR="009A0847">
        <w:t xml:space="preserve"> </w:t>
      </w:r>
      <w:r w:rsidR="0043682E" w:rsidRPr="0043682E">
        <w:t>aimed</w:t>
      </w:r>
      <w:r w:rsidR="009A0847">
        <w:t xml:space="preserve"> </w:t>
      </w:r>
      <w:r w:rsidR="0043682E" w:rsidRPr="0043682E">
        <w:t>at</w:t>
      </w:r>
      <w:r w:rsidR="009A0847">
        <w:t xml:space="preserve"> </w:t>
      </w:r>
      <w:r w:rsidR="0043682E" w:rsidRPr="0043682E">
        <w:t>testing</w:t>
      </w:r>
      <w:r w:rsidR="009A0847">
        <w:t xml:space="preserve"> </w:t>
      </w:r>
      <w:r w:rsidR="0043682E" w:rsidRPr="0043682E">
        <w:t>ways</w:t>
      </w:r>
      <w:r w:rsidR="009A0847">
        <w:t xml:space="preserve"> </w:t>
      </w:r>
      <w:r w:rsidR="0043682E" w:rsidRPr="0043682E">
        <w:t>to</w:t>
      </w:r>
      <w:r w:rsidR="009A0847">
        <w:t xml:space="preserve"> </w:t>
      </w:r>
      <w:r w:rsidR="0043682E" w:rsidRPr="0043682E">
        <w:t>overcome</w:t>
      </w:r>
      <w:r w:rsidR="009A0847">
        <w:t xml:space="preserve"> </w:t>
      </w:r>
      <w:r w:rsidR="0043682E" w:rsidRPr="0043682E">
        <w:t>DW</w:t>
      </w:r>
      <w:r w:rsidR="009A0847">
        <w:t xml:space="preserve"> </w:t>
      </w:r>
      <w:r w:rsidR="0043682E" w:rsidRPr="0043682E">
        <w:t>stigma.</w:t>
      </w:r>
      <w:r w:rsidR="009A0847">
        <w:t xml:space="preserve"> </w:t>
      </w:r>
      <w:r w:rsidR="00924CA5" w:rsidRPr="0043682E">
        <w:t>We</w:t>
      </w:r>
      <w:r w:rsidR="009A0847">
        <w:t xml:space="preserve"> </w:t>
      </w:r>
      <w:r w:rsidR="009878FD">
        <w:t>find</w:t>
      </w:r>
      <w:r w:rsidR="009A0847">
        <w:t xml:space="preserve"> </w:t>
      </w:r>
      <w:r w:rsidR="009878FD">
        <w:t>that,</w:t>
      </w:r>
      <w:r w:rsidR="009A0847">
        <w:t xml:space="preserve"> </w:t>
      </w:r>
      <w:r w:rsidR="009878FD">
        <w:t>whereas</w:t>
      </w:r>
      <w:r w:rsidR="009A0847">
        <w:t xml:space="preserve"> </w:t>
      </w:r>
      <w:r w:rsidR="00924CA5" w:rsidRPr="0043682E">
        <w:t>lower</w:t>
      </w:r>
      <w:r w:rsidR="0043682E" w:rsidRPr="0043682E">
        <w:t>ing</w:t>
      </w:r>
      <w:r w:rsidR="009A0847">
        <w:t xml:space="preserve"> </w:t>
      </w:r>
      <w:r w:rsidR="0043682E" w:rsidRPr="0043682E">
        <w:t>the</w:t>
      </w:r>
      <w:r w:rsidR="009A0847">
        <w:t xml:space="preserve"> </w:t>
      </w:r>
      <w:r w:rsidR="00924CA5" w:rsidRPr="0043682E">
        <w:t>DW</w:t>
      </w:r>
      <w:r w:rsidR="009A0847">
        <w:t xml:space="preserve"> </w:t>
      </w:r>
      <w:r w:rsidR="00924CA5" w:rsidRPr="0043682E">
        <w:t>cost</w:t>
      </w:r>
      <w:r w:rsidR="009A0847">
        <w:t xml:space="preserve"> </w:t>
      </w:r>
      <w:r w:rsidR="00924CA5" w:rsidRPr="0043682E">
        <w:t>and</w:t>
      </w:r>
      <w:r w:rsidR="009A0847">
        <w:t xml:space="preserve"> </w:t>
      </w:r>
      <w:r w:rsidR="00924CA5" w:rsidRPr="0043682E">
        <w:t>making</w:t>
      </w:r>
      <w:r w:rsidR="009A0847">
        <w:t xml:space="preserve"> </w:t>
      </w:r>
      <w:r w:rsidR="00924CA5" w:rsidRPr="0043682E">
        <w:t>DW</w:t>
      </w:r>
      <w:r w:rsidR="009A0847">
        <w:t xml:space="preserve"> </w:t>
      </w:r>
      <w:r w:rsidR="00924CA5" w:rsidRPr="0043682E">
        <w:t>b</w:t>
      </w:r>
      <w:r w:rsidR="0043682E" w:rsidRPr="0043682E">
        <w:t>orrowing</w:t>
      </w:r>
      <w:r w:rsidR="009A0847">
        <w:t xml:space="preserve"> </w:t>
      </w:r>
      <w:r w:rsidR="0043682E" w:rsidRPr="0043682E">
        <w:t>harder</w:t>
      </w:r>
      <w:r w:rsidR="009A0847">
        <w:t xml:space="preserve"> </w:t>
      </w:r>
      <w:r w:rsidR="0043682E" w:rsidRPr="0043682E">
        <w:t>to</w:t>
      </w:r>
      <w:r w:rsidR="009A0847">
        <w:t xml:space="preserve"> </w:t>
      </w:r>
      <w:r w:rsidR="0043682E" w:rsidRPr="0043682E">
        <w:t>detect</w:t>
      </w:r>
      <w:r w:rsidR="009A0847">
        <w:t xml:space="preserve"> </w:t>
      </w:r>
      <w:r w:rsidR="0043682E" w:rsidRPr="0043682E">
        <w:t>are</w:t>
      </w:r>
      <w:r w:rsidR="009A0847">
        <w:t xml:space="preserve"> </w:t>
      </w:r>
      <w:r w:rsidR="0043682E" w:rsidRPr="0043682E">
        <w:t>i</w:t>
      </w:r>
      <w:r w:rsidR="00924CA5" w:rsidRPr="0043682E">
        <w:t>ne</w:t>
      </w:r>
      <w:r w:rsidR="0043682E" w:rsidRPr="0043682E">
        <w:t>f</w:t>
      </w:r>
      <w:r w:rsidR="00924CA5" w:rsidRPr="0043682E">
        <w:t>fective,</w:t>
      </w:r>
      <w:r w:rsidR="009A0847">
        <w:t xml:space="preserve"> </w:t>
      </w:r>
      <w:r w:rsidR="00924CA5" w:rsidRPr="0043682E">
        <w:t>r</w:t>
      </w:r>
      <w:r w:rsidR="00C71911">
        <w:t>egular</w:t>
      </w:r>
      <w:r w:rsidR="009A0847">
        <w:t xml:space="preserve"> </w:t>
      </w:r>
      <w:r w:rsidR="00C345EE">
        <w:t>random</w:t>
      </w:r>
      <w:r w:rsidR="009A0847">
        <w:t xml:space="preserve"> </w:t>
      </w:r>
      <w:r w:rsidR="0043682E" w:rsidRPr="0043682E">
        <w:t>DW</w:t>
      </w:r>
      <w:r w:rsidR="009A0847">
        <w:t xml:space="preserve"> </w:t>
      </w:r>
      <w:r w:rsidR="0043682E" w:rsidRPr="0043682E">
        <w:t>borrowing</w:t>
      </w:r>
      <w:r w:rsidR="009A0847">
        <w:t xml:space="preserve"> </w:t>
      </w:r>
      <w:r w:rsidR="00C71911">
        <w:t>can</w:t>
      </w:r>
      <w:r w:rsidR="009A0847">
        <w:t xml:space="preserve"> </w:t>
      </w:r>
      <w:r w:rsidR="00924CA5" w:rsidRPr="0043682E">
        <w:t>mitigate</w:t>
      </w:r>
      <w:r w:rsidR="009A0847">
        <w:t xml:space="preserve"> </w:t>
      </w:r>
      <w:r w:rsidR="00924CA5" w:rsidRPr="0043682E">
        <w:t>stigma.</w:t>
      </w:r>
    </w:p>
    <w:p w14:paraId="002F7756" w14:textId="77777777" w:rsidR="0043682E" w:rsidRDefault="0043682E" w:rsidP="008651E4">
      <w:pPr>
        <w:pStyle w:val="Olivier1"/>
        <w:ind w:right="810"/>
      </w:pPr>
    </w:p>
    <w:p w14:paraId="43915982" w14:textId="77777777" w:rsidR="00D6148F" w:rsidRDefault="00D6148F" w:rsidP="008651E4">
      <w:pPr>
        <w:pStyle w:val="Olivier1"/>
        <w:ind w:right="810"/>
      </w:pPr>
    </w:p>
    <w:p w14:paraId="5F9638FF" w14:textId="77777777" w:rsidR="00013622" w:rsidRDefault="00013622" w:rsidP="008651E4">
      <w:pPr>
        <w:pStyle w:val="Olivier1"/>
        <w:ind w:right="810"/>
      </w:pPr>
    </w:p>
    <w:p w14:paraId="74721461" w14:textId="77777777" w:rsidR="00543075" w:rsidRPr="005B294A" w:rsidRDefault="00543075" w:rsidP="008651E4">
      <w:pPr>
        <w:pStyle w:val="Olivier1"/>
        <w:ind w:right="810"/>
      </w:pPr>
    </w:p>
    <w:p w14:paraId="06153595" w14:textId="155ECF1F" w:rsidR="00BD085F" w:rsidRDefault="00BD085F" w:rsidP="00E80AC1">
      <w:pPr>
        <w:pStyle w:val="Olivier1"/>
        <w:ind w:right="810"/>
      </w:pPr>
      <w:r>
        <w:t>Keywords:</w:t>
      </w:r>
      <w:r w:rsidR="009A0847">
        <w:t xml:space="preserve"> </w:t>
      </w:r>
      <w:r w:rsidR="00E80AC1">
        <w:t xml:space="preserve">Lender of last </w:t>
      </w:r>
      <w:r>
        <w:t>Resort,</w:t>
      </w:r>
      <w:r w:rsidR="009A0847">
        <w:t xml:space="preserve"> </w:t>
      </w:r>
      <w:r>
        <w:t>Central</w:t>
      </w:r>
      <w:r w:rsidR="009A0847">
        <w:t xml:space="preserve"> </w:t>
      </w:r>
      <w:r>
        <w:t>Bank,</w:t>
      </w:r>
      <w:r w:rsidR="009A0847">
        <w:t xml:space="preserve"> </w:t>
      </w:r>
      <w:r w:rsidR="003233AD">
        <w:t>Discount</w:t>
      </w:r>
      <w:r w:rsidR="009A0847">
        <w:t xml:space="preserve"> </w:t>
      </w:r>
      <w:r w:rsidR="003233AD">
        <w:t>Window,</w:t>
      </w:r>
      <w:r w:rsidR="009A0847">
        <w:t xml:space="preserve"> </w:t>
      </w:r>
      <w:r>
        <w:t>Stigma,</w:t>
      </w:r>
      <w:r w:rsidR="009A0847">
        <w:t xml:space="preserve"> </w:t>
      </w:r>
      <w:r w:rsidR="003233AD">
        <w:t>Laboratory</w:t>
      </w:r>
      <w:r w:rsidR="00E80AC1">
        <w:t xml:space="preserve"> </w:t>
      </w:r>
      <w:r>
        <w:t>Experiment</w:t>
      </w:r>
    </w:p>
    <w:p w14:paraId="6431B9A2" w14:textId="17626E21" w:rsidR="00BD085F" w:rsidRPr="000B3A00" w:rsidRDefault="00BD085F" w:rsidP="00E80AC1">
      <w:pPr>
        <w:pStyle w:val="Olivier1"/>
        <w:spacing w:after="0"/>
        <w:ind w:right="806"/>
      </w:pPr>
      <w:r>
        <w:t>JEL</w:t>
      </w:r>
      <w:r w:rsidR="009A0847">
        <w:t xml:space="preserve"> </w:t>
      </w:r>
      <w:r>
        <w:t>codes:</w:t>
      </w:r>
      <w:r w:rsidR="009A0847">
        <w:t xml:space="preserve"> </w:t>
      </w:r>
      <w:r>
        <w:t>E</w:t>
      </w:r>
      <w:r w:rsidRPr="00BD085F">
        <w:t>58</w:t>
      </w:r>
      <w:r w:rsidR="009A0847">
        <w:t xml:space="preserve"> </w:t>
      </w:r>
      <w:r>
        <w:t>G</w:t>
      </w:r>
      <w:r w:rsidRPr="00BD085F">
        <w:t>01</w:t>
      </w:r>
      <w:r w:rsidR="009A0847">
        <w:t xml:space="preserve"> </w:t>
      </w:r>
      <w:r>
        <w:t>C</w:t>
      </w:r>
      <w:r w:rsidRPr="00BD085F">
        <w:t>92</w:t>
      </w:r>
      <w:r w:rsidR="000B3A00">
        <w:br w:type="page"/>
      </w:r>
    </w:p>
    <w:p w14:paraId="6A560F5E" w14:textId="5E3029EC" w:rsidR="00013622" w:rsidRDefault="00013622" w:rsidP="00013622">
      <w:pPr>
        <w:pStyle w:val="Olivier1"/>
        <w:tabs>
          <w:tab w:val="left" w:pos="8820"/>
        </w:tabs>
        <w:ind w:left="720" w:right="720"/>
        <w:rPr>
          <w:color w:val="000000" w:themeColor="text1"/>
        </w:rPr>
      </w:pPr>
      <w:r w:rsidRPr="00F43CCC">
        <w:rPr>
          <w:color w:val="000000" w:themeColor="text1"/>
        </w:rPr>
        <w:lastRenderedPageBreak/>
        <w:t>“</w:t>
      </w:r>
      <w:r w:rsidRPr="00F43CCC">
        <w:rPr>
          <w:i/>
          <w:color w:val="000000" w:themeColor="text1"/>
        </w:rPr>
        <w:t>In</w:t>
      </w:r>
      <w:r w:rsidR="009A0847">
        <w:rPr>
          <w:i/>
          <w:color w:val="000000" w:themeColor="text1"/>
        </w:rPr>
        <w:t xml:space="preserve"> </w:t>
      </w:r>
      <w:r w:rsidRPr="00F43CCC">
        <w:rPr>
          <w:i/>
          <w:color w:val="000000" w:themeColor="text1"/>
        </w:rPr>
        <w:t>August</w:t>
      </w:r>
      <w:r w:rsidR="009A0847">
        <w:rPr>
          <w:i/>
          <w:color w:val="000000" w:themeColor="text1"/>
        </w:rPr>
        <w:t xml:space="preserve"> </w:t>
      </w:r>
      <w:r w:rsidRPr="00F43CCC">
        <w:rPr>
          <w:i/>
          <w:color w:val="000000" w:themeColor="text1"/>
        </w:rPr>
        <w:t>2007,…</w:t>
      </w:r>
      <w:r w:rsidR="009A0847">
        <w:rPr>
          <w:i/>
          <w:color w:val="000000" w:themeColor="text1"/>
        </w:rPr>
        <w:t xml:space="preserve"> </w:t>
      </w:r>
      <w:r w:rsidRPr="00F43CCC">
        <w:rPr>
          <w:i/>
          <w:color w:val="000000" w:themeColor="text1"/>
        </w:rPr>
        <w:t>banks</w:t>
      </w:r>
      <w:r w:rsidR="009A0847">
        <w:rPr>
          <w:i/>
          <w:color w:val="000000" w:themeColor="text1"/>
        </w:rPr>
        <w:t xml:space="preserve"> </w:t>
      </w:r>
      <w:r w:rsidRPr="00F43CCC">
        <w:rPr>
          <w:i/>
          <w:color w:val="000000" w:themeColor="text1"/>
        </w:rPr>
        <w:t>were</w:t>
      </w:r>
      <w:r w:rsidR="009A0847">
        <w:rPr>
          <w:i/>
          <w:color w:val="000000" w:themeColor="text1"/>
        </w:rPr>
        <w:t xml:space="preserve"> </w:t>
      </w:r>
      <w:r w:rsidRPr="00F43CCC">
        <w:rPr>
          <w:i/>
          <w:color w:val="000000" w:themeColor="text1"/>
        </w:rPr>
        <w:t>reluctant</w:t>
      </w:r>
      <w:r w:rsidR="009A0847">
        <w:rPr>
          <w:i/>
          <w:color w:val="000000" w:themeColor="text1"/>
        </w:rPr>
        <w:t xml:space="preserve"> </w:t>
      </w:r>
      <w:r w:rsidRPr="00F43CCC">
        <w:rPr>
          <w:i/>
          <w:color w:val="000000" w:themeColor="text1"/>
        </w:rPr>
        <w:t>to</w:t>
      </w:r>
      <w:r w:rsidR="009A0847">
        <w:rPr>
          <w:i/>
          <w:color w:val="000000" w:themeColor="text1"/>
        </w:rPr>
        <w:t xml:space="preserve"> </w:t>
      </w:r>
      <w:r w:rsidRPr="00F43CCC">
        <w:rPr>
          <w:i/>
          <w:color w:val="000000" w:themeColor="text1"/>
        </w:rPr>
        <w:t>rely</w:t>
      </w:r>
      <w:r w:rsidR="009A0847">
        <w:rPr>
          <w:i/>
          <w:color w:val="000000" w:themeColor="text1"/>
        </w:rPr>
        <w:t xml:space="preserve"> </w:t>
      </w:r>
      <w:r w:rsidRPr="00F43CCC">
        <w:rPr>
          <w:i/>
          <w:color w:val="000000" w:themeColor="text1"/>
        </w:rPr>
        <w:t>on</w:t>
      </w:r>
      <w:r w:rsidR="009A0847">
        <w:rPr>
          <w:i/>
          <w:color w:val="000000" w:themeColor="text1"/>
        </w:rPr>
        <w:t xml:space="preserve"> </w:t>
      </w:r>
      <w:r w:rsidRPr="00F43CCC">
        <w:rPr>
          <w:i/>
          <w:color w:val="000000" w:themeColor="text1"/>
        </w:rPr>
        <w:t>discount</w:t>
      </w:r>
      <w:r w:rsidR="009A0847">
        <w:rPr>
          <w:i/>
          <w:color w:val="000000" w:themeColor="text1"/>
        </w:rPr>
        <w:t xml:space="preserve"> </w:t>
      </w:r>
      <w:r w:rsidRPr="00F43CCC">
        <w:rPr>
          <w:i/>
          <w:color w:val="000000" w:themeColor="text1"/>
        </w:rPr>
        <w:t>window</w:t>
      </w:r>
      <w:r w:rsidR="009A0847">
        <w:rPr>
          <w:i/>
          <w:color w:val="000000" w:themeColor="text1"/>
        </w:rPr>
        <w:t xml:space="preserve"> </w:t>
      </w:r>
      <w:r w:rsidRPr="00F43CCC">
        <w:rPr>
          <w:i/>
          <w:color w:val="000000" w:themeColor="text1"/>
        </w:rPr>
        <w:t>credit</w:t>
      </w:r>
      <w:r w:rsidR="009A0847">
        <w:rPr>
          <w:i/>
          <w:color w:val="000000" w:themeColor="text1"/>
        </w:rPr>
        <w:t xml:space="preserve"> </w:t>
      </w:r>
      <w:r w:rsidRPr="00F43CCC">
        <w:rPr>
          <w:i/>
          <w:color w:val="000000" w:themeColor="text1"/>
        </w:rPr>
        <w:t>to</w:t>
      </w:r>
      <w:r w:rsidR="009A0847">
        <w:rPr>
          <w:i/>
          <w:color w:val="000000" w:themeColor="text1"/>
        </w:rPr>
        <w:t xml:space="preserve"> </w:t>
      </w:r>
      <w:r w:rsidRPr="00F43CCC">
        <w:rPr>
          <w:i/>
          <w:color w:val="000000" w:themeColor="text1"/>
        </w:rPr>
        <w:t>address</w:t>
      </w:r>
      <w:r w:rsidR="009A0847">
        <w:rPr>
          <w:i/>
          <w:color w:val="000000" w:themeColor="text1"/>
        </w:rPr>
        <w:t xml:space="preserve"> </w:t>
      </w:r>
      <w:r w:rsidRPr="00F43CCC">
        <w:rPr>
          <w:i/>
          <w:color w:val="000000" w:themeColor="text1"/>
        </w:rPr>
        <w:t>their</w:t>
      </w:r>
      <w:r w:rsidR="009A0847">
        <w:rPr>
          <w:i/>
          <w:color w:val="000000" w:themeColor="text1"/>
        </w:rPr>
        <w:t xml:space="preserve"> </w:t>
      </w:r>
      <w:r w:rsidRPr="00F43CCC">
        <w:rPr>
          <w:i/>
          <w:color w:val="000000" w:themeColor="text1"/>
        </w:rPr>
        <w:t>funding</w:t>
      </w:r>
      <w:r w:rsidR="009A0847">
        <w:rPr>
          <w:i/>
          <w:color w:val="000000" w:themeColor="text1"/>
        </w:rPr>
        <w:t xml:space="preserve"> </w:t>
      </w:r>
      <w:r w:rsidRPr="00F43CCC">
        <w:rPr>
          <w:i/>
          <w:color w:val="000000" w:themeColor="text1"/>
        </w:rPr>
        <w:t>needs.</w:t>
      </w:r>
      <w:r w:rsidR="009A0847">
        <w:rPr>
          <w:i/>
          <w:color w:val="000000" w:themeColor="text1"/>
        </w:rPr>
        <w:t xml:space="preserve"> </w:t>
      </w:r>
      <w:r w:rsidRPr="00F43CCC">
        <w:rPr>
          <w:i/>
          <w:color w:val="000000" w:themeColor="text1"/>
        </w:rPr>
        <w:t>The</w:t>
      </w:r>
      <w:r w:rsidR="009A0847">
        <w:rPr>
          <w:i/>
          <w:color w:val="000000" w:themeColor="text1"/>
        </w:rPr>
        <w:t xml:space="preserve"> </w:t>
      </w:r>
      <w:r w:rsidRPr="00F43CCC">
        <w:rPr>
          <w:i/>
          <w:color w:val="000000" w:themeColor="text1"/>
        </w:rPr>
        <w:t>banks'</w:t>
      </w:r>
      <w:r w:rsidR="009A0847">
        <w:rPr>
          <w:i/>
          <w:color w:val="000000" w:themeColor="text1"/>
        </w:rPr>
        <w:t xml:space="preserve"> </w:t>
      </w:r>
      <w:r w:rsidRPr="00F43CCC">
        <w:rPr>
          <w:i/>
          <w:color w:val="000000" w:themeColor="text1"/>
        </w:rPr>
        <w:t>concern</w:t>
      </w:r>
      <w:r w:rsidR="009A0847">
        <w:rPr>
          <w:i/>
          <w:color w:val="000000" w:themeColor="text1"/>
        </w:rPr>
        <w:t xml:space="preserve"> </w:t>
      </w:r>
      <w:r w:rsidRPr="00F43CCC">
        <w:rPr>
          <w:i/>
          <w:color w:val="000000" w:themeColor="text1"/>
        </w:rPr>
        <w:t>was</w:t>
      </w:r>
      <w:r w:rsidR="009A0847">
        <w:rPr>
          <w:i/>
          <w:color w:val="000000" w:themeColor="text1"/>
        </w:rPr>
        <w:t xml:space="preserve"> </w:t>
      </w:r>
      <w:r w:rsidRPr="00F43CCC">
        <w:rPr>
          <w:i/>
          <w:color w:val="000000" w:themeColor="text1"/>
        </w:rPr>
        <w:t>that</w:t>
      </w:r>
      <w:r w:rsidR="009A0847">
        <w:rPr>
          <w:i/>
          <w:color w:val="000000" w:themeColor="text1"/>
        </w:rPr>
        <w:t xml:space="preserve"> </w:t>
      </w:r>
      <w:r w:rsidRPr="00F43CCC">
        <w:rPr>
          <w:i/>
          <w:color w:val="000000" w:themeColor="text1"/>
        </w:rPr>
        <w:t>their</w:t>
      </w:r>
      <w:r w:rsidR="009A0847">
        <w:rPr>
          <w:i/>
          <w:color w:val="000000" w:themeColor="text1"/>
        </w:rPr>
        <w:t xml:space="preserve"> </w:t>
      </w:r>
      <w:r w:rsidRPr="00F43CCC">
        <w:rPr>
          <w:i/>
          <w:color w:val="000000" w:themeColor="text1"/>
        </w:rPr>
        <w:t>recourse</w:t>
      </w:r>
      <w:r w:rsidR="009A0847">
        <w:rPr>
          <w:i/>
          <w:color w:val="000000" w:themeColor="text1"/>
        </w:rPr>
        <w:t xml:space="preserve"> </w:t>
      </w:r>
      <w:r w:rsidRPr="00F43CCC">
        <w:rPr>
          <w:i/>
          <w:color w:val="000000" w:themeColor="text1"/>
        </w:rPr>
        <w:t>to</w:t>
      </w:r>
      <w:r w:rsidR="009A0847">
        <w:rPr>
          <w:i/>
          <w:color w:val="000000" w:themeColor="text1"/>
        </w:rPr>
        <w:t xml:space="preserve"> </w:t>
      </w:r>
      <w:r w:rsidRPr="00F43CCC">
        <w:rPr>
          <w:i/>
          <w:color w:val="000000" w:themeColor="text1"/>
        </w:rPr>
        <w:t>the</w:t>
      </w:r>
      <w:r w:rsidR="009A0847">
        <w:rPr>
          <w:i/>
          <w:color w:val="000000" w:themeColor="text1"/>
        </w:rPr>
        <w:t xml:space="preserve"> </w:t>
      </w:r>
      <w:r w:rsidRPr="00F43CCC">
        <w:rPr>
          <w:i/>
          <w:color w:val="000000" w:themeColor="text1"/>
        </w:rPr>
        <w:t>discount</w:t>
      </w:r>
      <w:r w:rsidR="009A0847">
        <w:rPr>
          <w:i/>
          <w:color w:val="000000" w:themeColor="text1"/>
        </w:rPr>
        <w:t xml:space="preserve"> </w:t>
      </w:r>
      <w:r w:rsidRPr="00F43CCC">
        <w:rPr>
          <w:i/>
          <w:color w:val="000000" w:themeColor="text1"/>
        </w:rPr>
        <w:t>window,</w:t>
      </w:r>
      <w:r w:rsidR="009A0847">
        <w:rPr>
          <w:i/>
          <w:color w:val="000000" w:themeColor="text1"/>
        </w:rPr>
        <w:t xml:space="preserve"> </w:t>
      </w:r>
      <w:r w:rsidRPr="00F43CCC">
        <w:rPr>
          <w:i/>
          <w:color w:val="000000" w:themeColor="text1"/>
        </w:rPr>
        <w:t>if</w:t>
      </w:r>
      <w:r w:rsidR="009A0847">
        <w:rPr>
          <w:i/>
          <w:color w:val="000000" w:themeColor="text1"/>
        </w:rPr>
        <w:t xml:space="preserve"> </w:t>
      </w:r>
      <w:r w:rsidRPr="00F43CCC">
        <w:rPr>
          <w:i/>
          <w:color w:val="000000" w:themeColor="text1"/>
        </w:rPr>
        <w:t>it</w:t>
      </w:r>
      <w:r w:rsidR="009A0847">
        <w:rPr>
          <w:i/>
          <w:color w:val="000000" w:themeColor="text1"/>
        </w:rPr>
        <w:t xml:space="preserve"> </w:t>
      </w:r>
      <w:r w:rsidRPr="00F43CCC">
        <w:rPr>
          <w:i/>
          <w:color w:val="000000" w:themeColor="text1"/>
        </w:rPr>
        <w:t>became</w:t>
      </w:r>
      <w:r w:rsidR="009A0847">
        <w:rPr>
          <w:i/>
          <w:color w:val="000000" w:themeColor="text1"/>
        </w:rPr>
        <w:t xml:space="preserve"> </w:t>
      </w:r>
      <w:r w:rsidRPr="00F43CCC">
        <w:rPr>
          <w:i/>
          <w:color w:val="000000" w:themeColor="text1"/>
        </w:rPr>
        <w:t>known,</w:t>
      </w:r>
      <w:r w:rsidR="009A0847">
        <w:rPr>
          <w:i/>
          <w:color w:val="000000" w:themeColor="text1"/>
        </w:rPr>
        <w:t xml:space="preserve"> </w:t>
      </w:r>
      <w:r w:rsidRPr="00F43CCC">
        <w:rPr>
          <w:i/>
          <w:color w:val="000000" w:themeColor="text1"/>
        </w:rPr>
        <w:t>might</w:t>
      </w:r>
      <w:r w:rsidR="009A0847">
        <w:rPr>
          <w:i/>
          <w:color w:val="000000" w:themeColor="text1"/>
        </w:rPr>
        <w:t xml:space="preserve"> </w:t>
      </w:r>
      <w:r w:rsidRPr="00F43CCC">
        <w:rPr>
          <w:i/>
          <w:color w:val="000000" w:themeColor="text1"/>
        </w:rPr>
        <w:t>lead</w:t>
      </w:r>
      <w:r w:rsidR="009A0847">
        <w:rPr>
          <w:i/>
          <w:color w:val="000000" w:themeColor="text1"/>
        </w:rPr>
        <w:t xml:space="preserve"> </w:t>
      </w:r>
      <w:r w:rsidRPr="00F43CCC">
        <w:rPr>
          <w:i/>
          <w:color w:val="000000" w:themeColor="text1"/>
        </w:rPr>
        <w:t>market</w:t>
      </w:r>
      <w:r w:rsidR="009A0847">
        <w:rPr>
          <w:i/>
          <w:color w:val="000000" w:themeColor="text1"/>
        </w:rPr>
        <w:t xml:space="preserve"> </w:t>
      </w:r>
      <w:r w:rsidRPr="00F43CCC">
        <w:rPr>
          <w:i/>
          <w:color w:val="000000" w:themeColor="text1"/>
        </w:rPr>
        <w:t>participants</w:t>
      </w:r>
      <w:r w:rsidR="009A0847">
        <w:rPr>
          <w:i/>
          <w:color w:val="000000" w:themeColor="text1"/>
        </w:rPr>
        <w:t xml:space="preserve"> </w:t>
      </w:r>
      <w:r w:rsidRPr="00F43CCC">
        <w:rPr>
          <w:i/>
          <w:color w:val="000000" w:themeColor="text1"/>
        </w:rPr>
        <w:t>to</w:t>
      </w:r>
      <w:r w:rsidR="009A0847">
        <w:rPr>
          <w:i/>
          <w:color w:val="000000" w:themeColor="text1"/>
        </w:rPr>
        <w:t xml:space="preserve"> </w:t>
      </w:r>
      <w:r w:rsidRPr="00F43CCC">
        <w:rPr>
          <w:i/>
          <w:color w:val="000000" w:themeColor="text1"/>
        </w:rPr>
        <w:t>infer</w:t>
      </w:r>
      <w:r w:rsidR="009A0847">
        <w:rPr>
          <w:i/>
          <w:color w:val="000000" w:themeColor="text1"/>
        </w:rPr>
        <w:t xml:space="preserve"> </w:t>
      </w:r>
      <w:r w:rsidRPr="00F43CCC">
        <w:rPr>
          <w:i/>
          <w:color w:val="000000" w:themeColor="text1"/>
        </w:rPr>
        <w:t>weakness</w:t>
      </w:r>
      <w:r w:rsidR="009A0847">
        <w:rPr>
          <w:i/>
          <w:color w:val="000000" w:themeColor="text1"/>
        </w:rPr>
        <w:t xml:space="preserve"> </w:t>
      </w:r>
      <w:r w:rsidRPr="00F43CCC">
        <w:rPr>
          <w:i/>
          <w:color w:val="000000" w:themeColor="text1"/>
        </w:rPr>
        <w:t>-the</w:t>
      </w:r>
      <w:r w:rsidR="009A0847">
        <w:rPr>
          <w:i/>
          <w:color w:val="000000" w:themeColor="text1"/>
        </w:rPr>
        <w:t xml:space="preserve"> </w:t>
      </w:r>
      <w:r w:rsidRPr="00F43CCC">
        <w:rPr>
          <w:i/>
          <w:color w:val="000000" w:themeColor="text1"/>
        </w:rPr>
        <w:t>so-called</w:t>
      </w:r>
      <w:r w:rsidR="009A0847">
        <w:rPr>
          <w:i/>
          <w:color w:val="000000" w:themeColor="text1"/>
        </w:rPr>
        <w:t xml:space="preserve"> </w:t>
      </w:r>
      <w:r w:rsidRPr="00F43CCC">
        <w:rPr>
          <w:i/>
          <w:color w:val="000000" w:themeColor="text1"/>
        </w:rPr>
        <w:t>stigma</w:t>
      </w:r>
      <w:r w:rsidR="009A0847">
        <w:rPr>
          <w:i/>
          <w:color w:val="000000" w:themeColor="text1"/>
        </w:rPr>
        <w:t xml:space="preserve"> </w:t>
      </w:r>
      <w:r w:rsidRPr="00F43CCC">
        <w:rPr>
          <w:i/>
          <w:color w:val="000000" w:themeColor="text1"/>
        </w:rPr>
        <w:t>problem.</w:t>
      </w:r>
      <w:r w:rsidR="00BB6C96">
        <w:rPr>
          <w:color w:val="000000" w:themeColor="text1"/>
        </w:rPr>
        <w:t>”</w:t>
      </w:r>
      <w:r w:rsidR="009A0847">
        <w:rPr>
          <w:color w:val="000000" w:themeColor="text1"/>
        </w:rPr>
        <w:t xml:space="preserve"> </w:t>
      </w:r>
      <w:r w:rsidR="00C71911">
        <w:rPr>
          <w:color w:val="000000" w:themeColor="text1"/>
        </w:rPr>
        <w:t>F</w:t>
      </w:r>
      <w:r>
        <w:rPr>
          <w:color w:val="000000" w:themeColor="text1"/>
        </w:rPr>
        <w:t>ed</w:t>
      </w:r>
      <w:r w:rsidR="009A0847">
        <w:rPr>
          <w:color w:val="000000" w:themeColor="text1"/>
        </w:rPr>
        <w:t xml:space="preserve"> </w:t>
      </w:r>
      <w:r w:rsidRPr="00F43CCC">
        <w:rPr>
          <w:color w:val="000000" w:themeColor="text1"/>
        </w:rPr>
        <w:t>Chairman</w:t>
      </w:r>
      <w:r w:rsidR="009A0847">
        <w:rPr>
          <w:color w:val="000000" w:themeColor="text1"/>
        </w:rPr>
        <w:t xml:space="preserve"> </w:t>
      </w:r>
      <w:r w:rsidRPr="00F43CCC">
        <w:rPr>
          <w:color w:val="000000" w:themeColor="text1"/>
        </w:rPr>
        <w:t>Bernanke</w:t>
      </w:r>
      <w:r w:rsidR="009A0847">
        <w:rPr>
          <w:color w:val="000000" w:themeColor="text1"/>
        </w:rPr>
        <w:t xml:space="preserve"> </w:t>
      </w:r>
      <w:r w:rsidRPr="00F43CCC">
        <w:rPr>
          <w:color w:val="000000" w:themeColor="text1"/>
        </w:rPr>
        <w:t>(2009)</w:t>
      </w:r>
      <w:r w:rsidR="009A0847">
        <w:rPr>
          <w:color w:val="000000" w:themeColor="text1"/>
        </w:rPr>
        <w:t xml:space="preserve"> </w:t>
      </w:r>
    </w:p>
    <w:p w14:paraId="0298714E" w14:textId="77777777" w:rsidR="00013622" w:rsidRPr="0043682E" w:rsidRDefault="00013622" w:rsidP="00013622">
      <w:pPr>
        <w:pStyle w:val="Olivier1"/>
        <w:tabs>
          <w:tab w:val="left" w:pos="8820"/>
        </w:tabs>
        <w:ind w:left="720" w:right="720"/>
        <w:rPr>
          <w:color w:val="000000" w:themeColor="text1"/>
          <w:sz w:val="4"/>
          <w:szCs w:val="4"/>
        </w:rPr>
      </w:pPr>
    </w:p>
    <w:p w14:paraId="05898114" w14:textId="1DE5AB69" w:rsidR="00CB5344" w:rsidRDefault="00013622" w:rsidP="00CB5344">
      <w:pPr>
        <w:pStyle w:val="Olivier1"/>
        <w:tabs>
          <w:tab w:val="left" w:pos="8820"/>
        </w:tabs>
        <w:ind w:left="720" w:right="720"/>
        <w:rPr>
          <w:color w:val="000000" w:themeColor="text1"/>
          <w:sz w:val="4"/>
          <w:szCs w:val="4"/>
        </w:rPr>
      </w:pPr>
      <w:r w:rsidRPr="00F43CCC">
        <w:rPr>
          <w:color w:val="000000" w:themeColor="text1"/>
        </w:rPr>
        <w:t>“</w:t>
      </w:r>
      <w:r w:rsidRPr="00F43CCC">
        <w:rPr>
          <w:i/>
          <w:color w:val="000000" w:themeColor="text1"/>
        </w:rPr>
        <w:t>The</w:t>
      </w:r>
      <w:r w:rsidR="009A0847">
        <w:rPr>
          <w:i/>
          <w:color w:val="000000" w:themeColor="text1"/>
        </w:rPr>
        <w:t xml:space="preserve"> </w:t>
      </w:r>
      <w:r w:rsidRPr="00F43CCC">
        <w:rPr>
          <w:i/>
          <w:color w:val="000000" w:themeColor="text1"/>
        </w:rPr>
        <w:t>discount</w:t>
      </w:r>
      <w:r w:rsidR="009A0847">
        <w:rPr>
          <w:i/>
          <w:color w:val="000000" w:themeColor="text1"/>
        </w:rPr>
        <w:t xml:space="preserve"> </w:t>
      </w:r>
      <w:r w:rsidRPr="00F43CCC">
        <w:rPr>
          <w:i/>
          <w:color w:val="000000" w:themeColor="text1"/>
        </w:rPr>
        <w:t>window</w:t>
      </w:r>
      <w:r w:rsidR="009A0847">
        <w:rPr>
          <w:i/>
          <w:color w:val="000000" w:themeColor="text1"/>
        </w:rPr>
        <w:t xml:space="preserve"> </w:t>
      </w:r>
      <w:r w:rsidRPr="00F43CCC">
        <w:rPr>
          <w:i/>
          <w:color w:val="000000" w:themeColor="text1"/>
        </w:rPr>
        <w:t>is</w:t>
      </w:r>
      <w:r w:rsidR="009A0847">
        <w:rPr>
          <w:i/>
          <w:color w:val="000000" w:themeColor="text1"/>
        </w:rPr>
        <w:t xml:space="preserve"> </w:t>
      </w:r>
      <w:r w:rsidRPr="00F43CCC">
        <w:rPr>
          <w:i/>
          <w:color w:val="000000" w:themeColor="text1"/>
        </w:rPr>
        <w:t>the</w:t>
      </w:r>
      <w:r w:rsidR="009A0847">
        <w:rPr>
          <w:i/>
          <w:color w:val="000000" w:themeColor="text1"/>
        </w:rPr>
        <w:t xml:space="preserve"> </w:t>
      </w:r>
      <w:r w:rsidRPr="00F43CCC">
        <w:rPr>
          <w:i/>
          <w:color w:val="000000" w:themeColor="text1"/>
        </w:rPr>
        <w:t>Fed’s</w:t>
      </w:r>
      <w:r w:rsidR="009A0847">
        <w:rPr>
          <w:i/>
          <w:color w:val="000000" w:themeColor="text1"/>
        </w:rPr>
        <w:t xml:space="preserve"> </w:t>
      </w:r>
      <w:r w:rsidRPr="00F43CCC">
        <w:rPr>
          <w:i/>
          <w:color w:val="000000" w:themeColor="text1"/>
        </w:rPr>
        <w:t>main</w:t>
      </w:r>
      <w:r w:rsidR="009A0847">
        <w:rPr>
          <w:i/>
          <w:color w:val="000000" w:themeColor="text1"/>
        </w:rPr>
        <w:t xml:space="preserve"> </w:t>
      </w:r>
      <w:r w:rsidRPr="00F43CCC">
        <w:rPr>
          <w:i/>
          <w:color w:val="000000" w:themeColor="text1"/>
        </w:rPr>
        <w:t>tool</w:t>
      </w:r>
      <w:r w:rsidR="009A0847">
        <w:rPr>
          <w:i/>
          <w:color w:val="000000" w:themeColor="text1"/>
        </w:rPr>
        <w:t xml:space="preserve"> </w:t>
      </w:r>
      <w:r w:rsidRPr="00F43CCC">
        <w:rPr>
          <w:i/>
          <w:color w:val="000000" w:themeColor="text1"/>
        </w:rPr>
        <w:t>for</w:t>
      </w:r>
      <w:r w:rsidR="009A0847">
        <w:rPr>
          <w:i/>
          <w:color w:val="000000" w:themeColor="text1"/>
        </w:rPr>
        <w:t xml:space="preserve"> </w:t>
      </w:r>
      <w:r w:rsidRPr="00F43CCC">
        <w:rPr>
          <w:i/>
          <w:color w:val="000000" w:themeColor="text1"/>
        </w:rPr>
        <w:t>distributing</w:t>
      </w:r>
      <w:r w:rsidR="009A0847">
        <w:rPr>
          <w:i/>
          <w:color w:val="000000" w:themeColor="text1"/>
        </w:rPr>
        <w:t xml:space="preserve"> </w:t>
      </w:r>
      <w:r w:rsidRPr="00F43CCC">
        <w:rPr>
          <w:i/>
          <w:color w:val="000000" w:themeColor="text1"/>
        </w:rPr>
        <w:t>money</w:t>
      </w:r>
      <w:r w:rsidR="009A0847">
        <w:rPr>
          <w:i/>
          <w:color w:val="000000" w:themeColor="text1"/>
        </w:rPr>
        <w:t xml:space="preserve"> </w:t>
      </w:r>
      <w:r w:rsidRPr="00F43CCC">
        <w:rPr>
          <w:i/>
          <w:color w:val="000000" w:themeColor="text1"/>
        </w:rPr>
        <w:t>to</w:t>
      </w:r>
      <w:r w:rsidR="009A0847">
        <w:rPr>
          <w:i/>
          <w:color w:val="000000" w:themeColor="text1"/>
        </w:rPr>
        <w:t xml:space="preserve"> </w:t>
      </w:r>
      <w:r w:rsidRPr="00F43CCC">
        <w:rPr>
          <w:i/>
          <w:color w:val="000000" w:themeColor="text1"/>
        </w:rPr>
        <w:t>the</w:t>
      </w:r>
      <w:r w:rsidR="009A0847">
        <w:rPr>
          <w:i/>
          <w:color w:val="000000" w:themeColor="text1"/>
        </w:rPr>
        <w:t xml:space="preserve"> </w:t>
      </w:r>
      <w:r w:rsidRPr="00F43CCC">
        <w:rPr>
          <w:i/>
          <w:color w:val="000000" w:themeColor="text1"/>
        </w:rPr>
        <w:t>banking</w:t>
      </w:r>
      <w:r w:rsidR="009A0847">
        <w:rPr>
          <w:i/>
          <w:color w:val="000000" w:themeColor="text1"/>
        </w:rPr>
        <w:t xml:space="preserve"> </w:t>
      </w:r>
      <w:r w:rsidRPr="00F43CCC">
        <w:rPr>
          <w:i/>
          <w:color w:val="000000" w:themeColor="text1"/>
        </w:rPr>
        <w:t>system</w:t>
      </w:r>
      <w:r w:rsidR="009A0847">
        <w:rPr>
          <w:i/>
          <w:color w:val="000000" w:themeColor="text1"/>
        </w:rPr>
        <w:t xml:space="preserve"> </w:t>
      </w:r>
      <w:r w:rsidRPr="00F43CCC">
        <w:rPr>
          <w:i/>
          <w:color w:val="000000" w:themeColor="text1"/>
        </w:rPr>
        <w:t>in</w:t>
      </w:r>
      <w:r w:rsidR="009A0847">
        <w:rPr>
          <w:i/>
          <w:color w:val="000000" w:themeColor="text1"/>
        </w:rPr>
        <w:t xml:space="preserve"> </w:t>
      </w:r>
      <w:r w:rsidRPr="00F43CCC">
        <w:rPr>
          <w:i/>
          <w:color w:val="000000" w:themeColor="text1"/>
        </w:rPr>
        <w:t>emergencies</w:t>
      </w:r>
      <w:r w:rsidR="009A0847">
        <w:rPr>
          <w:i/>
          <w:color w:val="000000" w:themeColor="text1"/>
        </w:rPr>
        <w:t xml:space="preserve"> </w:t>
      </w:r>
      <w:r w:rsidRPr="00F43CCC">
        <w:rPr>
          <w:i/>
          <w:color w:val="000000" w:themeColor="text1"/>
        </w:rPr>
        <w:t>when</w:t>
      </w:r>
      <w:r w:rsidR="009A0847">
        <w:rPr>
          <w:i/>
          <w:color w:val="000000" w:themeColor="text1"/>
        </w:rPr>
        <w:t xml:space="preserve"> </w:t>
      </w:r>
      <w:r w:rsidRPr="00F43CCC">
        <w:rPr>
          <w:i/>
          <w:color w:val="000000" w:themeColor="text1"/>
        </w:rPr>
        <w:t>bank-to-bank</w:t>
      </w:r>
      <w:r w:rsidR="009A0847">
        <w:rPr>
          <w:i/>
          <w:color w:val="000000" w:themeColor="text1"/>
        </w:rPr>
        <w:t xml:space="preserve"> </w:t>
      </w:r>
      <w:r w:rsidRPr="00F43CCC">
        <w:rPr>
          <w:i/>
          <w:color w:val="000000" w:themeColor="text1"/>
        </w:rPr>
        <w:t>lending</w:t>
      </w:r>
      <w:r w:rsidR="009A0847">
        <w:rPr>
          <w:i/>
          <w:color w:val="000000" w:themeColor="text1"/>
        </w:rPr>
        <w:t xml:space="preserve"> </w:t>
      </w:r>
      <w:r w:rsidRPr="00F43CCC">
        <w:rPr>
          <w:i/>
          <w:color w:val="000000" w:themeColor="text1"/>
        </w:rPr>
        <w:t>is</w:t>
      </w:r>
      <w:r w:rsidR="009A0847">
        <w:rPr>
          <w:i/>
          <w:color w:val="000000" w:themeColor="text1"/>
        </w:rPr>
        <w:t xml:space="preserve"> </w:t>
      </w:r>
      <w:r w:rsidRPr="00F43CCC">
        <w:rPr>
          <w:i/>
          <w:color w:val="000000" w:themeColor="text1"/>
        </w:rPr>
        <w:t>not</w:t>
      </w:r>
      <w:r w:rsidR="009A0847">
        <w:rPr>
          <w:i/>
          <w:color w:val="000000" w:themeColor="text1"/>
        </w:rPr>
        <w:t xml:space="preserve"> </w:t>
      </w:r>
      <w:r w:rsidRPr="00F43CCC">
        <w:rPr>
          <w:i/>
          <w:color w:val="000000" w:themeColor="text1"/>
        </w:rPr>
        <w:t>functioning,</w:t>
      </w:r>
      <w:r w:rsidR="009A0847">
        <w:rPr>
          <w:i/>
          <w:color w:val="000000" w:themeColor="text1"/>
        </w:rPr>
        <w:t xml:space="preserve"> </w:t>
      </w:r>
      <w:r w:rsidRPr="00F43CCC">
        <w:rPr>
          <w:i/>
          <w:color w:val="000000" w:themeColor="text1"/>
        </w:rPr>
        <w:t>which</w:t>
      </w:r>
      <w:r w:rsidR="009A0847">
        <w:rPr>
          <w:i/>
          <w:color w:val="000000" w:themeColor="text1"/>
        </w:rPr>
        <w:t xml:space="preserve"> </w:t>
      </w:r>
      <w:r w:rsidRPr="00F43CCC">
        <w:rPr>
          <w:i/>
          <w:color w:val="000000" w:themeColor="text1"/>
        </w:rPr>
        <w:t>is</w:t>
      </w:r>
      <w:r w:rsidR="009A0847">
        <w:rPr>
          <w:i/>
          <w:color w:val="000000" w:themeColor="text1"/>
        </w:rPr>
        <w:t xml:space="preserve"> </w:t>
      </w:r>
      <w:r w:rsidRPr="00F43CCC">
        <w:rPr>
          <w:i/>
          <w:color w:val="000000" w:themeColor="text1"/>
        </w:rPr>
        <w:t>precisely</w:t>
      </w:r>
      <w:r w:rsidR="009A0847">
        <w:rPr>
          <w:i/>
          <w:color w:val="000000" w:themeColor="text1"/>
        </w:rPr>
        <w:t xml:space="preserve"> </w:t>
      </w:r>
      <w:r w:rsidRPr="00F43CCC">
        <w:rPr>
          <w:i/>
          <w:color w:val="000000" w:themeColor="text1"/>
        </w:rPr>
        <w:t>the</w:t>
      </w:r>
      <w:r w:rsidR="009A0847">
        <w:rPr>
          <w:i/>
          <w:color w:val="000000" w:themeColor="text1"/>
        </w:rPr>
        <w:t xml:space="preserve"> </w:t>
      </w:r>
      <w:r w:rsidRPr="00F43CCC">
        <w:rPr>
          <w:i/>
          <w:color w:val="000000" w:themeColor="text1"/>
        </w:rPr>
        <w:t>situation</w:t>
      </w:r>
      <w:r w:rsidR="009A0847">
        <w:rPr>
          <w:i/>
          <w:color w:val="000000" w:themeColor="text1"/>
        </w:rPr>
        <w:t xml:space="preserve"> </w:t>
      </w:r>
      <w:r w:rsidRPr="00F43CCC">
        <w:rPr>
          <w:i/>
          <w:color w:val="000000" w:themeColor="text1"/>
        </w:rPr>
        <w:t>that</w:t>
      </w:r>
      <w:r w:rsidR="009A0847">
        <w:rPr>
          <w:i/>
          <w:color w:val="000000" w:themeColor="text1"/>
        </w:rPr>
        <w:t xml:space="preserve"> </w:t>
      </w:r>
      <w:r w:rsidRPr="00F43CCC">
        <w:rPr>
          <w:i/>
          <w:color w:val="000000" w:themeColor="text1"/>
        </w:rPr>
        <w:t>prevailed</w:t>
      </w:r>
      <w:r w:rsidR="009A0847">
        <w:rPr>
          <w:i/>
          <w:color w:val="000000" w:themeColor="text1"/>
        </w:rPr>
        <w:t xml:space="preserve"> </w:t>
      </w:r>
      <w:r w:rsidRPr="00F43CCC">
        <w:rPr>
          <w:i/>
          <w:color w:val="000000" w:themeColor="text1"/>
        </w:rPr>
        <w:t>in</w:t>
      </w:r>
      <w:r w:rsidR="009A0847">
        <w:rPr>
          <w:i/>
          <w:color w:val="000000" w:themeColor="text1"/>
        </w:rPr>
        <w:t xml:space="preserve"> </w:t>
      </w:r>
      <w:r w:rsidRPr="00F43CCC">
        <w:rPr>
          <w:i/>
          <w:color w:val="000000" w:themeColor="text1"/>
        </w:rPr>
        <w:t>late</w:t>
      </w:r>
      <w:r w:rsidR="009A0847">
        <w:rPr>
          <w:i/>
          <w:color w:val="000000" w:themeColor="text1"/>
        </w:rPr>
        <w:t xml:space="preserve"> </w:t>
      </w:r>
      <w:r w:rsidRPr="00F43CCC">
        <w:rPr>
          <w:i/>
          <w:color w:val="000000" w:themeColor="text1"/>
        </w:rPr>
        <w:t>2007.</w:t>
      </w:r>
      <w:r w:rsidR="009A0847">
        <w:rPr>
          <w:i/>
          <w:color w:val="000000" w:themeColor="text1"/>
        </w:rPr>
        <w:t xml:space="preserve"> </w:t>
      </w:r>
      <w:r w:rsidRPr="00F43CCC">
        <w:rPr>
          <w:i/>
          <w:color w:val="000000" w:themeColor="text1"/>
        </w:rPr>
        <w:t>But</w:t>
      </w:r>
      <w:r w:rsidR="009A0847">
        <w:rPr>
          <w:i/>
          <w:color w:val="000000" w:themeColor="text1"/>
        </w:rPr>
        <w:t xml:space="preserve"> </w:t>
      </w:r>
      <w:r w:rsidRPr="00F43CCC">
        <w:rPr>
          <w:i/>
          <w:color w:val="000000" w:themeColor="text1"/>
        </w:rPr>
        <w:t>because</w:t>
      </w:r>
      <w:r w:rsidR="009A0847">
        <w:rPr>
          <w:i/>
          <w:color w:val="000000" w:themeColor="text1"/>
        </w:rPr>
        <w:t xml:space="preserve"> </w:t>
      </w:r>
      <w:r w:rsidRPr="00F43CCC">
        <w:rPr>
          <w:i/>
          <w:color w:val="000000" w:themeColor="text1"/>
        </w:rPr>
        <w:t>banks</w:t>
      </w:r>
      <w:r w:rsidR="009A0847">
        <w:rPr>
          <w:i/>
          <w:color w:val="000000" w:themeColor="text1"/>
        </w:rPr>
        <w:t xml:space="preserve"> </w:t>
      </w:r>
      <w:r w:rsidRPr="00F43CCC">
        <w:rPr>
          <w:i/>
          <w:color w:val="000000" w:themeColor="text1"/>
        </w:rPr>
        <w:t>were</w:t>
      </w:r>
      <w:r w:rsidR="009A0847">
        <w:rPr>
          <w:i/>
          <w:color w:val="000000" w:themeColor="text1"/>
        </w:rPr>
        <w:t xml:space="preserve"> </w:t>
      </w:r>
      <w:r w:rsidRPr="00F43CCC">
        <w:rPr>
          <w:i/>
          <w:color w:val="000000" w:themeColor="text1"/>
        </w:rPr>
        <w:t>very</w:t>
      </w:r>
      <w:r w:rsidR="009A0847">
        <w:rPr>
          <w:i/>
          <w:color w:val="000000" w:themeColor="text1"/>
        </w:rPr>
        <w:t xml:space="preserve"> </w:t>
      </w:r>
      <w:r w:rsidRPr="00F43CCC">
        <w:rPr>
          <w:i/>
          <w:color w:val="000000" w:themeColor="text1"/>
        </w:rPr>
        <w:t>reluctant</w:t>
      </w:r>
      <w:r w:rsidR="009A0847">
        <w:rPr>
          <w:i/>
          <w:color w:val="000000" w:themeColor="text1"/>
        </w:rPr>
        <w:t xml:space="preserve"> </w:t>
      </w:r>
      <w:r w:rsidRPr="00F43CCC">
        <w:rPr>
          <w:i/>
          <w:color w:val="000000" w:themeColor="text1"/>
        </w:rPr>
        <w:t>to</w:t>
      </w:r>
      <w:r w:rsidR="009A0847">
        <w:rPr>
          <w:i/>
          <w:color w:val="000000" w:themeColor="text1"/>
        </w:rPr>
        <w:t xml:space="preserve"> </w:t>
      </w:r>
      <w:r w:rsidRPr="00F43CCC">
        <w:rPr>
          <w:i/>
          <w:color w:val="000000" w:themeColor="text1"/>
        </w:rPr>
        <w:t>use</w:t>
      </w:r>
      <w:r w:rsidR="009A0847">
        <w:rPr>
          <w:i/>
          <w:color w:val="000000" w:themeColor="text1"/>
        </w:rPr>
        <w:t xml:space="preserve"> </w:t>
      </w:r>
      <w:r w:rsidRPr="00F43CCC">
        <w:rPr>
          <w:i/>
          <w:color w:val="000000" w:themeColor="text1"/>
        </w:rPr>
        <w:t>the</w:t>
      </w:r>
      <w:r w:rsidR="009A0847">
        <w:rPr>
          <w:i/>
          <w:color w:val="000000" w:themeColor="text1"/>
        </w:rPr>
        <w:t xml:space="preserve"> </w:t>
      </w:r>
      <w:r w:rsidRPr="00F43CCC">
        <w:rPr>
          <w:i/>
          <w:color w:val="000000" w:themeColor="text1"/>
        </w:rPr>
        <w:t>window,</w:t>
      </w:r>
      <w:r w:rsidR="009A0847">
        <w:rPr>
          <w:i/>
          <w:color w:val="000000" w:themeColor="text1"/>
        </w:rPr>
        <w:t xml:space="preserve"> </w:t>
      </w:r>
      <w:r w:rsidRPr="00F43CCC">
        <w:rPr>
          <w:i/>
          <w:color w:val="000000" w:themeColor="text1"/>
        </w:rPr>
        <w:t>that</w:t>
      </w:r>
      <w:r w:rsidR="009A0847">
        <w:rPr>
          <w:i/>
          <w:color w:val="000000" w:themeColor="text1"/>
        </w:rPr>
        <w:t xml:space="preserve"> </w:t>
      </w:r>
      <w:r w:rsidRPr="00F43CCC">
        <w:rPr>
          <w:i/>
          <w:color w:val="000000" w:themeColor="text1"/>
        </w:rPr>
        <w:t>key</w:t>
      </w:r>
      <w:r w:rsidR="009A0847">
        <w:rPr>
          <w:i/>
          <w:color w:val="000000" w:themeColor="text1"/>
        </w:rPr>
        <w:t xml:space="preserve"> </w:t>
      </w:r>
      <w:r w:rsidRPr="00F43CCC">
        <w:rPr>
          <w:i/>
          <w:color w:val="000000" w:themeColor="text1"/>
        </w:rPr>
        <w:t>tool</w:t>
      </w:r>
      <w:r w:rsidR="009A0847">
        <w:rPr>
          <w:i/>
          <w:color w:val="000000" w:themeColor="text1"/>
        </w:rPr>
        <w:t xml:space="preserve"> </w:t>
      </w:r>
      <w:r w:rsidRPr="00F43CCC">
        <w:rPr>
          <w:i/>
          <w:color w:val="000000" w:themeColor="text1"/>
        </w:rPr>
        <w:t>was</w:t>
      </w:r>
      <w:r w:rsidR="009A0847">
        <w:rPr>
          <w:i/>
          <w:color w:val="000000" w:themeColor="text1"/>
        </w:rPr>
        <w:t xml:space="preserve"> </w:t>
      </w:r>
      <w:r w:rsidRPr="00F43CCC">
        <w:rPr>
          <w:i/>
          <w:color w:val="000000" w:themeColor="text1"/>
        </w:rPr>
        <w:t>broken.”</w:t>
      </w:r>
      <w:r w:rsidR="009A0847">
        <w:rPr>
          <w:i/>
          <w:color w:val="000000" w:themeColor="text1"/>
        </w:rPr>
        <w:t xml:space="preserve"> </w:t>
      </w:r>
      <w:r w:rsidRPr="0043682E">
        <w:rPr>
          <w:color w:val="000000" w:themeColor="text1"/>
        </w:rPr>
        <w:t>Fed</w:t>
      </w:r>
      <w:r w:rsidR="009A0847">
        <w:rPr>
          <w:color w:val="000000" w:themeColor="text1"/>
        </w:rPr>
        <w:t xml:space="preserve"> </w:t>
      </w:r>
      <w:r w:rsidRPr="00F43CCC">
        <w:rPr>
          <w:color w:val="000000" w:themeColor="text1"/>
        </w:rPr>
        <w:t>Governor</w:t>
      </w:r>
      <w:r w:rsidR="009A0847">
        <w:rPr>
          <w:color w:val="000000" w:themeColor="text1"/>
        </w:rPr>
        <w:t xml:space="preserve"> </w:t>
      </w:r>
      <w:r w:rsidRPr="00F43CCC">
        <w:rPr>
          <w:color w:val="000000" w:themeColor="text1"/>
        </w:rPr>
        <w:t>Duke</w:t>
      </w:r>
      <w:r w:rsidR="009A0847">
        <w:rPr>
          <w:color w:val="000000" w:themeColor="text1"/>
        </w:rPr>
        <w:t xml:space="preserve"> </w:t>
      </w:r>
      <w:r w:rsidRPr="00F43CCC">
        <w:rPr>
          <w:color w:val="000000" w:themeColor="text1"/>
        </w:rPr>
        <w:t>(2010</w:t>
      </w:r>
      <w:r w:rsidRPr="00F43CCC">
        <w:rPr>
          <w:i/>
          <w:color w:val="000000" w:themeColor="text1"/>
        </w:rPr>
        <w:t>)</w:t>
      </w:r>
      <w:r w:rsidR="009A0847">
        <w:rPr>
          <w:color w:val="000000" w:themeColor="text1"/>
          <w:sz w:val="4"/>
          <w:szCs w:val="4"/>
        </w:rPr>
        <w:t xml:space="preserve"> </w:t>
      </w:r>
    </w:p>
    <w:p w14:paraId="3FBC6B98" w14:textId="77777777" w:rsidR="00CB5344" w:rsidRPr="0043682E" w:rsidRDefault="00CB5344" w:rsidP="00CB5344">
      <w:pPr>
        <w:pStyle w:val="Olivier1"/>
        <w:tabs>
          <w:tab w:val="left" w:pos="8820"/>
        </w:tabs>
        <w:ind w:left="720" w:right="720"/>
        <w:rPr>
          <w:color w:val="000000" w:themeColor="text1"/>
          <w:sz w:val="4"/>
          <w:szCs w:val="4"/>
        </w:rPr>
      </w:pPr>
    </w:p>
    <w:p w14:paraId="32CB6A8C" w14:textId="3A7090A4" w:rsidR="00CB5344" w:rsidRPr="00CB5344" w:rsidRDefault="009A0847" w:rsidP="00CB5344">
      <w:pPr>
        <w:pStyle w:val="Olivier1"/>
        <w:tabs>
          <w:tab w:val="left" w:pos="8730"/>
        </w:tabs>
        <w:ind w:left="720" w:right="630"/>
      </w:pPr>
      <w:r>
        <w:t xml:space="preserve"> </w:t>
      </w:r>
      <w:r w:rsidR="00CB5344" w:rsidRPr="00CB5344">
        <w:t>“[Banks]</w:t>
      </w:r>
      <w:r>
        <w:t xml:space="preserve"> </w:t>
      </w:r>
      <w:r w:rsidR="00CB5344" w:rsidRPr="00CB5344">
        <w:rPr>
          <w:i/>
        </w:rPr>
        <w:t>deliberately</w:t>
      </w:r>
      <w:r>
        <w:rPr>
          <w:i/>
        </w:rPr>
        <w:t xml:space="preserve"> </w:t>
      </w:r>
      <w:r w:rsidR="00CB5344" w:rsidRPr="00CB5344">
        <w:rPr>
          <w:i/>
        </w:rPr>
        <w:t>did</w:t>
      </w:r>
      <w:r>
        <w:rPr>
          <w:i/>
        </w:rPr>
        <w:t xml:space="preserve"> </w:t>
      </w:r>
      <w:r w:rsidR="00CB5344" w:rsidRPr="00CB5344">
        <w:rPr>
          <w:i/>
        </w:rPr>
        <w:t>not</w:t>
      </w:r>
      <w:r>
        <w:rPr>
          <w:i/>
        </w:rPr>
        <w:t xml:space="preserve"> </w:t>
      </w:r>
      <w:r w:rsidR="00CB5344" w:rsidRPr="00CB5344">
        <w:rPr>
          <w:i/>
        </w:rPr>
        <w:t>ask</w:t>
      </w:r>
      <w:r>
        <w:rPr>
          <w:i/>
        </w:rPr>
        <w:t xml:space="preserve"> </w:t>
      </w:r>
      <w:r w:rsidR="00CB5344" w:rsidRPr="00CB5344">
        <w:rPr>
          <w:i/>
        </w:rPr>
        <w:t>for</w:t>
      </w:r>
      <w:r>
        <w:rPr>
          <w:i/>
        </w:rPr>
        <w:t xml:space="preserve"> </w:t>
      </w:r>
      <w:r w:rsidR="00CB5344" w:rsidRPr="00CB5344">
        <w:rPr>
          <w:i/>
        </w:rPr>
        <w:t>the</w:t>
      </w:r>
      <w:r>
        <w:rPr>
          <w:i/>
        </w:rPr>
        <w:t xml:space="preserve"> </w:t>
      </w:r>
      <w:r w:rsidR="00CB5344" w:rsidRPr="00CB5344">
        <w:rPr>
          <w:i/>
        </w:rPr>
        <w:t>liquidity</w:t>
      </w:r>
      <w:r>
        <w:rPr>
          <w:i/>
        </w:rPr>
        <w:t xml:space="preserve"> </w:t>
      </w:r>
      <w:r w:rsidR="00CB5344" w:rsidRPr="00CB5344">
        <w:rPr>
          <w:i/>
        </w:rPr>
        <w:t>they</w:t>
      </w:r>
      <w:r>
        <w:rPr>
          <w:i/>
        </w:rPr>
        <w:t xml:space="preserve"> </w:t>
      </w:r>
      <w:r w:rsidR="00CB5344" w:rsidRPr="00CB5344">
        <w:rPr>
          <w:i/>
        </w:rPr>
        <w:t>needed</w:t>
      </w:r>
      <w:r>
        <w:rPr>
          <w:i/>
        </w:rPr>
        <w:t xml:space="preserve"> </w:t>
      </w:r>
      <w:r w:rsidR="00CB5344" w:rsidRPr="00CB5344">
        <w:rPr>
          <w:i/>
        </w:rPr>
        <w:t>for</w:t>
      </w:r>
      <w:r>
        <w:rPr>
          <w:i/>
        </w:rPr>
        <w:t xml:space="preserve"> </w:t>
      </w:r>
      <w:r w:rsidR="00CB5344" w:rsidRPr="00CB5344">
        <w:rPr>
          <w:i/>
        </w:rPr>
        <w:t>fear</w:t>
      </w:r>
      <w:r>
        <w:rPr>
          <w:i/>
        </w:rPr>
        <w:t xml:space="preserve"> </w:t>
      </w:r>
      <w:r w:rsidR="00CB5344" w:rsidRPr="00CB5344">
        <w:rPr>
          <w:i/>
        </w:rPr>
        <w:t>of</w:t>
      </w:r>
      <w:r>
        <w:rPr>
          <w:i/>
        </w:rPr>
        <w:t xml:space="preserve"> </w:t>
      </w:r>
      <w:r w:rsidR="00CB5344" w:rsidRPr="00CB5344">
        <w:rPr>
          <w:i/>
        </w:rPr>
        <w:t>damaging</w:t>
      </w:r>
      <w:r>
        <w:rPr>
          <w:i/>
        </w:rPr>
        <w:t xml:space="preserve"> </w:t>
      </w:r>
      <w:r w:rsidR="00CB5344" w:rsidRPr="00CB5344">
        <w:rPr>
          <w:i/>
        </w:rPr>
        <w:t>their</w:t>
      </w:r>
      <w:r>
        <w:rPr>
          <w:i/>
        </w:rPr>
        <w:t xml:space="preserve"> </w:t>
      </w:r>
      <w:r w:rsidR="00CB5344" w:rsidRPr="00CB5344">
        <w:rPr>
          <w:i/>
        </w:rPr>
        <w:t>reputation—the</w:t>
      </w:r>
      <w:r>
        <w:rPr>
          <w:i/>
        </w:rPr>
        <w:t xml:space="preserve"> </w:t>
      </w:r>
      <w:r w:rsidR="00CB5344" w:rsidRPr="00CB5344">
        <w:rPr>
          <w:i/>
        </w:rPr>
        <w:t>“stigma”</w:t>
      </w:r>
      <w:r>
        <w:rPr>
          <w:i/>
        </w:rPr>
        <w:t xml:space="preserve"> </w:t>
      </w:r>
      <w:r w:rsidR="00CB5344" w:rsidRPr="00CB5344">
        <w:rPr>
          <w:i/>
        </w:rPr>
        <w:t>problem…</w:t>
      </w:r>
      <w:r>
        <w:rPr>
          <w:i/>
        </w:rPr>
        <w:t xml:space="preserve"> </w:t>
      </w:r>
      <w:r w:rsidR="00CB5344" w:rsidRPr="00CB5344">
        <w:rPr>
          <w:i/>
        </w:rPr>
        <w:t>I</w:t>
      </w:r>
      <w:r>
        <w:rPr>
          <w:i/>
        </w:rPr>
        <w:t xml:space="preserve"> </w:t>
      </w:r>
      <w:r w:rsidR="00CB5344" w:rsidRPr="00CB5344">
        <w:rPr>
          <w:i/>
        </w:rPr>
        <w:t>do</w:t>
      </w:r>
      <w:r>
        <w:rPr>
          <w:i/>
        </w:rPr>
        <w:t xml:space="preserve"> </w:t>
      </w:r>
      <w:r w:rsidR="00CB5344" w:rsidRPr="00CB5344">
        <w:rPr>
          <w:i/>
        </w:rPr>
        <w:t>not</w:t>
      </w:r>
      <w:r>
        <w:rPr>
          <w:i/>
        </w:rPr>
        <w:t xml:space="preserve"> </w:t>
      </w:r>
      <w:r w:rsidR="00CB5344" w:rsidRPr="00CB5344">
        <w:rPr>
          <w:i/>
        </w:rPr>
        <w:t>think</w:t>
      </w:r>
      <w:r>
        <w:rPr>
          <w:i/>
        </w:rPr>
        <w:t xml:space="preserve"> </w:t>
      </w:r>
      <w:r w:rsidR="00CB5344" w:rsidRPr="00CB5344">
        <w:rPr>
          <w:i/>
        </w:rPr>
        <w:t>we</w:t>
      </w:r>
      <w:r>
        <w:rPr>
          <w:i/>
        </w:rPr>
        <w:t xml:space="preserve"> </w:t>
      </w:r>
      <w:r w:rsidR="00CB5344" w:rsidRPr="00CB5344">
        <w:rPr>
          <w:i/>
        </w:rPr>
        <w:t>were</w:t>
      </w:r>
      <w:r>
        <w:rPr>
          <w:i/>
        </w:rPr>
        <w:t xml:space="preserve"> </w:t>
      </w:r>
      <w:r w:rsidR="00CB5344" w:rsidRPr="00CB5344">
        <w:rPr>
          <w:i/>
        </w:rPr>
        <w:t>conscious</w:t>
      </w:r>
      <w:r>
        <w:rPr>
          <w:i/>
        </w:rPr>
        <w:t xml:space="preserve"> </w:t>
      </w:r>
      <w:r w:rsidR="00CB5344" w:rsidRPr="00CB5344">
        <w:rPr>
          <w:i/>
        </w:rPr>
        <w:t>of</w:t>
      </w:r>
      <w:r>
        <w:rPr>
          <w:i/>
        </w:rPr>
        <w:t xml:space="preserve"> </w:t>
      </w:r>
      <w:r w:rsidR="00CB5344" w:rsidRPr="00CB5344">
        <w:rPr>
          <w:i/>
        </w:rPr>
        <w:t>this</w:t>
      </w:r>
      <w:r>
        <w:rPr>
          <w:i/>
        </w:rPr>
        <w:t xml:space="preserve"> </w:t>
      </w:r>
      <w:r w:rsidR="00CB5344" w:rsidRPr="00CB5344">
        <w:rPr>
          <w:i/>
        </w:rPr>
        <w:t>before</w:t>
      </w:r>
      <w:r>
        <w:rPr>
          <w:i/>
        </w:rPr>
        <w:t xml:space="preserve"> </w:t>
      </w:r>
      <w:r w:rsidR="00CB5344" w:rsidRPr="00CB5344">
        <w:rPr>
          <w:i/>
        </w:rPr>
        <w:t>the</w:t>
      </w:r>
      <w:r>
        <w:rPr>
          <w:i/>
        </w:rPr>
        <w:t xml:space="preserve"> </w:t>
      </w:r>
      <w:r w:rsidR="00CB5344" w:rsidRPr="00CB5344">
        <w:rPr>
          <w:i/>
        </w:rPr>
        <w:t>crisis</w:t>
      </w:r>
      <w:r>
        <w:rPr>
          <w:i/>
        </w:rPr>
        <w:t xml:space="preserve"> </w:t>
      </w:r>
      <w:r w:rsidR="00CB5344">
        <w:rPr>
          <w:i/>
        </w:rPr>
        <w:t>started</w:t>
      </w:r>
      <w:r>
        <w:rPr>
          <w:i/>
        </w:rPr>
        <w:t xml:space="preserve"> </w:t>
      </w:r>
      <w:r w:rsidR="00CB5344" w:rsidRPr="00CB5344">
        <w:rPr>
          <w:i/>
        </w:rPr>
        <w:t>and</w:t>
      </w:r>
      <w:r>
        <w:rPr>
          <w:i/>
        </w:rPr>
        <w:t xml:space="preserve"> </w:t>
      </w:r>
      <w:r w:rsidR="00CB5344" w:rsidRPr="00CB5344">
        <w:rPr>
          <w:i/>
        </w:rPr>
        <w:t>I</w:t>
      </w:r>
      <w:r>
        <w:rPr>
          <w:i/>
        </w:rPr>
        <w:t xml:space="preserve"> </w:t>
      </w:r>
      <w:r w:rsidR="00CB5344" w:rsidRPr="00CB5344">
        <w:rPr>
          <w:i/>
        </w:rPr>
        <w:t>do</w:t>
      </w:r>
      <w:r>
        <w:rPr>
          <w:i/>
        </w:rPr>
        <w:t xml:space="preserve"> </w:t>
      </w:r>
      <w:r w:rsidR="00CB5344" w:rsidRPr="00CB5344">
        <w:rPr>
          <w:i/>
        </w:rPr>
        <w:t>not</w:t>
      </w:r>
      <w:r>
        <w:rPr>
          <w:i/>
        </w:rPr>
        <w:t xml:space="preserve"> </w:t>
      </w:r>
      <w:r w:rsidR="00CB5344" w:rsidRPr="00CB5344">
        <w:rPr>
          <w:i/>
        </w:rPr>
        <w:t>think</w:t>
      </w:r>
      <w:r>
        <w:rPr>
          <w:i/>
        </w:rPr>
        <w:t xml:space="preserve"> </w:t>
      </w:r>
      <w:r w:rsidR="00CB5344" w:rsidRPr="00CB5344">
        <w:rPr>
          <w:i/>
        </w:rPr>
        <w:t>central</w:t>
      </w:r>
      <w:r>
        <w:rPr>
          <w:i/>
        </w:rPr>
        <w:t xml:space="preserve"> </w:t>
      </w:r>
      <w:r w:rsidR="00CB5344" w:rsidRPr="00CB5344">
        <w:rPr>
          <w:i/>
        </w:rPr>
        <w:t>banks</w:t>
      </w:r>
      <w:r>
        <w:rPr>
          <w:i/>
        </w:rPr>
        <w:t xml:space="preserve"> </w:t>
      </w:r>
      <w:r w:rsidR="00CB5344" w:rsidRPr="00CB5344">
        <w:rPr>
          <w:i/>
        </w:rPr>
        <w:t>have</w:t>
      </w:r>
      <w:r>
        <w:rPr>
          <w:i/>
        </w:rPr>
        <w:t xml:space="preserve"> </w:t>
      </w:r>
      <w:r w:rsidR="00CB5344" w:rsidRPr="00CB5344">
        <w:rPr>
          <w:i/>
        </w:rPr>
        <w:t>a</w:t>
      </w:r>
      <w:r>
        <w:rPr>
          <w:i/>
        </w:rPr>
        <w:t xml:space="preserve"> </w:t>
      </w:r>
      <w:r w:rsidR="00CB5344" w:rsidRPr="00CB5344">
        <w:rPr>
          <w:i/>
        </w:rPr>
        <w:t>convincing</w:t>
      </w:r>
      <w:r>
        <w:rPr>
          <w:i/>
        </w:rPr>
        <w:t xml:space="preserve"> </w:t>
      </w:r>
      <w:r w:rsidR="00CB5344" w:rsidRPr="00CB5344">
        <w:rPr>
          <w:i/>
        </w:rPr>
        <w:t>answer</w:t>
      </w:r>
      <w:r>
        <w:rPr>
          <w:i/>
        </w:rPr>
        <w:t xml:space="preserve"> </w:t>
      </w:r>
      <w:r w:rsidR="00CB5344" w:rsidRPr="00CB5344">
        <w:rPr>
          <w:i/>
        </w:rPr>
        <w:t>to</w:t>
      </w:r>
      <w:r>
        <w:rPr>
          <w:i/>
        </w:rPr>
        <w:t xml:space="preserve"> </w:t>
      </w:r>
      <w:r w:rsidR="00CB5344" w:rsidRPr="00CB5344">
        <w:rPr>
          <w:i/>
        </w:rPr>
        <w:t>it…</w:t>
      </w:r>
      <w:r>
        <w:rPr>
          <w:i/>
        </w:rPr>
        <w:t xml:space="preserve"> </w:t>
      </w:r>
      <w:r w:rsidR="00CB5344" w:rsidRPr="00CB5344">
        <w:rPr>
          <w:i/>
        </w:rPr>
        <w:t>This</w:t>
      </w:r>
      <w:r>
        <w:rPr>
          <w:i/>
        </w:rPr>
        <w:t xml:space="preserve"> </w:t>
      </w:r>
      <w:r w:rsidR="00CB5344" w:rsidRPr="00CB5344">
        <w:rPr>
          <w:i/>
        </w:rPr>
        <w:t>is,</w:t>
      </w:r>
      <w:r>
        <w:rPr>
          <w:i/>
        </w:rPr>
        <w:t xml:space="preserve"> </w:t>
      </w:r>
      <w:r w:rsidR="00CB5344" w:rsidRPr="00CB5344">
        <w:rPr>
          <w:i/>
        </w:rPr>
        <w:t>I</w:t>
      </w:r>
      <w:r>
        <w:rPr>
          <w:i/>
        </w:rPr>
        <w:t xml:space="preserve"> </w:t>
      </w:r>
      <w:r w:rsidR="00CB5344" w:rsidRPr="00CB5344">
        <w:rPr>
          <w:i/>
        </w:rPr>
        <w:t>think,</w:t>
      </w:r>
      <w:r>
        <w:rPr>
          <w:i/>
        </w:rPr>
        <w:t xml:space="preserve"> </w:t>
      </w:r>
      <w:r w:rsidR="00CB5344" w:rsidRPr="00CB5344">
        <w:rPr>
          <w:i/>
        </w:rPr>
        <w:t>still</w:t>
      </w:r>
      <w:r>
        <w:rPr>
          <w:i/>
        </w:rPr>
        <w:t xml:space="preserve"> </w:t>
      </w:r>
      <w:r w:rsidR="00CB5344" w:rsidRPr="00CB5344">
        <w:rPr>
          <w:i/>
        </w:rPr>
        <w:t>a</w:t>
      </w:r>
      <w:r>
        <w:rPr>
          <w:i/>
        </w:rPr>
        <w:t xml:space="preserve"> </w:t>
      </w:r>
      <w:r w:rsidR="00CB5344" w:rsidRPr="00CB5344">
        <w:rPr>
          <w:i/>
        </w:rPr>
        <w:t>challenge</w:t>
      </w:r>
      <w:r>
        <w:rPr>
          <w:i/>
        </w:rPr>
        <w:t xml:space="preserve"> </w:t>
      </w:r>
      <w:r w:rsidR="00CB5344" w:rsidRPr="00CB5344">
        <w:rPr>
          <w:i/>
        </w:rPr>
        <w:t>in</w:t>
      </w:r>
      <w:r>
        <w:rPr>
          <w:i/>
        </w:rPr>
        <w:t xml:space="preserve"> </w:t>
      </w:r>
      <w:r w:rsidR="00CB5344" w:rsidRPr="00CB5344">
        <w:rPr>
          <w:i/>
        </w:rPr>
        <w:t>how</w:t>
      </w:r>
      <w:r>
        <w:rPr>
          <w:i/>
        </w:rPr>
        <w:t xml:space="preserve"> </w:t>
      </w:r>
      <w:r w:rsidR="00CB5344" w:rsidRPr="00CB5344">
        <w:rPr>
          <w:i/>
        </w:rPr>
        <w:t>to</w:t>
      </w:r>
      <w:r>
        <w:rPr>
          <w:i/>
        </w:rPr>
        <w:t xml:space="preserve"> </w:t>
      </w:r>
      <w:r w:rsidR="00CB5344" w:rsidRPr="00CB5344">
        <w:rPr>
          <w:i/>
        </w:rPr>
        <w:t>manage</w:t>
      </w:r>
      <w:r>
        <w:rPr>
          <w:i/>
        </w:rPr>
        <w:t xml:space="preserve"> </w:t>
      </w:r>
      <w:r w:rsidR="00CB5344" w:rsidRPr="00CB5344">
        <w:rPr>
          <w:i/>
        </w:rPr>
        <w:t>the</w:t>
      </w:r>
      <w:r>
        <w:rPr>
          <w:i/>
        </w:rPr>
        <w:t xml:space="preserve"> </w:t>
      </w:r>
      <w:r w:rsidR="00CB5344" w:rsidRPr="00CB5344">
        <w:rPr>
          <w:i/>
        </w:rPr>
        <w:t>process</w:t>
      </w:r>
      <w:r>
        <w:rPr>
          <w:i/>
        </w:rPr>
        <w:t xml:space="preserve"> </w:t>
      </w:r>
      <w:r w:rsidR="00CB5344" w:rsidRPr="00CB5344">
        <w:rPr>
          <w:i/>
        </w:rPr>
        <w:t>of</w:t>
      </w:r>
      <w:r>
        <w:rPr>
          <w:i/>
        </w:rPr>
        <w:t xml:space="preserve"> </w:t>
      </w:r>
      <w:r w:rsidR="00CB5344" w:rsidRPr="00CB5344">
        <w:rPr>
          <w:i/>
        </w:rPr>
        <w:t>central</w:t>
      </w:r>
      <w:r>
        <w:rPr>
          <w:i/>
        </w:rPr>
        <w:t xml:space="preserve"> </w:t>
      </w:r>
      <w:r w:rsidR="00CB5344" w:rsidRPr="00CB5344">
        <w:rPr>
          <w:i/>
        </w:rPr>
        <w:t>bank</w:t>
      </w:r>
      <w:r>
        <w:rPr>
          <w:i/>
        </w:rPr>
        <w:t xml:space="preserve"> </w:t>
      </w:r>
      <w:r w:rsidR="00CB5344" w:rsidRPr="00CB5344">
        <w:rPr>
          <w:i/>
        </w:rPr>
        <w:t>provision</w:t>
      </w:r>
      <w:r>
        <w:rPr>
          <w:i/>
        </w:rPr>
        <w:t xml:space="preserve"> </w:t>
      </w:r>
      <w:r w:rsidR="00CB5344" w:rsidRPr="00CB5344">
        <w:rPr>
          <w:i/>
        </w:rPr>
        <w:t>of</w:t>
      </w:r>
      <w:r>
        <w:rPr>
          <w:i/>
        </w:rPr>
        <w:t xml:space="preserve"> </w:t>
      </w:r>
      <w:r w:rsidR="00CB5344" w:rsidRPr="00CB5344">
        <w:rPr>
          <w:i/>
        </w:rPr>
        <w:t>liquidity</w:t>
      </w:r>
      <w:r>
        <w:rPr>
          <w:i/>
        </w:rPr>
        <w:t xml:space="preserve"> </w:t>
      </w:r>
      <w:r w:rsidR="00CB5344" w:rsidRPr="00CB5344">
        <w:rPr>
          <w:i/>
        </w:rPr>
        <w:t>support.</w:t>
      </w:r>
      <w:r>
        <w:rPr>
          <w:i/>
        </w:rPr>
        <w:t xml:space="preserve"> </w:t>
      </w:r>
      <w:r w:rsidR="00CB5344" w:rsidRPr="00CB5344">
        <w:rPr>
          <w:i/>
        </w:rPr>
        <w:t>This</w:t>
      </w:r>
      <w:r>
        <w:rPr>
          <w:i/>
        </w:rPr>
        <w:t xml:space="preserve"> </w:t>
      </w:r>
      <w:r w:rsidR="00CB5344" w:rsidRPr="00CB5344">
        <w:rPr>
          <w:i/>
        </w:rPr>
        <w:t>is</w:t>
      </w:r>
      <w:r>
        <w:rPr>
          <w:i/>
        </w:rPr>
        <w:t xml:space="preserve"> </w:t>
      </w:r>
      <w:r w:rsidR="00CB5344" w:rsidRPr="00CB5344">
        <w:rPr>
          <w:i/>
        </w:rPr>
        <w:t>one</w:t>
      </w:r>
      <w:r>
        <w:rPr>
          <w:i/>
        </w:rPr>
        <w:t xml:space="preserve"> </w:t>
      </w:r>
      <w:r w:rsidR="00CB5344" w:rsidRPr="00CB5344">
        <w:rPr>
          <w:i/>
        </w:rPr>
        <w:t>of</w:t>
      </w:r>
      <w:r>
        <w:rPr>
          <w:i/>
        </w:rPr>
        <w:t xml:space="preserve"> </w:t>
      </w:r>
      <w:r w:rsidR="00CB5344" w:rsidRPr="00CB5344">
        <w:rPr>
          <w:i/>
        </w:rPr>
        <w:t>the</w:t>
      </w:r>
      <w:r>
        <w:rPr>
          <w:i/>
        </w:rPr>
        <w:t xml:space="preserve"> </w:t>
      </w:r>
      <w:r w:rsidR="00CB5344" w:rsidRPr="00CB5344">
        <w:rPr>
          <w:i/>
        </w:rPr>
        <w:t>big</w:t>
      </w:r>
      <w:r>
        <w:rPr>
          <w:i/>
        </w:rPr>
        <w:t xml:space="preserve"> </w:t>
      </w:r>
      <w:r w:rsidR="00CB5344" w:rsidRPr="00CB5344">
        <w:rPr>
          <w:i/>
        </w:rPr>
        <w:t>intellectual</w:t>
      </w:r>
      <w:r>
        <w:rPr>
          <w:i/>
        </w:rPr>
        <w:t xml:space="preserve"> </w:t>
      </w:r>
      <w:r w:rsidR="00CB5344" w:rsidRPr="00CB5344">
        <w:rPr>
          <w:i/>
        </w:rPr>
        <w:t>issues</w:t>
      </w:r>
      <w:r>
        <w:rPr>
          <w:i/>
        </w:rPr>
        <w:t xml:space="preserve"> </w:t>
      </w:r>
      <w:r w:rsidR="00CB5344" w:rsidRPr="00CB5344">
        <w:rPr>
          <w:i/>
        </w:rPr>
        <w:t>that</w:t>
      </w:r>
      <w:r>
        <w:rPr>
          <w:i/>
        </w:rPr>
        <w:t xml:space="preserve"> </w:t>
      </w:r>
      <w:r w:rsidR="00CB5344" w:rsidRPr="00CB5344">
        <w:rPr>
          <w:i/>
        </w:rPr>
        <w:t>has</w:t>
      </w:r>
      <w:r>
        <w:rPr>
          <w:i/>
        </w:rPr>
        <w:t xml:space="preserve"> </w:t>
      </w:r>
      <w:r w:rsidR="00CB5344" w:rsidRPr="00CB5344">
        <w:rPr>
          <w:i/>
        </w:rPr>
        <w:t>not</w:t>
      </w:r>
      <w:r>
        <w:rPr>
          <w:i/>
        </w:rPr>
        <w:t xml:space="preserve"> </w:t>
      </w:r>
      <w:r w:rsidR="00CB5344" w:rsidRPr="00CB5344">
        <w:rPr>
          <w:i/>
        </w:rPr>
        <w:t>been</w:t>
      </w:r>
      <w:r>
        <w:rPr>
          <w:i/>
        </w:rPr>
        <w:t xml:space="preserve"> </w:t>
      </w:r>
      <w:r w:rsidR="00CB5344" w:rsidRPr="00CB5344">
        <w:rPr>
          <w:i/>
        </w:rPr>
        <w:t>fully</w:t>
      </w:r>
      <w:r>
        <w:rPr>
          <w:i/>
        </w:rPr>
        <w:t xml:space="preserve"> </w:t>
      </w:r>
      <w:r w:rsidR="00CB5344" w:rsidRPr="00CB5344">
        <w:rPr>
          <w:i/>
        </w:rPr>
        <w:t>resolved.</w:t>
      </w:r>
      <w:r w:rsidR="00CB5344" w:rsidRPr="00CB5344">
        <w:t>”</w:t>
      </w:r>
      <w:r>
        <w:t xml:space="preserve"> </w:t>
      </w:r>
      <w:r w:rsidR="00BB6C96">
        <w:t>Bank</w:t>
      </w:r>
      <w:r>
        <w:t xml:space="preserve"> </w:t>
      </w:r>
      <w:r w:rsidR="00BB6C96">
        <w:t>of</w:t>
      </w:r>
      <w:r>
        <w:t xml:space="preserve"> </w:t>
      </w:r>
      <w:r w:rsidR="00BB6C96">
        <w:t>England</w:t>
      </w:r>
      <w:r>
        <w:t xml:space="preserve"> </w:t>
      </w:r>
      <w:r w:rsidR="00BB6C96">
        <w:t>Governor</w:t>
      </w:r>
      <w:r>
        <w:t xml:space="preserve"> </w:t>
      </w:r>
      <w:r w:rsidR="00CB5344">
        <w:t>King</w:t>
      </w:r>
      <w:r>
        <w:t xml:space="preserve"> </w:t>
      </w:r>
      <w:r w:rsidR="00CB5344">
        <w:t>(2016</w:t>
      </w:r>
      <w:r w:rsidR="00AC697C">
        <w:t>a</w:t>
      </w:r>
      <w:r w:rsidR="00CB5344">
        <w:t>)</w:t>
      </w:r>
    </w:p>
    <w:p w14:paraId="34C836CB" w14:textId="1A9E66E4" w:rsidR="004471D8" w:rsidRPr="004471D8" w:rsidRDefault="00980E54" w:rsidP="004471D8">
      <w:pPr>
        <w:pStyle w:val="Heading1"/>
      </w:pPr>
      <w:r>
        <w:t>1.</w:t>
      </w:r>
      <w:r w:rsidR="009A0847">
        <w:t xml:space="preserve"> </w:t>
      </w:r>
      <w:r w:rsidR="00A568D8" w:rsidRPr="00A568D8">
        <w:t>I</w:t>
      </w:r>
      <w:r w:rsidR="004C513F">
        <w:t>ntroduction</w:t>
      </w:r>
      <w:r w:rsidR="009A0847">
        <w:t xml:space="preserve"> </w:t>
      </w:r>
    </w:p>
    <w:p w14:paraId="7FFF613C" w14:textId="3BC6B01D" w:rsidR="006A6D23" w:rsidRDefault="001F038C" w:rsidP="00A3292A">
      <w:pPr>
        <w:pStyle w:val="Olivier1"/>
        <w:widowControl w:val="0"/>
      </w:pPr>
      <w:r w:rsidRPr="006A6D23">
        <w:t>This</w:t>
      </w:r>
      <w:r w:rsidR="009A0847">
        <w:t xml:space="preserve"> </w:t>
      </w:r>
      <w:r w:rsidRPr="006A6D23">
        <w:t>paper</w:t>
      </w:r>
      <w:r w:rsidR="009A0847">
        <w:t xml:space="preserve"> </w:t>
      </w:r>
      <w:r w:rsidRPr="006A6D23">
        <w:t>is</w:t>
      </w:r>
      <w:r w:rsidR="009A0847">
        <w:t xml:space="preserve"> </w:t>
      </w:r>
      <w:r w:rsidRPr="006A6D23">
        <w:t>concerned</w:t>
      </w:r>
      <w:r w:rsidR="009A0847">
        <w:t xml:space="preserve"> </w:t>
      </w:r>
      <w:r w:rsidRPr="006A6D23">
        <w:t>with</w:t>
      </w:r>
      <w:r w:rsidR="009A0847">
        <w:t xml:space="preserve"> </w:t>
      </w:r>
      <w:r w:rsidRPr="006A6D23">
        <w:t>“Discount</w:t>
      </w:r>
      <w:r w:rsidR="009A0847">
        <w:t xml:space="preserve"> </w:t>
      </w:r>
      <w:r w:rsidRPr="006A6D23">
        <w:t>Window”</w:t>
      </w:r>
      <w:r w:rsidR="009A0847">
        <w:t xml:space="preserve"> </w:t>
      </w:r>
      <w:r w:rsidR="00D90208" w:rsidRPr="006A6D23">
        <w:t>(DW)</w:t>
      </w:r>
      <w:r w:rsidR="009A0847">
        <w:t xml:space="preserve"> </w:t>
      </w:r>
      <w:r w:rsidRPr="006A6D23">
        <w:t>stigma,</w:t>
      </w:r>
      <w:r w:rsidR="009A0847">
        <w:t xml:space="preserve"> </w:t>
      </w:r>
      <w:r w:rsidRPr="006A6D23">
        <w:t>a</w:t>
      </w:r>
      <w:r w:rsidR="009A0847">
        <w:t xml:space="preserve"> </w:t>
      </w:r>
      <w:r w:rsidRPr="006A6D23">
        <w:t>reluctance</w:t>
      </w:r>
      <w:r w:rsidR="009A0847">
        <w:t xml:space="preserve"> </w:t>
      </w:r>
      <w:r w:rsidRPr="006A6D23">
        <w:t>to</w:t>
      </w:r>
      <w:r w:rsidR="009A0847">
        <w:t xml:space="preserve"> </w:t>
      </w:r>
      <w:r w:rsidRPr="006A6D23">
        <w:t>access</w:t>
      </w:r>
      <w:r w:rsidR="009A0847">
        <w:t xml:space="preserve"> </w:t>
      </w:r>
      <w:r w:rsidRPr="006A6D23">
        <w:t>the</w:t>
      </w:r>
      <w:r w:rsidR="009A0847">
        <w:t xml:space="preserve"> </w:t>
      </w:r>
      <w:r w:rsidRPr="006A6D23">
        <w:t>central</w:t>
      </w:r>
      <w:r w:rsidR="009A0847">
        <w:t xml:space="preserve"> </w:t>
      </w:r>
      <w:r w:rsidRPr="005F2F6A">
        <w:t>bank</w:t>
      </w:r>
      <w:r w:rsidR="009A0847">
        <w:t xml:space="preserve"> </w:t>
      </w:r>
      <w:r w:rsidR="009123D0">
        <w:t>backstop</w:t>
      </w:r>
      <w:r w:rsidR="009A0847">
        <w:t xml:space="preserve"> </w:t>
      </w:r>
      <w:r w:rsidRPr="005F2F6A">
        <w:t>lending</w:t>
      </w:r>
      <w:r w:rsidR="009A0847">
        <w:t xml:space="preserve"> </w:t>
      </w:r>
      <w:r w:rsidRPr="005F2F6A">
        <w:t>facility</w:t>
      </w:r>
      <w:r w:rsidR="009A0847">
        <w:t xml:space="preserve"> </w:t>
      </w:r>
      <w:r w:rsidR="00B31CBD" w:rsidRPr="005F2F6A">
        <w:t>even</w:t>
      </w:r>
      <w:r w:rsidR="009A0847">
        <w:t xml:space="preserve"> </w:t>
      </w:r>
      <w:r w:rsidR="00B31CBD" w:rsidRPr="005F2F6A">
        <w:t>for</w:t>
      </w:r>
      <w:r w:rsidR="009A0847">
        <w:t xml:space="preserve"> </w:t>
      </w:r>
      <w:r w:rsidR="00B31CBD" w:rsidRPr="005F2F6A">
        <w:t>benign</w:t>
      </w:r>
      <w:r w:rsidR="009A0847">
        <w:t xml:space="preserve"> </w:t>
      </w:r>
      <w:r w:rsidR="00B31CBD" w:rsidRPr="005F2F6A">
        <w:t>reasons</w:t>
      </w:r>
      <w:r w:rsidR="009A0847">
        <w:t xml:space="preserve"> </w:t>
      </w:r>
      <w:r w:rsidRPr="005F2F6A">
        <w:t>out</w:t>
      </w:r>
      <w:r w:rsidR="009A0847">
        <w:t xml:space="preserve"> </w:t>
      </w:r>
      <w:r w:rsidRPr="005F2F6A">
        <w:t>of</w:t>
      </w:r>
      <w:r w:rsidR="009A0847">
        <w:t xml:space="preserve"> </w:t>
      </w:r>
      <w:r w:rsidRPr="005F2F6A">
        <w:t>concerns</w:t>
      </w:r>
      <w:r w:rsidR="009A0847">
        <w:t xml:space="preserve"> </w:t>
      </w:r>
      <w:r w:rsidR="00E80AC1">
        <w:t xml:space="preserve">that it </w:t>
      </w:r>
      <w:r w:rsidR="00D90208" w:rsidRPr="005F2F6A">
        <w:t>could</w:t>
      </w:r>
      <w:r w:rsidR="009A0847">
        <w:t xml:space="preserve"> </w:t>
      </w:r>
      <w:r w:rsidR="00D90208" w:rsidRPr="005F2F6A">
        <w:t>be</w:t>
      </w:r>
      <w:r w:rsidR="009A0847">
        <w:t xml:space="preserve"> </w:t>
      </w:r>
      <w:r w:rsidR="00D90208" w:rsidRPr="005F2F6A">
        <w:t>interpreted</w:t>
      </w:r>
      <w:r w:rsidR="009A0847">
        <w:t xml:space="preserve"> </w:t>
      </w:r>
      <w:r w:rsidR="00D90208" w:rsidRPr="005F2F6A">
        <w:t>as</w:t>
      </w:r>
      <w:r w:rsidR="009A0847">
        <w:t xml:space="preserve"> </w:t>
      </w:r>
      <w:r w:rsidR="00D90208" w:rsidRPr="005F2F6A">
        <w:t>a</w:t>
      </w:r>
      <w:r w:rsidR="009A0847">
        <w:t xml:space="preserve"> </w:t>
      </w:r>
      <w:r w:rsidR="00D90208" w:rsidRPr="005F2F6A">
        <w:t>sign</w:t>
      </w:r>
      <w:r w:rsidR="009A0847">
        <w:t xml:space="preserve"> </w:t>
      </w:r>
      <w:r w:rsidR="00D90208" w:rsidRPr="005F2F6A">
        <w:t>of</w:t>
      </w:r>
      <w:r w:rsidR="009A0847">
        <w:t xml:space="preserve"> </w:t>
      </w:r>
      <w:r w:rsidR="00D90208" w:rsidRPr="005F2F6A">
        <w:t>financial</w:t>
      </w:r>
      <w:r w:rsidR="009A0847">
        <w:t xml:space="preserve"> </w:t>
      </w:r>
      <w:r w:rsidR="00D90208" w:rsidRPr="005F2F6A">
        <w:t>weakness</w:t>
      </w:r>
      <w:r w:rsidR="009A0847">
        <w:t xml:space="preserve"> </w:t>
      </w:r>
      <w:r w:rsidR="00E80AC1">
        <w:t>if detected</w:t>
      </w:r>
      <w:r w:rsidRPr="005F2F6A">
        <w:t>.</w:t>
      </w:r>
      <w:r w:rsidR="009A0847">
        <w:t xml:space="preserve"> </w:t>
      </w:r>
      <w:r w:rsidRPr="005F2F6A">
        <w:t>As</w:t>
      </w:r>
      <w:r w:rsidR="009A0847">
        <w:t xml:space="preserve"> </w:t>
      </w:r>
      <w:r w:rsidRPr="005F2F6A">
        <w:t>explained</w:t>
      </w:r>
      <w:r w:rsidR="009A0847">
        <w:t xml:space="preserve"> </w:t>
      </w:r>
      <w:r w:rsidRPr="005F2F6A">
        <w:t>below,</w:t>
      </w:r>
      <w:r w:rsidR="009A0847">
        <w:t xml:space="preserve"> </w:t>
      </w:r>
      <w:r w:rsidRPr="005F2F6A">
        <w:t>DW</w:t>
      </w:r>
      <w:r w:rsidR="009A0847">
        <w:t xml:space="preserve"> </w:t>
      </w:r>
      <w:r w:rsidRPr="005F2F6A">
        <w:t>stigma</w:t>
      </w:r>
      <w:r w:rsidR="009A0847">
        <w:t xml:space="preserve"> </w:t>
      </w:r>
      <w:r w:rsidR="00B31CBD" w:rsidRPr="005F2F6A">
        <w:t>is</w:t>
      </w:r>
      <w:r w:rsidR="009A0847">
        <w:t xml:space="preserve"> </w:t>
      </w:r>
      <w:r w:rsidR="00D90208" w:rsidRPr="005F2F6A">
        <w:t>a</w:t>
      </w:r>
      <w:r w:rsidR="009A0847">
        <w:t xml:space="preserve"> </w:t>
      </w:r>
      <w:r w:rsidR="00414E06" w:rsidRPr="005F2F6A">
        <w:t>threat</w:t>
      </w:r>
      <w:r w:rsidR="009A0847">
        <w:t xml:space="preserve"> </w:t>
      </w:r>
      <w:r w:rsidRPr="005F2F6A">
        <w:t>to</w:t>
      </w:r>
      <w:r w:rsidR="009A0847">
        <w:t xml:space="preserve"> </w:t>
      </w:r>
      <w:r w:rsidRPr="005F2F6A">
        <w:t>financial</w:t>
      </w:r>
      <w:r w:rsidR="009A0847">
        <w:t xml:space="preserve"> </w:t>
      </w:r>
      <w:r w:rsidRPr="005F2F6A">
        <w:t>stability</w:t>
      </w:r>
      <w:r w:rsidR="009A0847">
        <w:t xml:space="preserve"> </w:t>
      </w:r>
      <w:r w:rsidRPr="005F2F6A">
        <w:t>and</w:t>
      </w:r>
      <w:r w:rsidR="009A0847">
        <w:t xml:space="preserve"> </w:t>
      </w:r>
      <w:r w:rsidR="00D90208" w:rsidRPr="005F2F6A">
        <w:t>an</w:t>
      </w:r>
      <w:r w:rsidR="009A0847">
        <w:t xml:space="preserve"> </w:t>
      </w:r>
      <w:r w:rsidR="00414E06" w:rsidRPr="005F2F6A">
        <w:t>impediment</w:t>
      </w:r>
      <w:r w:rsidR="009A0847">
        <w:t xml:space="preserve"> </w:t>
      </w:r>
      <w:r w:rsidR="00414E06" w:rsidRPr="005F2F6A">
        <w:t>to</w:t>
      </w:r>
      <w:r w:rsidR="009A0847">
        <w:t xml:space="preserve"> </w:t>
      </w:r>
      <w:r w:rsidR="00414E06" w:rsidRPr="005F2F6A">
        <w:t>the</w:t>
      </w:r>
      <w:r w:rsidR="009A0847">
        <w:t xml:space="preserve"> </w:t>
      </w:r>
      <w:r w:rsidR="009C3450" w:rsidRPr="005F2F6A">
        <w:t>mission</w:t>
      </w:r>
      <w:r w:rsidR="009A0847">
        <w:t xml:space="preserve"> </w:t>
      </w:r>
      <w:r w:rsidR="009C3450" w:rsidRPr="005F2F6A">
        <w:t>of</w:t>
      </w:r>
      <w:r w:rsidR="009A0847">
        <w:t xml:space="preserve"> </w:t>
      </w:r>
      <w:r w:rsidRPr="005F2F6A">
        <w:t>central</w:t>
      </w:r>
      <w:r w:rsidR="009A0847">
        <w:t xml:space="preserve"> </w:t>
      </w:r>
      <w:r w:rsidRPr="005F2F6A">
        <w:t>bank</w:t>
      </w:r>
      <w:r w:rsidR="009C3450" w:rsidRPr="005F2F6A">
        <w:t>s</w:t>
      </w:r>
      <w:r w:rsidRPr="005F2F6A">
        <w:t>.</w:t>
      </w:r>
      <w:r w:rsidR="009A0847">
        <w:t xml:space="preserve"> </w:t>
      </w:r>
      <w:r w:rsidRPr="005F2F6A">
        <w:t>However,</w:t>
      </w:r>
      <w:r w:rsidR="009A0847">
        <w:t xml:space="preserve"> </w:t>
      </w:r>
      <w:r w:rsidRPr="005F2F6A">
        <w:t>little</w:t>
      </w:r>
      <w:r w:rsidR="009A0847">
        <w:t xml:space="preserve"> </w:t>
      </w:r>
      <w:r w:rsidRPr="005F2F6A">
        <w:t>is</w:t>
      </w:r>
      <w:r w:rsidR="009A0847">
        <w:t xml:space="preserve"> </w:t>
      </w:r>
      <w:r w:rsidRPr="005F2F6A">
        <w:t>known</w:t>
      </w:r>
      <w:r w:rsidR="009A0847">
        <w:t xml:space="preserve"> </w:t>
      </w:r>
      <w:r w:rsidRPr="005F2F6A">
        <w:t>about</w:t>
      </w:r>
      <w:r w:rsidR="009A0847">
        <w:t xml:space="preserve"> </w:t>
      </w:r>
      <w:r w:rsidR="00012383" w:rsidRPr="005F2F6A">
        <w:t>DW</w:t>
      </w:r>
      <w:r w:rsidR="009A0847">
        <w:t xml:space="preserve"> </w:t>
      </w:r>
      <w:r w:rsidR="00012383" w:rsidRPr="005F2F6A">
        <w:t>stigma</w:t>
      </w:r>
      <w:r w:rsidR="009A0847">
        <w:t xml:space="preserve"> </w:t>
      </w:r>
      <w:r w:rsidRPr="005F2F6A">
        <w:t>in</w:t>
      </w:r>
      <w:r w:rsidR="009A0847">
        <w:t xml:space="preserve"> </w:t>
      </w:r>
      <w:r w:rsidRPr="005F2F6A">
        <w:t>large</w:t>
      </w:r>
      <w:r w:rsidR="009A0847">
        <w:t xml:space="preserve"> </w:t>
      </w:r>
      <w:r w:rsidRPr="005F2F6A">
        <w:t>part</w:t>
      </w:r>
      <w:r w:rsidR="009A0847">
        <w:t xml:space="preserve"> </w:t>
      </w:r>
      <w:r w:rsidRPr="005F2F6A">
        <w:t>because</w:t>
      </w:r>
      <w:r w:rsidR="009A0847">
        <w:t xml:space="preserve"> </w:t>
      </w:r>
      <w:r w:rsidRPr="005F2F6A">
        <w:t>of</w:t>
      </w:r>
      <w:r w:rsidR="009A0847">
        <w:t xml:space="preserve"> </w:t>
      </w:r>
      <w:r w:rsidRPr="005F2F6A">
        <w:t>the</w:t>
      </w:r>
      <w:r w:rsidR="009A0847">
        <w:t xml:space="preserve"> </w:t>
      </w:r>
      <w:r w:rsidRPr="005F2F6A">
        <w:t>absenc</w:t>
      </w:r>
      <w:r w:rsidR="00E86649" w:rsidRPr="005F2F6A">
        <w:t>e</w:t>
      </w:r>
      <w:r w:rsidR="009A0847">
        <w:t xml:space="preserve"> </w:t>
      </w:r>
      <w:r w:rsidR="00E86649" w:rsidRPr="005F2F6A">
        <w:t>of</w:t>
      </w:r>
      <w:r w:rsidR="009A0847">
        <w:t xml:space="preserve"> </w:t>
      </w:r>
      <w:r w:rsidR="00E86649" w:rsidRPr="005F2F6A">
        <w:t>data</w:t>
      </w:r>
      <w:r w:rsidRPr="005F2F6A">
        <w:t>.</w:t>
      </w:r>
      <w:r w:rsidR="009A0847">
        <w:t xml:space="preserve"> </w:t>
      </w:r>
      <w:r w:rsidR="00D90208" w:rsidRPr="005F2F6A">
        <w:t>The</w:t>
      </w:r>
      <w:r w:rsidR="009A0847">
        <w:t xml:space="preserve"> </w:t>
      </w:r>
      <w:r w:rsidR="00D90208" w:rsidRPr="005F2F6A">
        <w:t>object</w:t>
      </w:r>
      <w:r w:rsidR="009A0847">
        <w:t xml:space="preserve"> </w:t>
      </w:r>
      <w:r w:rsidR="00D90208" w:rsidRPr="005F2F6A">
        <w:t>of</w:t>
      </w:r>
      <w:r w:rsidR="009A0847">
        <w:t xml:space="preserve"> </w:t>
      </w:r>
      <w:r w:rsidR="00D90208" w:rsidRPr="005F2F6A">
        <w:t>this</w:t>
      </w:r>
      <w:r w:rsidR="009A0847">
        <w:t xml:space="preserve"> </w:t>
      </w:r>
      <w:r w:rsidR="00D90208" w:rsidRPr="005F2F6A">
        <w:t>paper</w:t>
      </w:r>
      <w:r w:rsidR="009A0847">
        <w:t xml:space="preserve"> </w:t>
      </w:r>
      <w:r w:rsidR="00D90208" w:rsidRPr="005F2F6A">
        <w:t>is</w:t>
      </w:r>
      <w:r w:rsidR="009A0847">
        <w:t xml:space="preserve"> </w:t>
      </w:r>
      <w:r w:rsidR="00D90208" w:rsidRPr="005F2F6A">
        <w:t>to</w:t>
      </w:r>
      <w:r w:rsidR="009A0847">
        <w:t xml:space="preserve"> </w:t>
      </w:r>
      <w:r w:rsidR="00B31CBD" w:rsidRPr="005F2F6A">
        <w:t>understand</w:t>
      </w:r>
      <w:r w:rsidR="009A0847">
        <w:t xml:space="preserve"> </w:t>
      </w:r>
      <w:r w:rsidR="003D5F31" w:rsidRPr="005F2F6A">
        <w:t>better</w:t>
      </w:r>
      <w:r w:rsidR="009A0847">
        <w:t xml:space="preserve"> </w:t>
      </w:r>
      <w:r w:rsidR="00D90208" w:rsidRPr="005F2F6A">
        <w:t>the</w:t>
      </w:r>
      <w:r w:rsidR="009A0847">
        <w:t xml:space="preserve"> </w:t>
      </w:r>
      <w:r w:rsidR="00D90208" w:rsidRPr="005F2F6A">
        <w:t>driver</w:t>
      </w:r>
      <w:r w:rsidR="009A0847">
        <w:t xml:space="preserve"> </w:t>
      </w:r>
      <w:r w:rsidR="00D90208" w:rsidRPr="005F2F6A">
        <w:t>of</w:t>
      </w:r>
      <w:r w:rsidR="009A0847">
        <w:t xml:space="preserve"> </w:t>
      </w:r>
      <w:r w:rsidR="00D90208" w:rsidRPr="005F2F6A">
        <w:t>DW</w:t>
      </w:r>
      <w:r w:rsidR="009A0847">
        <w:t xml:space="preserve"> </w:t>
      </w:r>
      <w:r w:rsidR="00D90208" w:rsidRPr="005F2F6A">
        <w:t>stigma</w:t>
      </w:r>
      <w:r w:rsidR="009A0847">
        <w:t xml:space="preserve"> </w:t>
      </w:r>
      <w:r w:rsidR="00D90208" w:rsidRPr="005F2F6A">
        <w:t>and</w:t>
      </w:r>
      <w:r w:rsidR="009A0847">
        <w:t xml:space="preserve"> </w:t>
      </w:r>
      <w:r w:rsidR="00B31CBD" w:rsidRPr="005F2F6A">
        <w:t>to</w:t>
      </w:r>
      <w:r w:rsidR="009A0847">
        <w:t xml:space="preserve"> </w:t>
      </w:r>
      <w:r w:rsidR="00B31CBD" w:rsidRPr="005F2F6A">
        <w:t>explore</w:t>
      </w:r>
      <w:r w:rsidR="009A0847">
        <w:t xml:space="preserve"> </w:t>
      </w:r>
      <w:r w:rsidR="00D90208" w:rsidRPr="005F2F6A">
        <w:t>how</w:t>
      </w:r>
      <w:r w:rsidR="009A0847">
        <w:t xml:space="preserve"> </w:t>
      </w:r>
      <w:r w:rsidR="00E86649" w:rsidRPr="005F2F6A">
        <w:t>the</w:t>
      </w:r>
      <w:r w:rsidR="009A0847">
        <w:t xml:space="preserve"> </w:t>
      </w:r>
      <w:r w:rsidR="00E86649" w:rsidRPr="005F2F6A">
        <w:t>problem</w:t>
      </w:r>
      <w:r w:rsidR="009A0847">
        <w:t xml:space="preserve"> </w:t>
      </w:r>
      <w:r w:rsidR="00E86649" w:rsidRPr="005F2F6A">
        <w:t>could</w:t>
      </w:r>
      <w:r w:rsidR="009A0847">
        <w:t xml:space="preserve"> </w:t>
      </w:r>
      <w:r w:rsidR="00E86649" w:rsidRPr="005F2F6A">
        <w:t>be</w:t>
      </w:r>
      <w:r w:rsidR="009A0847">
        <w:t xml:space="preserve"> </w:t>
      </w:r>
      <w:r w:rsidR="00D90208" w:rsidRPr="005F2F6A">
        <w:t>mitigate</w:t>
      </w:r>
      <w:r w:rsidR="00E86649" w:rsidRPr="005F2F6A">
        <w:t>d</w:t>
      </w:r>
      <w:r w:rsidR="00D90208" w:rsidRPr="005F2F6A">
        <w:t>.</w:t>
      </w:r>
      <w:r w:rsidR="009A0847">
        <w:t xml:space="preserve"> </w:t>
      </w:r>
      <w:r w:rsidR="00D90208" w:rsidRPr="005F2F6A">
        <w:t>To</w:t>
      </w:r>
      <w:r w:rsidR="009A0847">
        <w:t xml:space="preserve"> </w:t>
      </w:r>
      <w:r w:rsidR="00D90208" w:rsidRPr="005F2F6A">
        <w:t>do</w:t>
      </w:r>
      <w:r w:rsidR="009A0847">
        <w:t xml:space="preserve"> </w:t>
      </w:r>
      <w:r w:rsidR="00D90208" w:rsidRPr="005F2F6A">
        <w:t>so,</w:t>
      </w:r>
      <w:r w:rsidR="009A0847">
        <w:t xml:space="preserve"> </w:t>
      </w:r>
      <w:r w:rsidR="00E86649" w:rsidRPr="005F2F6A">
        <w:t>we</w:t>
      </w:r>
      <w:r w:rsidR="009A0847">
        <w:t xml:space="preserve"> </w:t>
      </w:r>
      <w:r w:rsidR="00F60DC6">
        <w:t>run</w:t>
      </w:r>
      <w:r w:rsidR="009A0847">
        <w:t xml:space="preserve"> </w:t>
      </w:r>
      <w:r w:rsidR="00F60DC6">
        <w:t>a</w:t>
      </w:r>
      <w:r w:rsidR="009A0847">
        <w:t xml:space="preserve"> </w:t>
      </w:r>
      <w:r w:rsidR="00F60DC6">
        <w:t>laboratory</w:t>
      </w:r>
      <w:r w:rsidR="009A0847">
        <w:t xml:space="preserve"> </w:t>
      </w:r>
      <w:r w:rsidR="00F60DC6">
        <w:t>experiment</w:t>
      </w:r>
      <w:r w:rsidR="009A0847">
        <w:t xml:space="preserve"> </w:t>
      </w:r>
      <w:r w:rsidR="00E86649" w:rsidRPr="005F2F6A">
        <w:t>to</w:t>
      </w:r>
      <w:r w:rsidR="009A0847">
        <w:t xml:space="preserve"> </w:t>
      </w:r>
      <w:r w:rsidR="00E86649" w:rsidRPr="005F2F6A">
        <w:t>generate</w:t>
      </w:r>
      <w:r w:rsidR="009A0847">
        <w:t xml:space="preserve"> </w:t>
      </w:r>
      <w:r w:rsidR="00E86649" w:rsidRPr="005F2F6A">
        <w:t>data</w:t>
      </w:r>
      <w:r w:rsidR="009A0847">
        <w:t xml:space="preserve"> </w:t>
      </w:r>
      <w:r w:rsidR="00E86649" w:rsidRPr="005F2F6A">
        <w:t>under</w:t>
      </w:r>
      <w:r w:rsidR="009A0847">
        <w:t xml:space="preserve"> </w:t>
      </w:r>
      <w:r w:rsidR="00E86649" w:rsidRPr="005F2F6A">
        <w:t>different</w:t>
      </w:r>
      <w:r w:rsidR="009A0847">
        <w:t xml:space="preserve"> </w:t>
      </w:r>
      <w:r w:rsidR="00E86649" w:rsidRPr="005F2F6A">
        <w:t>environments</w:t>
      </w:r>
      <w:r w:rsidR="00D90208" w:rsidRPr="005F2F6A">
        <w:t>.</w:t>
      </w:r>
      <w:r w:rsidR="009A0847">
        <w:t xml:space="preserve"> </w:t>
      </w:r>
      <w:r w:rsidR="00D90208" w:rsidRPr="005F2F6A">
        <w:t>To</w:t>
      </w:r>
      <w:r w:rsidR="009A0847">
        <w:t xml:space="preserve"> </w:t>
      </w:r>
      <w:r w:rsidR="00D90208" w:rsidRPr="005F2F6A">
        <w:t>the</w:t>
      </w:r>
      <w:r w:rsidR="009A0847">
        <w:t xml:space="preserve"> </w:t>
      </w:r>
      <w:r w:rsidR="00D90208" w:rsidRPr="005F2F6A">
        <w:t>best</w:t>
      </w:r>
      <w:r w:rsidR="009A0847">
        <w:t xml:space="preserve"> </w:t>
      </w:r>
      <w:r w:rsidR="00D90208" w:rsidRPr="005F2F6A">
        <w:t>of</w:t>
      </w:r>
      <w:r w:rsidR="009A0847">
        <w:t xml:space="preserve"> </w:t>
      </w:r>
      <w:r w:rsidR="00D90208" w:rsidRPr="005F2F6A">
        <w:t>our</w:t>
      </w:r>
      <w:r w:rsidR="009A0847">
        <w:t xml:space="preserve"> </w:t>
      </w:r>
      <w:r w:rsidR="00D90208" w:rsidRPr="005F2F6A">
        <w:t>knowledge,</w:t>
      </w:r>
      <w:r w:rsidR="009A0847">
        <w:t xml:space="preserve"> </w:t>
      </w:r>
      <w:r w:rsidR="00D90208" w:rsidRPr="005F2F6A">
        <w:t>this</w:t>
      </w:r>
      <w:r w:rsidR="009A0847">
        <w:t xml:space="preserve"> </w:t>
      </w:r>
      <w:r w:rsidR="00D90208" w:rsidRPr="005F2F6A">
        <w:t>is</w:t>
      </w:r>
      <w:r w:rsidR="009A0847">
        <w:t xml:space="preserve"> </w:t>
      </w:r>
      <w:r w:rsidR="00D90208" w:rsidRPr="005F2F6A">
        <w:t>the</w:t>
      </w:r>
      <w:r w:rsidR="009A0847">
        <w:t xml:space="preserve"> </w:t>
      </w:r>
      <w:r w:rsidR="00D90208" w:rsidRPr="005F2F6A">
        <w:t>first</w:t>
      </w:r>
      <w:r w:rsidR="009A0847">
        <w:t xml:space="preserve"> </w:t>
      </w:r>
      <w:r w:rsidR="00D90208" w:rsidRPr="005F2F6A">
        <w:t>paper</w:t>
      </w:r>
      <w:r w:rsidR="009A0847">
        <w:t xml:space="preserve"> </w:t>
      </w:r>
      <w:r w:rsidR="00D90208" w:rsidRPr="005F2F6A">
        <w:t>to</w:t>
      </w:r>
      <w:r w:rsidR="009A0847">
        <w:t xml:space="preserve"> </w:t>
      </w:r>
      <w:r w:rsidR="00F60DC6">
        <w:t>use</w:t>
      </w:r>
      <w:r w:rsidR="009A0847">
        <w:t xml:space="preserve"> </w:t>
      </w:r>
      <w:r w:rsidR="00F60DC6" w:rsidRPr="005F2F6A">
        <w:t>experimental</w:t>
      </w:r>
      <w:r w:rsidR="009A0847">
        <w:t xml:space="preserve"> </w:t>
      </w:r>
      <w:r w:rsidR="00F60DC6" w:rsidRPr="005F2F6A">
        <w:t>methods</w:t>
      </w:r>
      <w:r w:rsidR="009A0847">
        <w:t xml:space="preserve"> </w:t>
      </w:r>
      <w:r w:rsidR="00D90208" w:rsidRPr="005F2F6A">
        <w:t>to</w:t>
      </w:r>
      <w:r w:rsidR="009A0847">
        <w:t xml:space="preserve"> </w:t>
      </w:r>
      <w:r w:rsidR="00D90208" w:rsidRPr="005F2F6A">
        <w:t>study</w:t>
      </w:r>
      <w:r w:rsidR="009A0847">
        <w:t xml:space="preserve"> </w:t>
      </w:r>
      <w:r w:rsidR="00D90208" w:rsidRPr="005F2F6A">
        <w:t>DW</w:t>
      </w:r>
      <w:r w:rsidR="009A0847">
        <w:t xml:space="preserve"> </w:t>
      </w:r>
      <w:r w:rsidR="00D90208" w:rsidRPr="005F2F6A">
        <w:t>stigma</w:t>
      </w:r>
      <w:r w:rsidR="009A0847">
        <w:t xml:space="preserve"> </w:t>
      </w:r>
      <w:r w:rsidR="00D90208" w:rsidRPr="005F2F6A">
        <w:t>and</w:t>
      </w:r>
      <w:r w:rsidR="009A0847">
        <w:t xml:space="preserve"> </w:t>
      </w:r>
      <w:r w:rsidR="00D90208" w:rsidRPr="005F2F6A">
        <w:t>more</w:t>
      </w:r>
      <w:r w:rsidR="009A0847">
        <w:t xml:space="preserve"> </w:t>
      </w:r>
      <w:r w:rsidR="00D90208" w:rsidRPr="005F2F6A">
        <w:t>generally</w:t>
      </w:r>
      <w:r w:rsidR="009A0847">
        <w:t xml:space="preserve"> </w:t>
      </w:r>
      <w:r w:rsidR="00D90208" w:rsidRPr="005F2F6A">
        <w:t>the</w:t>
      </w:r>
      <w:r w:rsidR="009A0847">
        <w:t xml:space="preserve"> </w:t>
      </w:r>
      <w:r w:rsidR="00D90208" w:rsidRPr="005F2F6A">
        <w:t>provision</w:t>
      </w:r>
      <w:r w:rsidR="009A0847">
        <w:t xml:space="preserve"> </w:t>
      </w:r>
      <w:r w:rsidR="00D90208" w:rsidRPr="005F2F6A">
        <w:t>of</w:t>
      </w:r>
      <w:r w:rsidR="009A0847">
        <w:t xml:space="preserve"> </w:t>
      </w:r>
      <w:r w:rsidR="00D90208" w:rsidRPr="005F2F6A">
        <w:t>emergency</w:t>
      </w:r>
      <w:r w:rsidR="009A0847">
        <w:t xml:space="preserve"> </w:t>
      </w:r>
      <w:r w:rsidR="00D90208" w:rsidRPr="005F2F6A">
        <w:t>liquidity.</w:t>
      </w:r>
    </w:p>
    <w:p w14:paraId="716F7C54" w14:textId="77332238" w:rsidR="006A6D23" w:rsidRDefault="0068744B" w:rsidP="00A3292A">
      <w:pPr>
        <w:pStyle w:val="Olivier1"/>
        <w:widowControl w:val="0"/>
        <w:ind w:firstLine="360"/>
      </w:pPr>
      <w:r w:rsidRPr="005F2F6A">
        <w:rPr>
          <w:color w:val="000000" w:themeColor="text1"/>
        </w:rPr>
        <w:t>In</w:t>
      </w:r>
      <w:r w:rsidR="009A0847">
        <w:rPr>
          <w:color w:val="000000" w:themeColor="text1"/>
        </w:rPr>
        <w:t xml:space="preserve"> </w:t>
      </w:r>
      <w:r w:rsidRPr="005F2F6A">
        <w:rPr>
          <w:color w:val="000000" w:themeColor="text1"/>
        </w:rPr>
        <w:t>principle,</w:t>
      </w:r>
      <w:r w:rsidR="009A0847">
        <w:rPr>
          <w:color w:val="000000" w:themeColor="text1"/>
        </w:rPr>
        <w:t xml:space="preserve"> </w:t>
      </w:r>
      <w:r w:rsidRPr="005F2F6A">
        <w:rPr>
          <w:color w:val="000000" w:themeColor="text1"/>
        </w:rPr>
        <w:t>solvent</w:t>
      </w:r>
      <w:r w:rsidR="009A0847">
        <w:rPr>
          <w:color w:val="000000" w:themeColor="text1"/>
        </w:rPr>
        <w:t xml:space="preserve"> </w:t>
      </w:r>
      <w:r w:rsidRPr="005F2F6A">
        <w:rPr>
          <w:color w:val="000000" w:themeColor="text1"/>
        </w:rPr>
        <w:t>but</w:t>
      </w:r>
      <w:r w:rsidR="009A0847">
        <w:rPr>
          <w:color w:val="000000" w:themeColor="text1"/>
        </w:rPr>
        <w:t xml:space="preserve"> </w:t>
      </w:r>
      <w:r w:rsidRPr="005F2F6A">
        <w:rPr>
          <w:color w:val="000000" w:themeColor="text1"/>
        </w:rPr>
        <w:t>illiquid</w:t>
      </w:r>
      <w:r w:rsidR="009A0847">
        <w:rPr>
          <w:color w:val="000000" w:themeColor="text1"/>
        </w:rPr>
        <w:t xml:space="preserve"> </w:t>
      </w:r>
      <w:r w:rsidRPr="005F2F6A">
        <w:rPr>
          <w:color w:val="000000" w:themeColor="text1"/>
        </w:rPr>
        <w:t>banks</w:t>
      </w:r>
      <w:r w:rsidR="009A0847">
        <w:rPr>
          <w:color w:val="000000" w:themeColor="text1"/>
        </w:rPr>
        <w:t xml:space="preserve"> </w:t>
      </w:r>
      <w:r w:rsidRPr="005F2F6A">
        <w:rPr>
          <w:color w:val="000000" w:themeColor="text1"/>
        </w:rPr>
        <w:t>should</w:t>
      </w:r>
      <w:r w:rsidR="009A0847">
        <w:rPr>
          <w:color w:val="000000" w:themeColor="text1"/>
        </w:rPr>
        <w:t xml:space="preserve"> </w:t>
      </w:r>
      <w:r w:rsidR="00AC431E" w:rsidRPr="005F2F6A">
        <w:rPr>
          <w:color w:val="000000" w:themeColor="text1"/>
        </w:rPr>
        <w:t>obtain</w:t>
      </w:r>
      <w:r w:rsidR="009A0847">
        <w:rPr>
          <w:color w:val="000000" w:themeColor="text1"/>
        </w:rPr>
        <w:t xml:space="preserve"> </w:t>
      </w:r>
      <w:r w:rsidR="00AC431E" w:rsidRPr="005F2F6A">
        <w:rPr>
          <w:color w:val="000000" w:themeColor="text1"/>
        </w:rPr>
        <w:t>funding</w:t>
      </w:r>
      <w:r w:rsidR="009A0847">
        <w:rPr>
          <w:color w:val="000000" w:themeColor="text1"/>
        </w:rPr>
        <w:t xml:space="preserve"> </w:t>
      </w:r>
      <w:r w:rsidR="00AC431E" w:rsidRPr="005F2F6A">
        <w:rPr>
          <w:color w:val="000000" w:themeColor="text1"/>
        </w:rPr>
        <w:t>from</w:t>
      </w:r>
      <w:r w:rsidR="009A0847">
        <w:rPr>
          <w:color w:val="000000" w:themeColor="text1"/>
        </w:rPr>
        <w:t xml:space="preserve"> </w:t>
      </w:r>
      <w:r w:rsidR="000C3E83" w:rsidRPr="005F2F6A">
        <w:rPr>
          <w:color w:val="000000" w:themeColor="text1"/>
        </w:rPr>
        <w:t>private</w:t>
      </w:r>
      <w:r w:rsidR="009A0847">
        <w:rPr>
          <w:color w:val="000000" w:themeColor="text1"/>
        </w:rPr>
        <w:t xml:space="preserve"> </w:t>
      </w:r>
      <w:r w:rsidR="000C3E83" w:rsidRPr="005F2F6A">
        <w:rPr>
          <w:color w:val="000000" w:themeColor="text1"/>
        </w:rPr>
        <w:t>counterparties</w:t>
      </w:r>
      <w:r w:rsidR="009A0847">
        <w:rPr>
          <w:color w:val="000000" w:themeColor="text1"/>
        </w:rPr>
        <w:t xml:space="preserve"> </w:t>
      </w:r>
      <w:r w:rsidR="00597F91" w:rsidRPr="005F2F6A">
        <w:rPr>
          <w:color w:val="000000" w:themeColor="text1"/>
        </w:rPr>
        <w:t>with</w:t>
      </w:r>
      <w:r w:rsidR="009A0847">
        <w:rPr>
          <w:color w:val="000000" w:themeColor="text1"/>
        </w:rPr>
        <w:t xml:space="preserve"> </w:t>
      </w:r>
      <w:r w:rsidR="00597F91" w:rsidRPr="005F2F6A">
        <w:rPr>
          <w:color w:val="000000" w:themeColor="text1"/>
        </w:rPr>
        <w:t>excess</w:t>
      </w:r>
      <w:r w:rsidR="009A0847">
        <w:rPr>
          <w:color w:val="000000" w:themeColor="text1"/>
        </w:rPr>
        <w:t xml:space="preserve"> </w:t>
      </w:r>
      <w:r w:rsidR="00597F91" w:rsidRPr="005F2F6A">
        <w:rPr>
          <w:color w:val="000000" w:themeColor="text1"/>
        </w:rPr>
        <w:t>liquidity</w:t>
      </w:r>
      <w:r w:rsidR="009A0847">
        <w:rPr>
          <w:color w:val="000000" w:themeColor="text1"/>
        </w:rPr>
        <w:t xml:space="preserve"> </w:t>
      </w:r>
      <w:r w:rsidR="00746937" w:rsidRPr="005F2F6A">
        <w:rPr>
          <w:color w:val="000000" w:themeColor="text1"/>
        </w:rPr>
        <w:t>in</w:t>
      </w:r>
      <w:r w:rsidR="009A0847">
        <w:rPr>
          <w:color w:val="000000" w:themeColor="text1"/>
        </w:rPr>
        <w:t xml:space="preserve"> </w:t>
      </w:r>
      <w:r w:rsidR="00746937" w:rsidRPr="005F2F6A">
        <w:rPr>
          <w:color w:val="000000" w:themeColor="text1"/>
        </w:rPr>
        <w:t>the</w:t>
      </w:r>
      <w:r w:rsidR="009A0847">
        <w:rPr>
          <w:color w:val="000000" w:themeColor="text1"/>
        </w:rPr>
        <w:t xml:space="preserve"> </w:t>
      </w:r>
      <w:r w:rsidR="00746937" w:rsidRPr="005F2F6A">
        <w:rPr>
          <w:color w:val="000000" w:themeColor="text1"/>
        </w:rPr>
        <w:t>interbank</w:t>
      </w:r>
      <w:r w:rsidR="009A0847">
        <w:rPr>
          <w:color w:val="000000" w:themeColor="text1"/>
        </w:rPr>
        <w:t xml:space="preserve"> </w:t>
      </w:r>
      <w:r w:rsidR="00746937" w:rsidRPr="005F2F6A">
        <w:rPr>
          <w:color w:val="000000" w:themeColor="text1"/>
        </w:rPr>
        <w:t>market</w:t>
      </w:r>
      <w:r w:rsidR="003C690E" w:rsidRPr="005F2F6A">
        <w:rPr>
          <w:color w:val="000000" w:themeColor="text1"/>
        </w:rPr>
        <w:t>.</w:t>
      </w:r>
      <w:r w:rsidR="009A0847">
        <w:rPr>
          <w:color w:val="000000" w:themeColor="text1"/>
        </w:rPr>
        <w:t xml:space="preserve"> </w:t>
      </w:r>
      <w:r w:rsidR="00F368E8" w:rsidRPr="005F2F6A">
        <w:rPr>
          <w:color w:val="000000" w:themeColor="text1"/>
        </w:rPr>
        <w:t>Various</w:t>
      </w:r>
      <w:r w:rsidR="009A0847">
        <w:rPr>
          <w:color w:val="000000" w:themeColor="text1"/>
        </w:rPr>
        <w:t xml:space="preserve"> </w:t>
      </w:r>
      <w:r w:rsidR="00F368E8" w:rsidRPr="005F2F6A">
        <w:rPr>
          <w:color w:val="000000" w:themeColor="text1"/>
        </w:rPr>
        <w:t>frictions</w:t>
      </w:r>
      <w:r w:rsidR="00C52BA1" w:rsidRPr="005F2F6A">
        <w:rPr>
          <w:color w:val="000000" w:themeColor="text1"/>
        </w:rPr>
        <w:t>,</w:t>
      </w:r>
      <w:r w:rsidR="009A0847">
        <w:rPr>
          <w:color w:val="000000" w:themeColor="text1"/>
        </w:rPr>
        <w:t xml:space="preserve"> </w:t>
      </w:r>
      <w:r w:rsidR="00C52BA1" w:rsidRPr="005F2F6A">
        <w:rPr>
          <w:color w:val="000000" w:themeColor="text1"/>
        </w:rPr>
        <w:t>however,</w:t>
      </w:r>
      <w:r w:rsidR="009A0847">
        <w:rPr>
          <w:color w:val="000000" w:themeColor="text1"/>
        </w:rPr>
        <w:t xml:space="preserve"> </w:t>
      </w:r>
      <w:r w:rsidR="00F368E8" w:rsidRPr="005F2F6A">
        <w:rPr>
          <w:color w:val="000000" w:themeColor="text1"/>
        </w:rPr>
        <w:t>can</w:t>
      </w:r>
      <w:r w:rsidR="009A0847">
        <w:rPr>
          <w:color w:val="000000" w:themeColor="text1"/>
        </w:rPr>
        <w:t xml:space="preserve"> </w:t>
      </w:r>
      <w:r w:rsidR="00E0476E" w:rsidRPr="005F2F6A">
        <w:rPr>
          <w:color w:val="000000" w:themeColor="text1"/>
        </w:rPr>
        <w:t>impair</w:t>
      </w:r>
      <w:r w:rsidR="009A0847">
        <w:rPr>
          <w:color w:val="000000" w:themeColor="text1"/>
        </w:rPr>
        <w:t xml:space="preserve"> </w:t>
      </w:r>
      <w:r w:rsidR="00880C2C" w:rsidRPr="005F2F6A">
        <w:rPr>
          <w:color w:val="000000" w:themeColor="text1"/>
        </w:rPr>
        <w:t>the</w:t>
      </w:r>
      <w:r w:rsidR="009A0847">
        <w:rPr>
          <w:color w:val="000000" w:themeColor="text1"/>
        </w:rPr>
        <w:t xml:space="preserve"> </w:t>
      </w:r>
      <w:r w:rsidR="00880C2C" w:rsidRPr="005F2F6A">
        <w:rPr>
          <w:color w:val="000000" w:themeColor="text1"/>
        </w:rPr>
        <w:t>interbank</w:t>
      </w:r>
      <w:r w:rsidR="009A0847">
        <w:rPr>
          <w:color w:val="000000" w:themeColor="text1"/>
        </w:rPr>
        <w:t xml:space="preserve"> </w:t>
      </w:r>
      <w:r w:rsidR="00880C2C" w:rsidRPr="005F2F6A">
        <w:rPr>
          <w:color w:val="000000" w:themeColor="text1"/>
        </w:rPr>
        <w:t>market</w:t>
      </w:r>
      <w:r w:rsidR="00F368E8" w:rsidRPr="005F2F6A">
        <w:rPr>
          <w:color w:val="000000" w:themeColor="text1"/>
        </w:rPr>
        <w:t>.</w:t>
      </w:r>
      <w:r w:rsidR="009A0847">
        <w:rPr>
          <w:color w:val="000000" w:themeColor="text1"/>
        </w:rPr>
        <w:t xml:space="preserve"> </w:t>
      </w:r>
      <w:r w:rsidR="00880C2C" w:rsidRPr="005F2F6A">
        <w:rPr>
          <w:color w:val="000000" w:themeColor="text1"/>
        </w:rPr>
        <w:t>In</w:t>
      </w:r>
      <w:r w:rsidR="009A0847">
        <w:rPr>
          <w:color w:val="000000" w:themeColor="text1"/>
        </w:rPr>
        <w:t xml:space="preserve"> </w:t>
      </w:r>
      <w:r w:rsidR="00880C2C" w:rsidRPr="005F2F6A">
        <w:rPr>
          <w:color w:val="000000" w:themeColor="text1"/>
        </w:rPr>
        <w:t>particular,</w:t>
      </w:r>
      <w:r w:rsidR="009A0847">
        <w:rPr>
          <w:color w:val="000000" w:themeColor="text1"/>
        </w:rPr>
        <w:t xml:space="preserve"> </w:t>
      </w:r>
      <w:r w:rsidR="00880C2C" w:rsidRPr="005F2F6A">
        <w:rPr>
          <w:color w:val="000000" w:themeColor="text1"/>
        </w:rPr>
        <w:t>asymmetric</w:t>
      </w:r>
      <w:r w:rsidR="009A0847">
        <w:rPr>
          <w:color w:val="000000" w:themeColor="text1"/>
        </w:rPr>
        <w:t xml:space="preserve"> </w:t>
      </w:r>
      <w:r w:rsidR="00880C2C" w:rsidRPr="005F2F6A">
        <w:rPr>
          <w:color w:val="000000" w:themeColor="text1"/>
        </w:rPr>
        <w:t>information</w:t>
      </w:r>
      <w:r w:rsidR="009A0847">
        <w:rPr>
          <w:color w:val="000000" w:themeColor="text1"/>
        </w:rPr>
        <w:t xml:space="preserve"> </w:t>
      </w:r>
      <w:r w:rsidR="00880C2C" w:rsidRPr="005F2F6A">
        <w:rPr>
          <w:color w:val="000000" w:themeColor="text1"/>
        </w:rPr>
        <w:t>can</w:t>
      </w:r>
      <w:r w:rsidR="009A0847">
        <w:rPr>
          <w:color w:val="000000" w:themeColor="text1"/>
        </w:rPr>
        <w:t xml:space="preserve"> </w:t>
      </w:r>
      <w:r w:rsidR="00880C2C" w:rsidRPr="005F2F6A">
        <w:rPr>
          <w:color w:val="000000" w:themeColor="text1"/>
        </w:rPr>
        <w:t>prevent</w:t>
      </w:r>
      <w:r w:rsidR="009A0847">
        <w:rPr>
          <w:color w:val="000000" w:themeColor="text1"/>
        </w:rPr>
        <w:t xml:space="preserve"> </w:t>
      </w:r>
      <w:r w:rsidR="00880C2C" w:rsidRPr="005F2F6A">
        <w:rPr>
          <w:color w:val="000000" w:themeColor="text1"/>
        </w:rPr>
        <w:t>lenders</w:t>
      </w:r>
      <w:r w:rsidR="009A0847">
        <w:rPr>
          <w:color w:val="000000" w:themeColor="text1"/>
        </w:rPr>
        <w:t xml:space="preserve"> </w:t>
      </w:r>
      <w:r w:rsidR="00880C2C" w:rsidRPr="005F2F6A">
        <w:rPr>
          <w:color w:val="000000" w:themeColor="text1"/>
        </w:rPr>
        <w:t>from</w:t>
      </w:r>
      <w:r w:rsidR="009A0847">
        <w:rPr>
          <w:color w:val="000000" w:themeColor="text1"/>
        </w:rPr>
        <w:t xml:space="preserve"> </w:t>
      </w:r>
      <w:r w:rsidR="00881350" w:rsidRPr="005F2F6A">
        <w:rPr>
          <w:color w:val="000000" w:themeColor="text1"/>
        </w:rPr>
        <w:t>distinguishing</w:t>
      </w:r>
      <w:r w:rsidR="009A0847">
        <w:rPr>
          <w:color w:val="000000" w:themeColor="text1"/>
        </w:rPr>
        <w:t xml:space="preserve"> </w:t>
      </w:r>
      <w:r w:rsidR="005D1B6D" w:rsidRPr="005F2F6A">
        <w:rPr>
          <w:color w:val="000000" w:themeColor="text1"/>
        </w:rPr>
        <w:t>illi</w:t>
      </w:r>
      <w:r w:rsidR="00FA748C" w:rsidRPr="005F2F6A">
        <w:rPr>
          <w:color w:val="000000" w:themeColor="text1"/>
        </w:rPr>
        <w:t>quid</w:t>
      </w:r>
      <w:r w:rsidR="009A0847">
        <w:rPr>
          <w:color w:val="000000" w:themeColor="text1"/>
        </w:rPr>
        <w:t xml:space="preserve"> </w:t>
      </w:r>
      <w:r w:rsidR="00FA748C" w:rsidRPr="005F2F6A">
        <w:rPr>
          <w:color w:val="000000" w:themeColor="text1"/>
        </w:rPr>
        <w:t>from</w:t>
      </w:r>
      <w:r w:rsidR="009A0847">
        <w:rPr>
          <w:color w:val="000000" w:themeColor="text1"/>
        </w:rPr>
        <w:t xml:space="preserve"> </w:t>
      </w:r>
      <w:r w:rsidR="00FA748C" w:rsidRPr="005F2F6A">
        <w:rPr>
          <w:color w:val="000000" w:themeColor="text1"/>
        </w:rPr>
        <w:t>insolvent</w:t>
      </w:r>
      <w:r w:rsidR="009A0847">
        <w:rPr>
          <w:color w:val="000000" w:themeColor="text1"/>
        </w:rPr>
        <w:t xml:space="preserve"> </w:t>
      </w:r>
      <w:r w:rsidR="00FA748C" w:rsidRPr="005F2F6A">
        <w:rPr>
          <w:color w:val="000000" w:themeColor="text1"/>
        </w:rPr>
        <w:t>borrower</w:t>
      </w:r>
      <w:r w:rsidR="00881350" w:rsidRPr="005F2F6A">
        <w:rPr>
          <w:color w:val="000000" w:themeColor="text1"/>
        </w:rPr>
        <w:t>s</w:t>
      </w:r>
      <w:r w:rsidR="00885172" w:rsidRPr="005F2F6A">
        <w:rPr>
          <w:color w:val="000000" w:themeColor="text1"/>
        </w:rPr>
        <w:t>,</w:t>
      </w:r>
      <w:r w:rsidR="009A0847">
        <w:rPr>
          <w:color w:val="000000" w:themeColor="text1"/>
        </w:rPr>
        <w:t xml:space="preserve"> </w:t>
      </w:r>
      <w:r w:rsidR="00885172" w:rsidRPr="005F2F6A">
        <w:rPr>
          <w:color w:val="000000" w:themeColor="text1"/>
        </w:rPr>
        <w:t>especially</w:t>
      </w:r>
      <w:r w:rsidR="009A0847">
        <w:rPr>
          <w:color w:val="000000" w:themeColor="text1"/>
        </w:rPr>
        <w:t xml:space="preserve"> </w:t>
      </w:r>
      <w:r w:rsidR="00BA6642" w:rsidRPr="005F2F6A">
        <w:rPr>
          <w:color w:val="000000" w:themeColor="text1"/>
        </w:rPr>
        <w:t>when</w:t>
      </w:r>
      <w:r w:rsidR="009A0847">
        <w:rPr>
          <w:color w:val="000000" w:themeColor="text1"/>
        </w:rPr>
        <w:t xml:space="preserve"> </w:t>
      </w:r>
      <w:r w:rsidR="00BA6642" w:rsidRPr="005F2F6A">
        <w:rPr>
          <w:color w:val="000000" w:themeColor="text1"/>
        </w:rPr>
        <w:t>markets</w:t>
      </w:r>
      <w:r w:rsidR="009A0847">
        <w:rPr>
          <w:color w:val="000000" w:themeColor="text1"/>
        </w:rPr>
        <w:t xml:space="preserve"> </w:t>
      </w:r>
      <w:r w:rsidR="00BA6642" w:rsidRPr="005F2F6A">
        <w:rPr>
          <w:color w:val="000000" w:themeColor="text1"/>
        </w:rPr>
        <w:t>are</w:t>
      </w:r>
      <w:r w:rsidR="009A0847">
        <w:rPr>
          <w:color w:val="000000" w:themeColor="text1"/>
        </w:rPr>
        <w:t xml:space="preserve"> </w:t>
      </w:r>
      <w:r w:rsidR="00885172" w:rsidRPr="005F2F6A">
        <w:rPr>
          <w:color w:val="000000" w:themeColor="text1"/>
        </w:rPr>
        <w:t>stress</w:t>
      </w:r>
      <w:r w:rsidR="00BA6642" w:rsidRPr="005F2F6A">
        <w:rPr>
          <w:color w:val="000000" w:themeColor="text1"/>
        </w:rPr>
        <w:t>ed</w:t>
      </w:r>
      <w:r w:rsidR="005D1B6D" w:rsidRPr="005F2F6A">
        <w:rPr>
          <w:color w:val="000000" w:themeColor="text1"/>
        </w:rPr>
        <w:t>.</w:t>
      </w:r>
      <w:r w:rsidR="00880C2C" w:rsidRPr="005F2F6A">
        <w:rPr>
          <w:rStyle w:val="FootnoteReference"/>
          <w:color w:val="000000" w:themeColor="text1"/>
        </w:rPr>
        <w:footnoteReference w:id="2"/>
      </w:r>
      <w:r w:rsidR="009A0847">
        <w:rPr>
          <w:color w:val="000000" w:themeColor="text1"/>
        </w:rPr>
        <w:t xml:space="preserve"> </w:t>
      </w:r>
      <w:r w:rsidR="00880C2C" w:rsidRPr="005F2F6A">
        <w:rPr>
          <w:color w:val="000000" w:themeColor="text1"/>
        </w:rPr>
        <w:t>As</w:t>
      </w:r>
      <w:r w:rsidR="009A0847">
        <w:rPr>
          <w:color w:val="000000" w:themeColor="text1"/>
        </w:rPr>
        <w:t xml:space="preserve"> </w:t>
      </w:r>
      <w:r w:rsidR="00880C2C" w:rsidRPr="005F2F6A">
        <w:rPr>
          <w:color w:val="000000" w:themeColor="text1"/>
        </w:rPr>
        <w:t>a</w:t>
      </w:r>
      <w:r w:rsidR="009A0847">
        <w:rPr>
          <w:color w:val="000000" w:themeColor="text1"/>
        </w:rPr>
        <w:t xml:space="preserve"> </w:t>
      </w:r>
      <w:r w:rsidR="00880C2C" w:rsidRPr="005F2F6A">
        <w:rPr>
          <w:color w:val="000000" w:themeColor="text1"/>
        </w:rPr>
        <w:t>result,</w:t>
      </w:r>
      <w:r w:rsidR="009A0847">
        <w:rPr>
          <w:color w:val="000000" w:themeColor="text1"/>
        </w:rPr>
        <w:t xml:space="preserve"> </w:t>
      </w:r>
      <w:r w:rsidR="00A32FA4" w:rsidRPr="005F2F6A">
        <w:rPr>
          <w:color w:val="000000" w:themeColor="text1"/>
        </w:rPr>
        <w:t>solvent</w:t>
      </w:r>
      <w:r w:rsidR="009A0847">
        <w:rPr>
          <w:color w:val="000000" w:themeColor="text1"/>
        </w:rPr>
        <w:t xml:space="preserve"> </w:t>
      </w:r>
      <w:r w:rsidR="00A32FA4" w:rsidRPr="005F2F6A">
        <w:rPr>
          <w:color w:val="000000" w:themeColor="text1"/>
        </w:rPr>
        <w:t>bank</w:t>
      </w:r>
      <w:r w:rsidR="00C969FA" w:rsidRPr="005F2F6A">
        <w:rPr>
          <w:color w:val="000000" w:themeColor="text1"/>
        </w:rPr>
        <w:t>s</w:t>
      </w:r>
      <w:r w:rsidR="009A0847">
        <w:rPr>
          <w:color w:val="000000" w:themeColor="text1"/>
        </w:rPr>
        <w:t xml:space="preserve"> </w:t>
      </w:r>
      <w:r w:rsidR="00885172" w:rsidRPr="005F2F6A">
        <w:rPr>
          <w:color w:val="000000" w:themeColor="text1"/>
        </w:rPr>
        <w:t>can</w:t>
      </w:r>
      <w:r w:rsidR="009A0847">
        <w:rPr>
          <w:color w:val="000000" w:themeColor="text1"/>
        </w:rPr>
        <w:t xml:space="preserve"> </w:t>
      </w:r>
      <w:r w:rsidR="00885172" w:rsidRPr="005F2F6A">
        <w:rPr>
          <w:color w:val="000000" w:themeColor="text1"/>
        </w:rPr>
        <w:t>fail</w:t>
      </w:r>
      <w:r w:rsidR="009A0847">
        <w:rPr>
          <w:color w:val="000000" w:themeColor="text1"/>
        </w:rPr>
        <w:t xml:space="preserve"> </w:t>
      </w:r>
      <w:r w:rsidR="00885172" w:rsidRPr="005F2F6A">
        <w:rPr>
          <w:color w:val="000000" w:themeColor="text1"/>
        </w:rPr>
        <w:t>to</w:t>
      </w:r>
      <w:r w:rsidR="009A0847">
        <w:rPr>
          <w:color w:val="000000" w:themeColor="text1"/>
        </w:rPr>
        <w:t xml:space="preserve"> </w:t>
      </w:r>
      <w:r w:rsidR="00885172" w:rsidRPr="005F2F6A">
        <w:rPr>
          <w:color w:val="000000" w:themeColor="text1"/>
        </w:rPr>
        <w:t>secure</w:t>
      </w:r>
      <w:r w:rsidR="009A0847">
        <w:rPr>
          <w:color w:val="000000" w:themeColor="text1"/>
        </w:rPr>
        <w:t xml:space="preserve"> </w:t>
      </w:r>
      <w:r w:rsidR="00A32FA4" w:rsidRPr="005F2F6A">
        <w:rPr>
          <w:color w:val="000000" w:themeColor="text1"/>
        </w:rPr>
        <w:t>private</w:t>
      </w:r>
      <w:r w:rsidR="009A0847">
        <w:rPr>
          <w:color w:val="000000" w:themeColor="text1"/>
        </w:rPr>
        <w:t xml:space="preserve"> </w:t>
      </w:r>
      <w:r w:rsidR="00BB4B94" w:rsidRPr="005F2F6A">
        <w:rPr>
          <w:color w:val="000000" w:themeColor="text1"/>
        </w:rPr>
        <w:t>funding</w:t>
      </w:r>
      <w:r w:rsidR="00C969FA" w:rsidRPr="005F2F6A">
        <w:rPr>
          <w:color w:val="000000" w:themeColor="text1"/>
        </w:rPr>
        <w:t>,</w:t>
      </w:r>
      <w:r w:rsidR="009A0847">
        <w:rPr>
          <w:color w:val="000000" w:themeColor="text1"/>
        </w:rPr>
        <w:t xml:space="preserve"> </w:t>
      </w:r>
      <w:r w:rsidR="00C969FA" w:rsidRPr="005F2F6A">
        <w:rPr>
          <w:color w:val="000000" w:themeColor="text1"/>
        </w:rPr>
        <w:t>in</w:t>
      </w:r>
      <w:r w:rsidR="009A0847">
        <w:rPr>
          <w:color w:val="000000" w:themeColor="text1"/>
        </w:rPr>
        <w:t xml:space="preserve"> </w:t>
      </w:r>
      <w:r w:rsidR="00C969FA" w:rsidRPr="005F2F6A">
        <w:rPr>
          <w:color w:val="000000" w:themeColor="text1"/>
        </w:rPr>
        <w:t>which</w:t>
      </w:r>
      <w:r w:rsidR="009A0847">
        <w:rPr>
          <w:color w:val="000000" w:themeColor="text1"/>
        </w:rPr>
        <w:t xml:space="preserve"> </w:t>
      </w:r>
      <w:r w:rsidR="00C969FA" w:rsidRPr="005F2F6A">
        <w:rPr>
          <w:color w:val="000000" w:themeColor="text1"/>
        </w:rPr>
        <w:t>case</w:t>
      </w:r>
      <w:r w:rsidR="009A0847">
        <w:rPr>
          <w:color w:val="000000" w:themeColor="text1"/>
        </w:rPr>
        <w:t xml:space="preserve"> </w:t>
      </w:r>
      <w:r w:rsidR="00C969FA" w:rsidRPr="005F2F6A">
        <w:rPr>
          <w:color w:val="000000" w:themeColor="text1"/>
        </w:rPr>
        <w:t>they</w:t>
      </w:r>
      <w:r w:rsidR="009A0847">
        <w:rPr>
          <w:color w:val="000000" w:themeColor="text1"/>
        </w:rPr>
        <w:t xml:space="preserve"> </w:t>
      </w:r>
      <w:r w:rsidR="00881350" w:rsidRPr="005F2F6A">
        <w:rPr>
          <w:color w:val="000000" w:themeColor="text1"/>
        </w:rPr>
        <w:t>ha</w:t>
      </w:r>
      <w:r w:rsidR="00C969FA" w:rsidRPr="005F2F6A">
        <w:rPr>
          <w:color w:val="000000" w:themeColor="text1"/>
        </w:rPr>
        <w:t>ve</w:t>
      </w:r>
      <w:r w:rsidR="009A0847">
        <w:rPr>
          <w:color w:val="000000" w:themeColor="text1"/>
        </w:rPr>
        <w:t xml:space="preserve"> </w:t>
      </w:r>
      <w:r w:rsidR="00881350" w:rsidRPr="005F2F6A">
        <w:rPr>
          <w:color w:val="000000" w:themeColor="text1"/>
        </w:rPr>
        <w:t>to</w:t>
      </w:r>
      <w:r w:rsidR="009A0847">
        <w:rPr>
          <w:color w:val="000000" w:themeColor="text1"/>
        </w:rPr>
        <w:t xml:space="preserve"> </w:t>
      </w:r>
      <w:r w:rsidR="00881350" w:rsidRPr="005F2F6A">
        <w:rPr>
          <w:color w:val="000000" w:themeColor="text1"/>
        </w:rPr>
        <w:t>resort</w:t>
      </w:r>
      <w:r w:rsidR="009A0847">
        <w:rPr>
          <w:color w:val="000000" w:themeColor="text1"/>
        </w:rPr>
        <w:t xml:space="preserve"> </w:t>
      </w:r>
      <w:r w:rsidR="00881350" w:rsidRPr="005F2F6A">
        <w:rPr>
          <w:color w:val="000000" w:themeColor="text1"/>
        </w:rPr>
        <w:t>to</w:t>
      </w:r>
      <w:r w:rsidR="009A0847">
        <w:rPr>
          <w:color w:val="000000" w:themeColor="text1"/>
        </w:rPr>
        <w:t xml:space="preserve"> </w:t>
      </w:r>
      <w:r w:rsidR="006E3C64" w:rsidRPr="005F2F6A">
        <w:rPr>
          <w:color w:val="000000" w:themeColor="text1"/>
        </w:rPr>
        <w:t>costly</w:t>
      </w:r>
      <w:r w:rsidR="009A0847">
        <w:rPr>
          <w:color w:val="000000" w:themeColor="text1"/>
        </w:rPr>
        <w:t xml:space="preserve"> </w:t>
      </w:r>
      <w:r w:rsidR="006E3C64" w:rsidRPr="005F2F6A">
        <w:rPr>
          <w:color w:val="000000" w:themeColor="text1"/>
        </w:rPr>
        <w:t>alternatives</w:t>
      </w:r>
      <w:r w:rsidR="009A0847">
        <w:rPr>
          <w:color w:val="000000" w:themeColor="text1"/>
        </w:rPr>
        <w:t xml:space="preserve"> </w:t>
      </w:r>
      <w:r w:rsidR="006E3C64" w:rsidRPr="005F2F6A">
        <w:rPr>
          <w:color w:val="000000" w:themeColor="text1"/>
        </w:rPr>
        <w:t>(e.g.</w:t>
      </w:r>
      <w:r w:rsidR="009A0847">
        <w:rPr>
          <w:color w:val="000000" w:themeColor="text1"/>
        </w:rPr>
        <w:t xml:space="preserve"> </w:t>
      </w:r>
      <w:r w:rsidR="003233AD">
        <w:rPr>
          <w:color w:val="000000" w:themeColor="text1"/>
        </w:rPr>
        <w:t>“fire</w:t>
      </w:r>
      <w:r w:rsidR="009A0847">
        <w:rPr>
          <w:color w:val="000000" w:themeColor="text1"/>
        </w:rPr>
        <w:t xml:space="preserve"> </w:t>
      </w:r>
      <w:r w:rsidR="00881350" w:rsidRPr="005F2F6A">
        <w:rPr>
          <w:color w:val="000000" w:themeColor="text1"/>
        </w:rPr>
        <w:t>sales</w:t>
      </w:r>
      <w:r w:rsidR="003233AD">
        <w:rPr>
          <w:color w:val="000000" w:themeColor="text1"/>
        </w:rPr>
        <w:t>”</w:t>
      </w:r>
      <w:r w:rsidR="009A0847">
        <w:rPr>
          <w:color w:val="000000" w:themeColor="text1"/>
        </w:rPr>
        <w:t xml:space="preserve"> </w:t>
      </w:r>
      <w:r w:rsidR="003233AD">
        <w:rPr>
          <w:color w:val="000000" w:themeColor="text1"/>
        </w:rPr>
        <w:t>of</w:t>
      </w:r>
      <w:r w:rsidR="009A0847">
        <w:rPr>
          <w:color w:val="000000" w:themeColor="text1"/>
        </w:rPr>
        <w:t xml:space="preserve"> </w:t>
      </w:r>
      <w:r w:rsidR="003233AD">
        <w:rPr>
          <w:color w:val="000000" w:themeColor="text1"/>
        </w:rPr>
        <w:t>assets</w:t>
      </w:r>
      <w:r w:rsidR="006E3C64" w:rsidRPr="005F2F6A">
        <w:rPr>
          <w:color w:val="000000" w:themeColor="text1"/>
        </w:rPr>
        <w:t>,</w:t>
      </w:r>
      <w:r w:rsidR="009A0847">
        <w:rPr>
          <w:color w:val="000000" w:themeColor="text1"/>
        </w:rPr>
        <w:t xml:space="preserve"> </w:t>
      </w:r>
      <w:r w:rsidR="00881350" w:rsidRPr="005F2F6A">
        <w:rPr>
          <w:color w:val="000000" w:themeColor="text1"/>
        </w:rPr>
        <w:t>borrow</w:t>
      </w:r>
      <w:r w:rsidR="00A32FA4" w:rsidRPr="005F2F6A">
        <w:rPr>
          <w:color w:val="000000" w:themeColor="text1"/>
        </w:rPr>
        <w:t>ing</w:t>
      </w:r>
      <w:r w:rsidR="009A0847">
        <w:rPr>
          <w:color w:val="000000" w:themeColor="text1"/>
        </w:rPr>
        <w:t xml:space="preserve"> </w:t>
      </w:r>
      <w:r w:rsidR="00881350" w:rsidRPr="005F2F6A">
        <w:rPr>
          <w:color w:val="000000" w:themeColor="text1"/>
        </w:rPr>
        <w:t>at</w:t>
      </w:r>
      <w:r w:rsidR="009A0847">
        <w:rPr>
          <w:color w:val="000000" w:themeColor="text1"/>
        </w:rPr>
        <w:t xml:space="preserve"> </w:t>
      </w:r>
      <w:r w:rsidR="00881350" w:rsidRPr="005F2F6A">
        <w:rPr>
          <w:color w:val="000000" w:themeColor="text1"/>
        </w:rPr>
        <w:t>prohibitively</w:t>
      </w:r>
      <w:r w:rsidR="009A0847">
        <w:rPr>
          <w:color w:val="000000" w:themeColor="text1"/>
        </w:rPr>
        <w:t xml:space="preserve"> </w:t>
      </w:r>
      <w:r w:rsidR="00881350" w:rsidRPr="005F2F6A">
        <w:rPr>
          <w:color w:val="000000" w:themeColor="text1"/>
        </w:rPr>
        <w:t>high</w:t>
      </w:r>
      <w:r w:rsidR="009A0847">
        <w:rPr>
          <w:color w:val="000000" w:themeColor="text1"/>
        </w:rPr>
        <w:t xml:space="preserve"> </w:t>
      </w:r>
      <w:r w:rsidR="00881350" w:rsidRPr="005F2F6A">
        <w:rPr>
          <w:color w:val="000000" w:themeColor="text1"/>
        </w:rPr>
        <w:t>rates</w:t>
      </w:r>
      <w:r w:rsidR="006E3C64" w:rsidRPr="005F2F6A">
        <w:rPr>
          <w:color w:val="000000" w:themeColor="text1"/>
        </w:rPr>
        <w:t>)</w:t>
      </w:r>
      <w:r w:rsidR="009A0847">
        <w:rPr>
          <w:color w:val="000000" w:themeColor="text1"/>
        </w:rPr>
        <w:t xml:space="preserve"> </w:t>
      </w:r>
      <w:r w:rsidR="00A32FA4" w:rsidRPr="005F2F6A">
        <w:rPr>
          <w:color w:val="000000" w:themeColor="text1"/>
        </w:rPr>
        <w:t>to</w:t>
      </w:r>
      <w:r w:rsidR="009A0847">
        <w:rPr>
          <w:color w:val="000000" w:themeColor="text1"/>
        </w:rPr>
        <w:t xml:space="preserve"> </w:t>
      </w:r>
      <w:r w:rsidR="00A32FA4" w:rsidRPr="005F2F6A">
        <w:rPr>
          <w:color w:val="000000" w:themeColor="text1"/>
        </w:rPr>
        <w:t>meet</w:t>
      </w:r>
      <w:r w:rsidR="009A0847">
        <w:rPr>
          <w:color w:val="000000" w:themeColor="text1"/>
        </w:rPr>
        <w:t xml:space="preserve"> </w:t>
      </w:r>
      <w:r w:rsidR="00C969FA" w:rsidRPr="005F2F6A">
        <w:rPr>
          <w:color w:val="000000" w:themeColor="text1"/>
        </w:rPr>
        <w:t>their</w:t>
      </w:r>
      <w:r w:rsidR="009A0847">
        <w:rPr>
          <w:color w:val="000000" w:themeColor="text1"/>
        </w:rPr>
        <w:t xml:space="preserve"> </w:t>
      </w:r>
      <w:r w:rsidR="00A32FA4" w:rsidRPr="005F2F6A">
        <w:rPr>
          <w:color w:val="000000" w:themeColor="text1"/>
        </w:rPr>
        <w:t>liquidity</w:t>
      </w:r>
      <w:r w:rsidR="009A0847">
        <w:rPr>
          <w:color w:val="000000" w:themeColor="text1"/>
        </w:rPr>
        <w:t xml:space="preserve"> </w:t>
      </w:r>
      <w:r w:rsidR="00A32FA4" w:rsidRPr="005F2F6A">
        <w:rPr>
          <w:color w:val="000000" w:themeColor="text1"/>
        </w:rPr>
        <w:t>obligations</w:t>
      </w:r>
      <w:r w:rsidR="009A0847">
        <w:rPr>
          <w:color w:val="000000" w:themeColor="text1"/>
        </w:rPr>
        <w:t xml:space="preserve"> </w:t>
      </w:r>
      <w:r w:rsidR="00BA6642" w:rsidRPr="005F2F6A">
        <w:rPr>
          <w:color w:val="000000" w:themeColor="text1"/>
        </w:rPr>
        <w:t>(</w:t>
      </w:r>
      <w:r w:rsidR="001D78E9" w:rsidRPr="005F2F6A">
        <w:rPr>
          <w:color w:val="000000" w:themeColor="text1"/>
        </w:rPr>
        <w:t>Winters</w:t>
      </w:r>
      <w:r w:rsidR="009A0847">
        <w:rPr>
          <w:color w:val="000000" w:themeColor="text1"/>
        </w:rPr>
        <w:t xml:space="preserve"> </w:t>
      </w:r>
      <w:r w:rsidR="001D78E9" w:rsidRPr="005F2F6A">
        <w:rPr>
          <w:color w:val="000000" w:themeColor="text1"/>
        </w:rPr>
        <w:t>2012)</w:t>
      </w:r>
      <w:r w:rsidR="00881350" w:rsidRPr="005F2F6A">
        <w:rPr>
          <w:color w:val="000000" w:themeColor="text1"/>
        </w:rPr>
        <w:t>.</w:t>
      </w:r>
      <w:r w:rsidR="009A0847">
        <w:rPr>
          <w:color w:val="000000" w:themeColor="text1"/>
        </w:rPr>
        <w:t xml:space="preserve"> </w:t>
      </w:r>
      <w:r w:rsidR="00815B15" w:rsidRPr="005F2F6A">
        <w:rPr>
          <w:color w:val="000000" w:themeColor="text1"/>
        </w:rPr>
        <w:t>As</w:t>
      </w:r>
      <w:r w:rsidR="009A0847">
        <w:rPr>
          <w:color w:val="000000" w:themeColor="text1"/>
        </w:rPr>
        <w:t xml:space="preserve"> </w:t>
      </w:r>
      <w:r w:rsidR="00815B15" w:rsidRPr="005F2F6A">
        <w:rPr>
          <w:color w:val="000000" w:themeColor="text1"/>
        </w:rPr>
        <w:t>illustrated</w:t>
      </w:r>
      <w:r w:rsidR="009A0847">
        <w:rPr>
          <w:color w:val="000000" w:themeColor="text1"/>
        </w:rPr>
        <w:t xml:space="preserve"> </w:t>
      </w:r>
      <w:r w:rsidR="00815B15" w:rsidRPr="005F2F6A">
        <w:rPr>
          <w:color w:val="000000" w:themeColor="text1"/>
        </w:rPr>
        <w:t>by</w:t>
      </w:r>
      <w:r w:rsidR="009A0847">
        <w:rPr>
          <w:color w:val="000000" w:themeColor="text1"/>
        </w:rPr>
        <w:t xml:space="preserve"> </w:t>
      </w:r>
      <w:r w:rsidR="00815B15" w:rsidRPr="005F2F6A">
        <w:rPr>
          <w:color w:val="000000" w:themeColor="text1"/>
        </w:rPr>
        <w:t>the</w:t>
      </w:r>
      <w:r w:rsidR="009A0847">
        <w:rPr>
          <w:color w:val="000000" w:themeColor="text1"/>
        </w:rPr>
        <w:t xml:space="preserve"> </w:t>
      </w:r>
      <w:r w:rsidR="003D5F31">
        <w:rPr>
          <w:color w:val="000000" w:themeColor="text1"/>
        </w:rPr>
        <w:t>rapid</w:t>
      </w:r>
      <w:r w:rsidR="009A0847">
        <w:rPr>
          <w:color w:val="000000" w:themeColor="text1"/>
        </w:rPr>
        <w:t xml:space="preserve"> </w:t>
      </w:r>
      <w:r w:rsidR="00815B15" w:rsidRPr="005F2F6A">
        <w:rPr>
          <w:color w:val="000000" w:themeColor="text1"/>
        </w:rPr>
        <w:t>demise</w:t>
      </w:r>
      <w:r w:rsidR="009A0847">
        <w:rPr>
          <w:color w:val="000000" w:themeColor="text1"/>
        </w:rPr>
        <w:t xml:space="preserve"> </w:t>
      </w:r>
      <w:r w:rsidR="00815B15" w:rsidRPr="005F2F6A">
        <w:rPr>
          <w:color w:val="000000" w:themeColor="text1"/>
        </w:rPr>
        <w:t>of</w:t>
      </w:r>
      <w:r w:rsidR="009A0847">
        <w:rPr>
          <w:color w:val="000000" w:themeColor="text1"/>
        </w:rPr>
        <w:t xml:space="preserve"> </w:t>
      </w:r>
      <w:r w:rsidR="00815B15" w:rsidRPr="005F2F6A">
        <w:rPr>
          <w:i/>
          <w:color w:val="000000" w:themeColor="text1"/>
        </w:rPr>
        <w:t>Northern</w:t>
      </w:r>
      <w:r w:rsidR="009A0847">
        <w:rPr>
          <w:i/>
          <w:color w:val="000000" w:themeColor="text1"/>
        </w:rPr>
        <w:t xml:space="preserve"> </w:t>
      </w:r>
      <w:r w:rsidR="00815B15" w:rsidRPr="005F2F6A">
        <w:rPr>
          <w:i/>
          <w:color w:val="000000" w:themeColor="text1"/>
        </w:rPr>
        <w:t>Rock</w:t>
      </w:r>
      <w:r w:rsidR="009A0847">
        <w:rPr>
          <w:color w:val="000000" w:themeColor="text1"/>
        </w:rPr>
        <w:t xml:space="preserve"> </w:t>
      </w:r>
      <w:r w:rsidR="00815B15" w:rsidRPr="005F2F6A">
        <w:rPr>
          <w:color w:val="000000" w:themeColor="text1"/>
        </w:rPr>
        <w:t>in</w:t>
      </w:r>
      <w:r w:rsidR="009A0847">
        <w:rPr>
          <w:color w:val="000000" w:themeColor="text1"/>
        </w:rPr>
        <w:t xml:space="preserve"> </w:t>
      </w:r>
      <w:r w:rsidR="00815B15" w:rsidRPr="005F2F6A">
        <w:rPr>
          <w:color w:val="000000" w:themeColor="text1"/>
        </w:rPr>
        <w:t>2007,</w:t>
      </w:r>
      <w:r w:rsidR="009A0847">
        <w:rPr>
          <w:color w:val="000000" w:themeColor="text1"/>
        </w:rPr>
        <w:t xml:space="preserve"> </w:t>
      </w:r>
      <w:r w:rsidR="00815B15" w:rsidRPr="005F2F6A">
        <w:rPr>
          <w:color w:val="000000" w:themeColor="text1"/>
        </w:rPr>
        <w:t>t</w:t>
      </w:r>
      <w:r w:rsidR="00881350" w:rsidRPr="005F2F6A">
        <w:rPr>
          <w:color w:val="000000" w:themeColor="text1"/>
        </w:rPr>
        <w:t>hese</w:t>
      </w:r>
      <w:r w:rsidR="009A0847">
        <w:rPr>
          <w:color w:val="000000" w:themeColor="text1"/>
        </w:rPr>
        <w:t xml:space="preserve"> </w:t>
      </w:r>
      <w:r w:rsidR="00882911" w:rsidRPr="005F2F6A">
        <w:rPr>
          <w:color w:val="000000" w:themeColor="text1"/>
        </w:rPr>
        <w:t>actions</w:t>
      </w:r>
      <w:r w:rsidR="009A0847">
        <w:rPr>
          <w:color w:val="000000" w:themeColor="text1"/>
        </w:rPr>
        <w:t xml:space="preserve"> </w:t>
      </w:r>
      <w:r w:rsidR="006E3C64" w:rsidRPr="005F2F6A">
        <w:rPr>
          <w:color w:val="000000" w:themeColor="text1"/>
        </w:rPr>
        <w:t>can</w:t>
      </w:r>
      <w:r w:rsidR="009A0847">
        <w:rPr>
          <w:color w:val="000000" w:themeColor="text1"/>
        </w:rPr>
        <w:t xml:space="preserve"> </w:t>
      </w:r>
      <w:r w:rsidR="00880C2C" w:rsidRPr="005F2F6A">
        <w:rPr>
          <w:color w:val="000000" w:themeColor="text1"/>
        </w:rPr>
        <w:t>trig</w:t>
      </w:r>
      <w:r w:rsidR="008B7657" w:rsidRPr="005F2F6A">
        <w:rPr>
          <w:color w:val="000000" w:themeColor="text1"/>
        </w:rPr>
        <w:t>g</w:t>
      </w:r>
      <w:r w:rsidR="00880C2C" w:rsidRPr="005F2F6A">
        <w:rPr>
          <w:color w:val="000000" w:themeColor="text1"/>
        </w:rPr>
        <w:t>er</w:t>
      </w:r>
      <w:r w:rsidR="009A0847">
        <w:rPr>
          <w:color w:val="000000" w:themeColor="text1"/>
        </w:rPr>
        <w:t xml:space="preserve"> </w:t>
      </w:r>
      <w:r w:rsidR="00882911" w:rsidRPr="005F2F6A">
        <w:rPr>
          <w:color w:val="000000" w:themeColor="text1"/>
        </w:rPr>
        <w:t>a</w:t>
      </w:r>
      <w:r w:rsidR="009A0847">
        <w:rPr>
          <w:color w:val="000000" w:themeColor="text1"/>
        </w:rPr>
        <w:t xml:space="preserve"> </w:t>
      </w:r>
      <w:r w:rsidR="00882911" w:rsidRPr="005F2F6A">
        <w:rPr>
          <w:color w:val="000000" w:themeColor="text1"/>
        </w:rPr>
        <w:t>bank</w:t>
      </w:r>
      <w:r w:rsidR="009A0847">
        <w:rPr>
          <w:color w:val="000000" w:themeColor="text1"/>
        </w:rPr>
        <w:t xml:space="preserve"> </w:t>
      </w:r>
      <w:r w:rsidR="00882911" w:rsidRPr="005F2F6A">
        <w:rPr>
          <w:color w:val="000000" w:themeColor="text1"/>
        </w:rPr>
        <w:t>run,</w:t>
      </w:r>
      <w:r w:rsidR="009A0847">
        <w:rPr>
          <w:color w:val="000000" w:themeColor="text1"/>
        </w:rPr>
        <w:t xml:space="preserve"> </w:t>
      </w:r>
      <w:r w:rsidR="00882911" w:rsidRPr="005F2F6A">
        <w:rPr>
          <w:color w:val="000000" w:themeColor="text1"/>
        </w:rPr>
        <w:t>insolvency</w:t>
      </w:r>
      <w:r w:rsidR="009A0847">
        <w:rPr>
          <w:color w:val="000000" w:themeColor="text1"/>
        </w:rPr>
        <w:t xml:space="preserve"> </w:t>
      </w:r>
      <w:r w:rsidR="00882911" w:rsidRPr="005F2F6A">
        <w:rPr>
          <w:color w:val="000000" w:themeColor="text1"/>
        </w:rPr>
        <w:t>and</w:t>
      </w:r>
      <w:r w:rsidR="009A0847">
        <w:rPr>
          <w:color w:val="000000" w:themeColor="text1"/>
        </w:rPr>
        <w:t xml:space="preserve"> </w:t>
      </w:r>
      <w:r w:rsidR="00882911" w:rsidRPr="005F2F6A">
        <w:rPr>
          <w:color w:val="000000" w:themeColor="text1"/>
        </w:rPr>
        <w:t>ultimately,</w:t>
      </w:r>
      <w:r w:rsidR="009A0847">
        <w:rPr>
          <w:color w:val="000000" w:themeColor="text1"/>
        </w:rPr>
        <w:t xml:space="preserve"> </w:t>
      </w:r>
      <w:r w:rsidR="004471D8" w:rsidRPr="005F2F6A">
        <w:rPr>
          <w:color w:val="000000" w:themeColor="text1"/>
        </w:rPr>
        <w:t>the</w:t>
      </w:r>
      <w:r w:rsidR="009A0847">
        <w:rPr>
          <w:color w:val="000000" w:themeColor="text1"/>
        </w:rPr>
        <w:t xml:space="preserve"> </w:t>
      </w:r>
      <w:r w:rsidR="00882911" w:rsidRPr="005F2F6A">
        <w:rPr>
          <w:color w:val="000000" w:themeColor="text1"/>
        </w:rPr>
        <w:t>failure</w:t>
      </w:r>
      <w:r w:rsidR="009A0847">
        <w:rPr>
          <w:color w:val="000000" w:themeColor="text1"/>
        </w:rPr>
        <w:t xml:space="preserve"> </w:t>
      </w:r>
      <w:r w:rsidR="00CE76EB" w:rsidRPr="005F2F6A">
        <w:rPr>
          <w:color w:val="000000" w:themeColor="text1"/>
        </w:rPr>
        <w:t>of</w:t>
      </w:r>
      <w:r w:rsidR="009A0847">
        <w:rPr>
          <w:color w:val="000000" w:themeColor="text1"/>
        </w:rPr>
        <w:t xml:space="preserve"> </w:t>
      </w:r>
      <w:r w:rsidR="00CE76EB" w:rsidRPr="005F2F6A">
        <w:rPr>
          <w:color w:val="000000" w:themeColor="text1"/>
        </w:rPr>
        <w:t>a</w:t>
      </w:r>
      <w:r w:rsidR="00B21221" w:rsidRPr="005F2F6A">
        <w:rPr>
          <w:color w:val="000000" w:themeColor="text1"/>
        </w:rPr>
        <w:t>n</w:t>
      </w:r>
      <w:r w:rsidR="009A0847">
        <w:rPr>
          <w:color w:val="000000" w:themeColor="text1"/>
        </w:rPr>
        <w:t xml:space="preserve"> </w:t>
      </w:r>
      <w:r w:rsidR="00B21221" w:rsidRPr="005F2F6A">
        <w:rPr>
          <w:color w:val="000000" w:themeColor="text1"/>
        </w:rPr>
        <w:t>illiquid</w:t>
      </w:r>
      <w:r w:rsidR="009A0847">
        <w:rPr>
          <w:color w:val="000000" w:themeColor="text1"/>
        </w:rPr>
        <w:t xml:space="preserve"> </w:t>
      </w:r>
      <w:r w:rsidR="00B21221" w:rsidRPr="005F2F6A">
        <w:rPr>
          <w:color w:val="000000" w:themeColor="text1"/>
        </w:rPr>
        <w:t>yet</w:t>
      </w:r>
      <w:r w:rsidR="009A0847">
        <w:rPr>
          <w:color w:val="000000" w:themeColor="text1"/>
        </w:rPr>
        <w:t xml:space="preserve"> </w:t>
      </w:r>
      <w:r w:rsidR="00BA6642" w:rsidRPr="005F2F6A">
        <w:rPr>
          <w:color w:val="000000" w:themeColor="text1"/>
        </w:rPr>
        <w:t>ex-ante</w:t>
      </w:r>
      <w:r w:rsidR="009A0847">
        <w:rPr>
          <w:color w:val="000000" w:themeColor="text1"/>
        </w:rPr>
        <w:t xml:space="preserve"> </w:t>
      </w:r>
      <w:r w:rsidR="00880C2C" w:rsidRPr="005F2F6A">
        <w:rPr>
          <w:color w:val="000000" w:themeColor="text1"/>
        </w:rPr>
        <w:t>solvent</w:t>
      </w:r>
      <w:r w:rsidR="009A0847">
        <w:rPr>
          <w:color w:val="000000" w:themeColor="text1"/>
        </w:rPr>
        <w:t xml:space="preserve"> </w:t>
      </w:r>
      <w:r w:rsidR="00CE76EB" w:rsidRPr="005F2F6A">
        <w:rPr>
          <w:color w:val="000000" w:themeColor="text1"/>
        </w:rPr>
        <w:t>bank</w:t>
      </w:r>
      <w:r w:rsidR="009A0847">
        <w:rPr>
          <w:color w:val="000000" w:themeColor="text1"/>
        </w:rPr>
        <w:t xml:space="preserve"> </w:t>
      </w:r>
      <w:r w:rsidR="00A7691C" w:rsidRPr="005F2F6A">
        <w:rPr>
          <w:color w:val="000000" w:themeColor="text1"/>
        </w:rPr>
        <w:t>(Shin</w:t>
      </w:r>
      <w:r w:rsidR="009A0847">
        <w:rPr>
          <w:color w:val="000000" w:themeColor="text1"/>
        </w:rPr>
        <w:t xml:space="preserve"> </w:t>
      </w:r>
      <w:r w:rsidR="00A7691C" w:rsidRPr="005F2F6A">
        <w:rPr>
          <w:color w:val="000000" w:themeColor="text1"/>
        </w:rPr>
        <w:t>2009)</w:t>
      </w:r>
      <w:r w:rsidR="00882911" w:rsidRPr="005F2F6A">
        <w:rPr>
          <w:color w:val="000000" w:themeColor="text1"/>
        </w:rPr>
        <w:t>.</w:t>
      </w:r>
      <w:r w:rsidR="009A0847">
        <w:rPr>
          <w:color w:val="000000" w:themeColor="text1"/>
        </w:rPr>
        <w:t xml:space="preserve"> </w:t>
      </w:r>
      <w:r w:rsidR="00882911" w:rsidRPr="005F2F6A">
        <w:rPr>
          <w:color w:val="000000" w:themeColor="text1"/>
        </w:rPr>
        <w:t>The</w:t>
      </w:r>
      <w:r w:rsidR="009A0847">
        <w:rPr>
          <w:color w:val="000000" w:themeColor="text1"/>
        </w:rPr>
        <w:t xml:space="preserve"> </w:t>
      </w:r>
      <w:r w:rsidR="00BA6642" w:rsidRPr="005F2F6A">
        <w:rPr>
          <w:color w:val="000000" w:themeColor="text1"/>
        </w:rPr>
        <w:t>inability</w:t>
      </w:r>
      <w:r w:rsidR="009A0847">
        <w:rPr>
          <w:color w:val="000000" w:themeColor="text1"/>
        </w:rPr>
        <w:t xml:space="preserve"> </w:t>
      </w:r>
      <w:r w:rsidR="00BA6642" w:rsidRPr="005F2F6A">
        <w:rPr>
          <w:color w:val="000000" w:themeColor="text1"/>
        </w:rPr>
        <w:t>to</w:t>
      </w:r>
      <w:r w:rsidR="009A0847">
        <w:rPr>
          <w:color w:val="000000" w:themeColor="text1"/>
        </w:rPr>
        <w:t xml:space="preserve"> </w:t>
      </w:r>
      <w:r w:rsidR="00C52BA1" w:rsidRPr="005F2F6A">
        <w:rPr>
          <w:color w:val="000000" w:themeColor="text1"/>
        </w:rPr>
        <w:t>fund</w:t>
      </w:r>
      <w:r w:rsidR="009A0847">
        <w:rPr>
          <w:color w:val="000000" w:themeColor="text1"/>
        </w:rPr>
        <w:t xml:space="preserve"> </w:t>
      </w:r>
      <w:r w:rsidR="00BA6642" w:rsidRPr="005F2F6A">
        <w:rPr>
          <w:color w:val="000000" w:themeColor="text1"/>
        </w:rPr>
        <w:t>privately</w:t>
      </w:r>
      <w:r w:rsidR="009A0847">
        <w:rPr>
          <w:color w:val="000000" w:themeColor="text1"/>
        </w:rPr>
        <w:t xml:space="preserve"> </w:t>
      </w:r>
      <w:r w:rsidR="00F438A9" w:rsidRPr="005F2F6A">
        <w:rPr>
          <w:color w:val="000000" w:themeColor="text1"/>
        </w:rPr>
        <w:t>illiquid</w:t>
      </w:r>
      <w:r w:rsidR="009A0847">
        <w:rPr>
          <w:color w:val="000000" w:themeColor="text1"/>
        </w:rPr>
        <w:t xml:space="preserve"> </w:t>
      </w:r>
      <w:r w:rsidR="006E3C64" w:rsidRPr="005F2F6A">
        <w:rPr>
          <w:color w:val="000000" w:themeColor="text1"/>
        </w:rPr>
        <w:t>institutions</w:t>
      </w:r>
      <w:r w:rsidR="009A0847">
        <w:rPr>
          <w:color w:val="000000" w:themeColor="text1"/>
        </w:rPr>
        <w:t xml:space="preserve"> </w:t>
      </w:r>
      <w:r w:rsidR="005073A0" w:rsidRPr="005F2F6A">
        <w:rPr>
          <w:color w:val="000000" w:themeColor="text1"/>
        </w:rPr>
        <w:t>can</w:t>
      </w:r>
      <w:r w:rsidR="009A0847">
        <w:rPr>
          <w:color w:val="000000" w:themeColor="text1"/>
        </w:rPr>
        <w:t xml:space="preserve"> </w:t>
      </w:r>
      <w:r w:rsidR="003233AD">
        <w:rPr>
          <w:color w:val="000000" w:themeColor="text1"/>
        </w:rPr>
        <w:t>also</w:t>
      </w:r>
      <w:r w:rsidR="009A0847">
        <w:rPr>
          <w:color w:val="000000" w:themeColor="text1"/>
        </w:rPr>
        <w:t xml:space="preserve"> </w:t>
      </w:r>
      <w:r w:rsidR="00C52BA1" w:rsidRPr="005F2F6A">
        <w:rPr>
          <w:color w:val="000000" w:themeColor="text1"/>
        </w:rPr>
        <w:t>have</w:t>
      </w:r>
      <w:r w:rsidR="009A0847">
        <w:rPr>
          <w:color w:val="000000" w:themeColor="text1"/>
        </w:rPr>
        <w:t xml:space="preserve"> </w:t>
      </w:r>
      <w:r w:rsidR="00C52BA1" w:rsidRPr="005F2F6A">
        <w:rPr>
          <w:color w:val="000000" w:themeColor="text1"/>
        </w:rPr>
        <w:t>negative</w:t>
      </w:r>
      <w:r w:rsidR="009A0847">
        <w:rPr>
          <w:color w:val="000000" w:themeColor="text1"/>
        </w:rPr>
        <w:t xml:space="preserve"> </w:t>
      </w:r>
      <w:r w:rsidR="00C52BA1" w:rsidRPr="005F2F6A">
        <w:rPr>
          <w:color w:val="000000" w:themeColor="text1"/>
        </w:rPr>
        <w:t>externalities</w:t>
      </w:r>
      <w:r w:rsidR="009A0847">
        <w:rPr>
          <w:color w:val="000000" w:themeColor="text1"/>
        </w:rPr>
        <w:t xml:space="preserve"> </w:t>
      </w:r>
      <w:r w:rsidR="00C52BA1" w:rsidRPr="005F2F6A">
        <w:rPr>
          <w:color w:val="000000" w:themeColor="text1"/>
        </w:rPr>
        <w:t>and</w:t>
      </w:r>
      <w:r w:rsidR="009A0847">
        <w:rPr>
          <w:color w:val="000000" w:themeColor="text1"/>
        </w:rPr>
        <w:t xml:space="preserve"> </w:t>
      </w:r>
      <w:r w:rsidR="00C52BA1" w:rsidRPr="005F2F6A">
        <w:rPr>
          <w:color w:val="000000" w:themeColor="text1"/>
        </w:rPr>
        <w:t>social</w:t>
      </w:r>
      <w:r w:rsidR="009A0847">
        <w:rPr>
          <w:color w:val="000000" w:themeColor="text1"/>
        </w:rPr>
        <w:t xml:space="preserve"> </w:t>
      </w:r>
      <w:r w:rsidR="00C52BA1" w:rsidRPr="005F2F6A">
        <w:rPr>
          <w:color w:val="000000" w:themeColor="text1"/>
        </w:rPr>
        <w:t>costs</w:t>
      </w:r>
      <w:r w:rsidR="00F8682E" w:rsidRPr="005F2F6A">
        <w:rPr>
          <w:color w:val="000000" w:themeColor="text1"/>
        </w:rPr>
        <w:t>.</w:t>
      </w:r>
      <w:r w:rsidR="009A0847">
        <w:rPr>
          <w:color w:val="000000" w:themeColor="text1"/>
        </w:rPr>
        <w:t xml:space="preserve"> </w:t>
      </w:r>
      <w:r w:rsidR="003C550C" w:rsidRPr="005F2F6A">
        <w:rPr>
          <w:color w:val="000000" w:themeColor="text1"/>
        </w:rPr>
        <w:lastRenderedPageBreak/>
        <w:t>In</w:t>
      </w:r>
      <w:r w:rsidR="009A0847">
        <w:rPr>
          <w:color w:val="000000" w:themeColor="text1"/>
        </w:rPr>
        <w:t xml:space="preserve"> </w:t>
      </w:r>
      <w:r w:rsidR="003C550C" w:rsidRPr="005F2F6A">
        <w:rPr>
          <w:color w:val="000000" w:themeColor="text1"/>
        </w:rPr>
        <w:t>particular,</w:t>
      </w:r>
      <w:r w:rsidR="009A0847">
        <w:rPr>
          <w:color w:val="000000" w:themeColor="text1"/>
        </w:rPr>
        <w:t xml:space="preserve"> </w:t>
      </w:r>
      <w:r w:rsidR="0038510C" w:rsidRPr="005F2F6A">
        <w:rPr>
          <w:color w:val="000000" w:themeColor="text1"/>
        </w:rPr>
        <w:t>spillovers</w:t>
      </w:r>
      <w:r w:rsidR="009A0847">
        <w:rPr>
          <w:color w:val="000000" w:themeColor="text1"/>
        </w:rPr>
        <w:t xml:space="preserve"> </w:t>
      </w:r>
      <w:r w:rsidR="00BB619E" w:rsidRPr="005F2F6A">
        <w:rPr>
          <w:color w:val="000000" w:themeColor="text1"/>
        </w:rPr>
        <w:t>from</w:t>
      </w:r>
      <w:r w:rsidR="009A0847">
        <w:rPr>
          <w:color w:val="000000" w:themeColor="text1"/>
        </w:rPr>
        <w:t xml:space="preserve"> </w:t>
      </w:r>
      <w:r w:rsidR="003233AD">
        <w:rPr>
          <w:color w:val="000000" w:themeColor="text1"/>
        </w:rPr>
        <w:t>fire</w:t>
      </w:r>
      <w:r w:rsidR="009A0847">
        <w:rPr>
          <w:color w:val="000000" w:themeColor="text1"/>
        </w:rPr>
        <w:t xml:space="preserve"> </w:t>
      </w:r>
      <w:r w:rsidR="003233AD">
        <w:rPr>
          <w:color w:val="000000" w:themeColor="text1"/>
        </w:rPr>
        <w:t>sales</w:t>
      </w:r>
      <w:r w:rsidR="009A0847">
        <w:rPr>
          <w:color w:val="000000" w:themeColor="text1"/>
        </w:rPr>
        <w:t xml:space="preserve"> </w:t>
      </w:r>
      <w:r w:rsidR="0038510C" w:rsidRPr="005F2F6A">
        <w:rPr>
          <w:color w:val="000000" w:themeColor="text1"/>
        </w:rPr>
        <w:t>can</w:t>
      </w:r>
      <w:r w:rsidR="009A0847">
        <w:rPr>
          <w:color w:val="000000" w:themeColor="text1"/>
        </w:rPr>
        <w:t xml:space="preserve"> </w:t>
      </w:r>
      <w:r w:rsidR="002C077D" w:rsidRPr="005F2F6A">
        <w:rPr>
          <w:color w:val="000000" w:themeColor="text1"/>
        </w:rPr>
        <w:t>result</w:t>
      </w:r>
      <w:r w:rsidR="009A0847">
        <w:rPr>
          <w:color w:val="000000" w:themeColor="text1"/>
        </w:rPr>
        <w:t xml:space="preserve"> </w:t>
      </w:r>
      <w:r w:rsidR="002C077D" w:rsidRPr="005F2F6A">
        <w:rPr>
          <w:color w:val="000000" w:themeColor="text1"/>
        </w:rPr>
        <w:t>in</w:t>
      </w:r>
      <w:r w:rsidR="009A0847">
        <w:rPr>
          <w:color w:val="000000" w:themeColor="text1"/>
        </w:rPr>
        <w:t xml:space="preserve"> </w:t>
      </w:r>
      <w:r w:rsidR="005073A0" w:rsidRPr="005F2F6A">
        <w:rPr>
          <w:color w:val="000000" w:themeColor="text1"/>
        </w:rPr>
        <w:t>insolvency</w:t>
      </w:r>
      <w:r w:rsidR="009A0847">
        <w:rPr>
          <w:color w:val="000000" w:themeColor="text1"/>
        </w:rPr>
        <w:t xml:space="preserve"> </w:t>
      </w:r>
      <w:r w:rsidR="005073A0" w:rsidRPr="005F2F6A">
        <w:rPr>
          <w:color w:val="000000" w:themeColor="text1"/>
        </w:rPr>
        <w:t>cascades</w:t>
      </w:r>
      <w:r w:rsidR="009A0847">
        <w:rPr>
          <w:color w:val="000000" w:themeColor="text1"/>
        </w:rPr>
        <w:t xml:space="preserve"> </w:t>
      </w:r>
      <w:r w:rsidR="005A425A" w:rsidRPr="005F2F6A">
        <w:rPr>
          <w:color w:val="000000" w:themeColor="text1"/>
        </w:rPr>
        <w:t>(</w:t>
      </w:r>
      <w:r w:rsidR="00AC697C" w:rsidRPr="005F2F6A">
        <w:rPr>
          <w:color w:val="000000" w:themeColor="text1"/>
        </w:rPr>
        <w:t>Brunnermeier</w:t>
      </w:r>
      <w:r w:rsidR="00AC697C">
        <w:rPr>
          <w:color w:val="000000" w:themeColor="text1"/>
        </w:rPr>
        <w:t xml:space="preserve"> </w:t>
      </w:r>
      <w:r w:rsidR="00AC697C" w:rsidRPr="005F2F6A">
        <w:rPr>
          <w:color w:val="000000" w:themeColor="text1"/>
        </w:rPr>
        <w:t>2009</w:t>
      </w:r>
      <w:r w:rsidR="00ED0367">
        <w:rPr>
          <w:color w:val="000000" w:themeColor="text1"/>
        </w:rPr>
        <w:t xml:space="preserve">, </w:t>
      </w:r>
      <w:r w:rsidR="005A425A" w:rsidRPr="005F2F6A">
        <w:rPr>
          <w:color w:val="000000" w:themeColor="text1"/>
        </w:rPr>
        <w:t>Shleifer</w:t>
      </w:r>
      <w:r w:rsidR="009A0847">
        <w:rPr>
          <w:color w:val="000000" w:themeColor="text1"/>
        </w:rPr>
        <w:t xml:space="preserve"> </w:t>
      </w:r>
      <w:r w:rsidR="005A425A" w:rsidRPr="005F2F6A">
        <w:rPr>
          <w:color w:val="000000" w:themeColor="text1"/>
        </w:rPr>
        <w:t>and</w:t>
      </w:r>
      <w:r w:rsidR="009A0847">
        <w:rPr>
          <w:color w:val="000000" w:themeColor="text1"/>
        </w:rPr>
        <w:t xml:space="preserve"> </w:t>
      </w:r>
      <w:r w:rsidR="005A425A" w:rsidRPr="005F2F6A">
        <w:rPr>
          <w:color w:val="000000" w:themeColor="text1"/>
        </w:rPr>
        <w:t>Vishny</w:t>
      </w:r>
      <w:r w:rsidR="009A0847">
        <w:rPr>
          <w:color w:val="000000" w:themeColor="text1"/>
        </w:rPr>
        <w:t xml:space="preserve"> </w:t>
      </w:r>
      <w:r w:rsidR="005A425A" w:rsidRPr="005F2F6A">
        <w:rPr>
          <w:color w:val="000000" w:themeColor="text1"/>
        </w:rPr>
        <w:t>2011,)</w:t>
      </w:r>
      <w:r w:rsidR="003233AD">
        <w:rPr>
          <w:color w:val="000000" w:themeColor="text1"/>
        </w:rPr>
        <w:t>.</w:t>
      </w:r>
      <w:r w:rsidR="00ED0367" w:rsidRPr="005F2F6A">
        <w:rPr>
          <w:rStyle w:val="FootnoteReference"/>
          <w:color w:val="000000" w:themeColor="text1"/>
        </w:rPr>
        <w:footnoteReference w:id="3"/>
      </w:r>
      <w:r w:rsidR="009A0847">
        <w:rPr>
          <w:color w:val="000000" w:themeColor="text1"/>
        </w:rPr>
        <w:t xml:space="preserve"> </w:t>
      </w:r>
      <w:r w:rsidR="003233AD">
        <w:rPr>
          <w:color w:val="000000" w:themeColor="text1"/>
        </w:rPr>
        <w:t>A</w:t>
      </w:r>
      <w:r w:rsidR="003C690E" w:rsidRPr="005F2F6A">
        <w:rPr>
          <w:color w:val="000000" w:themeColor="text1"/>
        </w:rPr>
        <w:t>s</w:t>
      </w:r>
      <w:r w:rsidR="009A0847">
        <w:rPr>
          <w:color w:val="000000" w:themeColor="text1"/>
        </w:rPr>
        <w:t xml:space="preserve"> </w:t>
      </w:r>
      <w:r w:rsidR="003C690E" w:rsidRPr="005F2F6A">
        <w:rPr>
          <w:color w:val="000000" w:themeColor="text1"/>
        </w:rPr>
        <w:t>illustrated</w:t>
      </w:r>
      <w:r w:rsidR="009A0847">
        <w:rPr>
          <w:color w:val="000000" w:themeColor="text1"/>
        </w:rPr>
        <w:t xml:space="preserve"> </w:t>
      </w:r>
      <w:r w:rsidR="003C690E" w:rsidRPr="005F2F6A">
        <w:rPr>
          <w:color w:val="000000" w:themeColor="text1"/>
        </w:rPr>
        <w:t>in</w:t>
      </w:r>
      <w:r w:rsidR="009A0847">
        <w:rPr>
          <w:color w:val="000000" w:themeColor="text1"/>
        </w:rPr>
        <w:t xml:space="preserve"> </w:t>
      </w:r>
      <w:r w:rsidR="003C690E" w:rsidRPr="005F2F6A">
        <w:rPr>
          <w:color w:val="000000" w:themeColor="text1"/>
        </w:rPr>
        <w:t>the</w:t>
      </w:r>
      <w:r w:rsidR="009A0847">
        <w:rPr>
          <w:color w:val="000000" w:themeColor="text1"/>
        </w:rPr>
        <w:t xml:space="preserve"> </w:t>
      </w:r>
      <w:r w:rsidR="003C690E" w:rsidRPr="005F2F6A">
        <w:rPr>
          <w:color w:val="000000" w:themeColor="text1"/>
        </w:rPr>
        <w:t>aftermath</w:t>
      </w:r>
      <w:r w:rsidR="009A0847">
        <w:rPr>
          <w:color w:val="000000" w:themeColor="text1"/>
        </w:rPr>
        <w:t xml:space="preserve"> </w:t>
      </w:r>
      <w:r w:rsidR="003C690E" w:rsidRPr="005F2F6A">
        <w:rPr>
          <w:color w:val="000000" w:themeColor="text1"/>
        </w:rPr>
        <w:t>of</w:t>
      </w:r>
      <w:r w:rsidR="009A0847">
        <w:rPr>
          <w:color w:val="000000" w:themeColor="text1"/>
        </w:rPr>
        <w:t xml:space="preserve"> </w:t>
      </w:r>
      <w:r w:rsidR="003C690E" w:rsidRPr="005F2F6A">
        <w:rPr>
          <w:color w:val="000000" w:themeColor="text1"/>
        </w:rPr>
        <w:t>the</w:t>
      </w:r>
      <w:r w:rsidR="009A0847">
        <w:rPr>
          <w:color w:val="000000" w:themeColor="text1"/>
        </w:rPr>
        <w:t xml:space="preserve"> </w:t>
      </w:r>
      <w:r w:rsidR="003C690E" w:rsidRPr="005F2F6A">
        <w:rPr>
          <w:color w:val="000000" w:themeColor="text1"/>
        </w:rPr>
        <w:t>2008</w:t>
      </w:r>
      <w:r w:rsidR="009A0847">
        <w:rPr>
          <w:color w:val="000000" w:themeColor="text1"/>
        </w:rPr>
        <w:t xml:space="preserve"> </w:t>
      </w:r>
      <w:r w:rsidR="003C690E" w:rsidRPr="005F2F6A">
        <w:rPr>
          <w:i/>
          <w:color w:val="000000" w:themeColor="text1"/>
        </w:rPr>
        <w:t>Lehman</w:t>
      </w:r>
      <w:r w:rsidR="009A0847">
        <w:rPr>
          <w:i/>
          <w:color w:val="000000" w:themeColor="text1"/>
        </w:rPr>
        <w:t xml:space="preserve"> </w:t>
      </w:r>
      <w:r w:rsidR="003C690E" w:rsidRPr="005F2F6A">
        <w:rPr>
          <w:i/>
          <w:color w:val="000000" w:themeColor="text1"/>
        </w:rPr>
        <w:t>Brothers</w:t>
      </w:r>
      <w:r w:rsidR="003C690E" w:rsidRPr="005F2F6A">
        <w:rPr>
          <w:color w:val="000000" w:themeColor="text1"/>
        </w:rPr>
        <w:t>’</w:t>
      </w:r>
      <w:r w:rsidR="009A0847">
        <w:rPr>
          <w:color w:val="000000" w:themeColor="text1"/>
        </w:rPr>
        <w:t xml:space="preserve"> </w:t>
      </w:r>
      <w:r w:rsidR="003C690E" w:rsidRPr="005F2F6A">
        <w:rPr>
          <w:color w:val="000000" w:themeColor="text1"/>
        </w:rPr>
        <w:t>failure,</w:t>
      </w:r>
      <w:r w:rsidR="009A0847">
        <w:rPr>
          <w:color w:val="000000" w:themeColor="text1"/>
        </w:rPr>
        <w:t xml:space="preserve"> </w:t>
      </w:r>
      <w:r w:rsidR="005073A0" w:rsidRPr="005F2F6A">
        <w:rPr>
          <w:color w:val="000000" w:themeColor="text1"/>
        </w:rPr>
        <w:t>exposure</w:t>
      </w:r>
      <w:r w:rsidR="009A0847">
        <w:rPr>
          <w:color w:val="000000" w:themeColor="text1"/>
        </w:rPr>
        <w:t xml:space="preserve"> </w:t>
      </w:r>
      <w:r w:rsidR="005073A0" w:rsidRPr="005F2F6A">
        <w:rPr>
          <w:color w:val="000000" w:themeColor="text1"/>
        </w:rPr>
        <w:t>to</w:t>
      </w:r>
      <w:r w:rsidR="009A0847">
        <w:rPr>
          <w:color w:val="000000" w:themeColor="text1"/>
        </w:rPr>
        <w:t xml:space="preserve"> </w:t>
      </w:r>
      <w:r w:rsidR="005073A0" w:rsidRPr="005F2F6A">
        <w:rPr>
          <w:color w:val="000000" w:themeColor="text1"/>
        </w:rPr>
        <w:t>a</w:t>
      </w:r>
      <w:r w:rsidR="009A0847">
        <w:rPr>
          <w:color w:val="000000" w:themeColor="text1"/>
        </w:rPr>
        <w:t xml:space="preserve"> </w:t>
      </w:r>
      <w:r w:rsidR="005073A0" w:rsidRPr="005F2F6A">
        <w:rPr>
          <w:color w:val="000000" w:themeColor="text1"/>
        </w:rPr>
        <w:t>failing</w:t>
      </w:r>
      <w:r w:rsidR="009A0847">
        <w:rPr>
          <w:color w:val="000000" w:themeColor="text1"/>
        </w:rPr>
        <w:t xml:space="preserve"> </w:t>
      </w:r>
      <w:r w:rsidR="005073A0" w:rsidRPr="005F2F6A">
        <w:rPr>
          <w:color w:val="000000" w:themeColor="text1"/>
        </w:rPr>
        <w:t>bank</w:t>
      </w:r>
      <w:r w:rsidR="009A0847">
        <w:rPr>
          <w:color w:val="000000" w:themeColor="text1"/>
        </w:rPr>
        <w:t xml:space="preserve"> </w:t>
      </w:r>
      <w:r w:rsidR="005073A0" w:rsidRPr="005F2F6A">
        <w:rPr>
          <w:color w:val="000000" w:themeColor="text1"/>
        </w:rPr>
        <w:t>can</w:t>
      </w:r>
      <w:r w:rsidR="009A0847">
        <w:rPr>
          <w:color w:val="000000" w:themeColor="text1"/>
        </w:rPr>
        <w:t xml:space="preserve"> </w:t>
      </w:r>
      <w:r w:rsidR="002C077D" w:rsidRPr="005F2F6A">
        <w:rPr>
          <w:color w:val="000000" w:themeColor="text1"/>
        </w:rPr>
        <w:t>easily</w:t>
      </w:r>
      <w:r w:rsidR="009A0847">
        <w:rPr>
          <w:color w:val="000000" w:themeColor="text1"/>
        </w:rPr>
        <w:t xml:space="preserve"> </w:t>
      </w:r>
      <w:r w:rsidR="005073A0" w:rsidRPr="005F2F6A">
        <w:rPr>
          <w:color w:val="000000" w:themeColor="text1"/>
        </w:rPr>
        <w:t>lead</w:t>
      </w:r>
      <w:r w:rsidR="009A0847">
        <w:rPr>
          <w:color w:val="000000" w:themeColor="text1"/>
        </w:rPr>
        <w:t xml:space="preserve"> </w:t>
      </w:r>
      <w:r w:rsidR="005073A0" w:rsidRPr="005F2F6A">
        <w:rPr>
          <w:color w:val="000000" w:themeColor="text1"/>
        </w:rPr>
        <w:t>to</w:t>
      </w:r>
      <w:r w:rsidR="009A0847">
        <w:rPr>
          <w:color w:val="000000" w:themeColor="text1"/>
        </w:rPr>
        <w:t xml:space="preserve"> </w:t>
      </w:r>
      <w:r w:rsidR="005073A0" w:rsidRPr="005F2F6A">
        <w:rPr>
          <w:color w:val="000000" w:themeColor="text1"/>
        </w:rPr>
        <w:t>contagion</w:t>
      </w:r>
      <w:r w:rsidR="009A0847">
        <w:rPr>
          <w:color w:val="000000" w:themeColor="text1"/>
        </w:rPr>
        <w:t xml:space="preserve"> </w:t>
      </w:r>
      <w:r w:rsidR="00C969FA" w:rsidRPr="005F2F6A">
        <w:rPr>
          <w:color w:val="000000" w:themeColor="text1"/>
        </w:rPr>
        <w:t>in</w:t>
      </w:r>
      <w:r w:rsidR="009A0847">
        <w:rPr>
          <w:color w:val="000000" w:themeColor="text1"/>
        </w:rPr>
        <w:t xml:space="preserve"> </w:t>
      </w:r>
      <w:r w:rsidR="00C969FA" w:rsidRPr="005F2F6A">
        <w:rPr>
          <w:color w:val="000000" w:themeColor="text1"/>
        </w:rPr>
        <w:t>a</w:t>
      </w:r>
      <w:r w:rsidR="009A0847">
        <w:rPr>
          <w:color w:val="000000" w:themeColor="text1"/>
        </w:rPr>
        <w:t xml:space="preserve"> </w:t>
      </w:r>
      <w:r w:rsidR="00C969FA" w:rsidRPr="005F2F6A">
        <w:rPr>
          <w:color w:val="000000" w:themeColor="text1"/>
        </w:rPr>
        <w:t>highly</w:t>
      </w:r>
      <w:r w:rsidR="009A0847">
        <w:rPr>
          <w:color w:val="000000" w:themeColor="text1"/>
        </w:rPr>
        <w:t xml:space="preserve"> </w:t>
      </w:r>
      <w:r w:rsidR="00C969FA" w:rsidRPr="005F2F6A">
        <w:rPr>
          <w:color w:val="000000" w:themeColor="text1"/>
        </w:rPr>
        <w:t>interconnected</w:t>
      </w:r>
      <w:r w:rsidR="009A0847">
        <w:rPr>
          <w:color w:val="000000" w:themeColor="text1"/>
        </w:rPr>
        <w:t xml:space="preserve"> </w:t>
      </w:r>
      <w:r w:rsidR="00C969FA" w:rsidRPr="005F2F6A">
        <w:rPr>
          <w:color w:val="000000" w:themeColor="text1"/>
        </w:rPr>
        <w:t>financial</w:t>
      </w:r>
      <w:r w:rsidR="009A0847">
        <w:rPr>
          <w:color w:val="000000" w:themeColor="text1"/>
        </w:rPr>
        <w:t xml:space="preserve"> </w:t>
      </w:r>
      <w:r w:rsidR="00C969FA" w:rsidRPr="005F2F6A">
        <w:rPr>
          <w:color w:val="000000" w:themeColor="text1"/>
        </w:rPr>
        <w:t>system</w:t>
      </w:r>
      <w:r w:rsidR="009A0847">
        <w:rPr>
          <w:color w:val="000000" w:themeColor="text1"/>
        </w:rPr>
        <w:t xml:space="preserve"> </w:t>
      </w:r>
      <w:r w:rsidR="003C690E" w:rsidRPr="005F2F6A">
        <w:rPr>
          <w:color w:val="000000" w:themeColor="text1"/>
        </w:rPr>
        <w:t>(Caballero</w:t>
      </w:r>
      <w:r w:rsidR="009A0847">
        <w:rPr>
          <w:color w:val="000000" w:themeColor="text1"/>
        </w:rPr>
        <w:t xml:space="preserve"> </w:t>
      </w:r>
      <w:r w:rsidR="003C690E" w:rsidRPr="005F2F6A">
        <w:rPr>
          <w:color w:val="000000" w:themeColor="text1"/>
        </w:rPr>
        <w:t>and</w:t>
      </w:r>
      <w:r w:rsidR="009A0847">
        <w:rPr>
          <w:color w:val="000000" w:themeColor="text1"/>
        </w:rPr>
        <w:t xml:space="preserve"> </w:t>
      </w:r>
      <w:r w:rsidR="003C690E" w:rsidRPr="005F2F6A">
        <w:rPr>
          <w:color w:val="000000" w:themeColor="text1"/>
        </w:rPr>
        <w:t>Simsek</w:t>
      </w:r>
      <w:r w:rsidR="009A0847">
        <w:rPr>
          <w:color w:val="000000" w:themeColor="text1"/>
        </w:rPr>
        <w:t xml:space="preserve"> </w:t>
      </w:r>
      <w:r w:rsidR="003C690E" w:rsidRPr="005F2F6A">
        <w:rPr>
          <w:color w:val="000000" w:themeColor="text1"/>
        </w:rPr>
        <w:t>2013)</w:t>
      </w:r>
      <w:r w:rsidR="005073A0" w:rsidRPr="005F2F6A">
        <w:rPr>
          <w:color w:val="000000" w:themeColor="text1"/>
        </w:rPr>
        <w:t>.</w:t>
      </w:r>
      <w:r w:rsidR="009A0847">
        <w:rPr>
          <w:color w:val="000000" w:themeColor="text1"/>
        </w:rPr>
        <w:t xml:space="preserve"> </w:t>
      </w:r>
      <w:r w:rsidR="00F8682E" w:rsidRPr="005F2F6A">
        <w:rPr>
          <w:color w:val="000000" w:themeColor="text1"/>
        </w:rPr>
        <w:t>Ultimately,</w:t>
      </w:r>
      <w:r w:rsidR="009A0847">
        <w:rPr>
          <w:color w:val="000000" w:themeColor="text1"/>
        </w:rPr>
        <w:t xml:space="preserve"> </w:t>
      </w:r>
      <w:r w:rsidR="00A32FA4" w:rsidRPr="005F2F6A">
        <w:rPr>
          <w:color w:val="000000" w:themeColor="text1"/>
        </w:rPr>
        <w:t>adverse</w:t>
      </w:r>
      <w:r w:rsidR="009A0847">
        <w:rPr>
          <w:color w:val="000000" w:themeColor="text1"/>
        </w:rPr>
        <w:t xml:space="preserve"> </w:t>
      </w:r>
      <w:r w:rsidR="00A32FA4" w:rsidRPr="005F2F6A">
        <w:rPr>
          <w:color w:val="000000" w:themeColor="text1"/>
        </w:rPr>
        <w:t>selection</w:t>
      </w:r>
      <w:r w:rsidR="009A0847">
        <w:rPr>
          <w:color w:val="000000" w:themeColor="text1"/>
        </w:rPr>
        <w:t xml:space="preserve"> </w:t>
      </w:r>
      <w:r w:rsidR="002C077D" w:rsidRPr="005F2F6A">
        <w:rPr>
          <w:color w:val="000000" w:themeColor="text1"/>
        </w:rPr>
        <w:t>in</w:t>
      </w:r>
      <w:r w:rsidR="009A0847">
        <w:rPr>
          <w:color w:val="000000" w:themeColor="text1"/>
        </w:rPr>
        <w:t xml:space="preserve"> </w:t>
      </w:r>
      <w:r w:rsidR="002C077D" w:rsidRPr="005F2F6A">
        <w:rPr>
          <w:color w:val="000000" w:themeColor="text1"/>
        </w:rPr>
        <w:t>the</w:t>
      </w:r>
      <w:r w:rsidR="009A0847">
        <w:rPr>
          <w:color w:val="000000" w:themeColor="text1"/>
        </w:rPr>
        <w:t xml:space="preserve"> </w:t>
      </w:r>
      <w:r w:rsidR="000C3E83" w:rsidRPr="005F2F6A">
        <w:rPr>
          <w:color w:val="000000" w:themeColor="text1"/>
        </w:rPr>
        <w:t>interbank</w:t>
      </w:r>
      <w:r w:rsidR="009A0847">
        <w:rPr>
          <w:color w:val="000000" w:themeColor="text1"/>
        </w:rPr>
        <w:t xml:space="preserve"> </w:t>
      </w:r>
      <w:r w:rsidR="000C3E83" w:rsidRPr="005F2F6A">
        <w:rPr>
          <w:color w:val="000000" w:themeColor="text1"/>
        </w:rPr>
        <w:t>market</w:t>
      </w:r>
      <w:r w:rsidR="009A0847">
        <w:rPr>
          <w:color w:val="000000" w:themeColor="text1"/>
        </w:rPr>
        <w:t xml:space="preserve"> </w:t>
      </w:r>
      <w:r w:rsidR="006E3C64" w:rsidRPr="005F2F6A">
        <w:rPr>
          <w:color w:val="000000" w:themeColor="text1"/>
        </w:rPr>
        <w:t>can</w:t>
      </w:r>
      <w:r w:rsidR="009A0847">
        <w:rPr>
          <w:color w:val="000000" w:themeColor="text1"/>
        </w:rPr>
        <w:t xml:space="preserve"> </w:t>
      </w:r>
      <w:r w:rsidR="00F8682E" w:rsidRPr="005F2F6A">
        <w:rPr>
          <w:color w:val="000000" w:themeColor="text1"/>
        </w:rPr>
        <w:t>start</w:t>
      </w:r>
      <w:r w:rsidR="009A0847">
        <w:rPr>
          <w:color w:val="000000" w:themeColor="text1"/>
        </w:rPr>
        <w:t xml:space="preserve"> </w:t>
      </w:r>
      <w:r w:rsidR="00F8682E" w:rsidRPr="005F2F6A">
        <w:rPr>
          <w:color w:val="000000" w:themeColor="text1"/>
        </w:rPr>
        <w:t>or</w:t>
      </w:r>
      <w:r w:rsidR="009A0847">
        <w:rPr>
          <w:color w:val="000000" w:themeColor="text1"/>
        </w:rPr>
        <w:t xml:space="preserve"> </w:t>
      </w:r>
      <w:r w:rsidR="00F8682E" w:rsidRPr="005F2F6A">
        <w:rPr>
          <w:color w:val="000000" w:themeColor="text1"/>
        </w:rPr>
        <w:t>deepen</w:t>
      </w:r>
      <w:r w:rsidR="009A0847">
        <w:rPr>
          <w:color w:val="000000" w:themeColor="text1"/>
        </w:rPr>
        <w:t xml:space="preserve"> </w:t>
      </w:r>
      <w:r w:rsidR="00F8682E" w:rsidRPr="005F2F6A">
        <w:rPr>
          <w:color w:val="000000" w:themeColor="text1"/>
        </w:rPr>
        <w:t>a</w:t>
      </w:r>
      <w:r w:rsidR="009A0847">
        <w:rPr>
          <w:color w:val="000000" w:themeColor="text1"/>
        </w:rPr>
        <w:t xml:space="preserve"> </w:t>
      </w:r>
      <w:r w:rsidR="00F8682E" w:rsidRPr="005F2F6A">
        <w:rPr>
          <w:color w:val="000000" w:themeColor="text1"/>
        </w:rPr>
        <w:t>liquidity</w:t>
      </w:r>
      <w:r w:rsidR="009A0847">
        <w:rPr>
          <w:color w:val="000000" w:themeColor="text1"/>
        </w:rPr>
        <w:t xml:space="preserve"> </w:t>
      </w:r>
      <w:r w:rsidR="00F8682E" w:rsidRPr="005F2F6A">
        <w:rPr>
          <w:color w:val="000000" w:themeColor="text1"/>
        </w:rPr>
        <w:t>crisis</w:t>
      </w:r>
      <w:r w:rsidR="0038510C" w:rsidRPr="005F2F6A">
        <w:rPr>
          <w:color w:val="000000" w:themeColor="text1"/>
        </w:rPr>
        <w:t>,</w:t>
      </w:r>
      <w:r w:rsidR="009A0847">
        <w:rPr>
          <w:color w:val="000000" w:themeColor="text1"/>
        </w:rPr>
        <w:t xml:space="preserve"> </w:t>
      </w:r>
      <w:r w:rsidR="0038510C" w:rsidRPr="005F2F6A">
        <w:rPr>
          <w:color w:val="000000" w:themeColor="text1"/>
        </w:rPr>
        <w:t>which</w:t>
      </w:r>
      <w:r w:rsidR="009A0847">
        <w:rPr>
          <w:color w:val="000000" w:themeColor="text1"/>
        </w:rPr>
        <w:t xml:space="preserve"> </w:t>
      </w:r>
      <w:r w:rsidR="00F8682E" w:rsidRPr="005F2F6A">
        <w:rPr>
          <w:color w:val="000000" w:themeColor="text1"/>
        </w:rPr>
        <w:t>may</w:t>
      </w:r>
      <w:r w:rsidR="009A0847">
        <w:rPr>
          <w:color w:val="000000" w:themeColor="text1"/>
        </w:rPr>
        <w:t xml:space="preserve"> </w:t>
      </w:r>
      <w:r w:rsidR="00F8682E" w:rsidRPr="005F2F6A">
        <w:rPr>
          <w:color w:val="000000" w:themeColor="text1"/>
        </w:rPr>
        <w:t>lead</w:t>
      </w:r>
      <w:r w:rsidR="009A0847">
        <w:rPr>
          <w:color w:val="000000" w:themeColor="text1"/>
        </w:rPr>
        <w:t xml:space="preserve"> </w:t>
      </w:r>
      <w:r w:rsidR="00F8682E" w:rsidRPr="005F2F6A">
        <w:rPr>
          <w:color w:val="000000" w:themeColor="text1"/>
        </w:rPr>
        <w:t>to</w:t>
      </w:r>
      <w:r w:rsidR="009A0847">
        <w:rPr>
          <w:color w:val="000000" w:themeColor="text1"/>
        </w:rPr>
        <w:t xml:space="preserve"> </w:t>
      </w:r>
      <w:r w:rsidR="00F8682E" w:rsidRPr="005F2F6A">
        <w:rPr>
          <w:color w:val="000000" w:themeColor="text1"/>
        </w:rPr>
        <w:t>a</w:t>
      </w:r>
      <w:r w:rsidR="009A0847">
        <w:rPr>
          <w:color w:val="000000" w:themeColor="text1"/>
        </w:rPr>
        <w:t xml:space="preserve"> </w:t>
      </w:r>
      <w:r w:rsidR="00F8682E" w:rsidRPr="005F2F6A">
        <w:rPr>
          <w:color w:val="000000" w:themeColor="text1"/>
        </w:rPr>
        <w:t>contraction</w:t>
      </w:r>
      <w:r w:rsidR="009A0847">
        <w:rPr>
          <w:color w:val="000000" w:themeColor="text1"/>
        </w:rPr>
        <w:t xml:space="preserve"> </w:t>
      </w:r>
      <w:r w:rsidR="00F8682E" w:rsidRPr="005F2F6A">
        <w:rPr>
          <w:color w:val="000000" w:themeColor="text1"/>
        </w:rPr>
        <w:t>in</w:t>
      </w:r>
      <w:r w:rsidR="009A0847">
        <w:rPr>
          <w:color w:val="000000" w:themeColor="text1"/>
        </w:rPr>
        <w:t xml:space="preserve"> </w:t>
      </w:r>
      <w:r w:rsidR="00F8682E" w:rsidRPr="005F2F6A">
        <w:rPr>
          <w:color w:val="000000" w:themeColor="text1"/>
        </w:rPr>
        <w:t>economic</w:t>
      </w:r>
      <w:r w:rsidR="009A0847">
        <w:rPr>
          <w:color w:val="000000" w:themeColor="text1"/>
        </w:rPr>
        <w:t xml:space="preserve"> </w:t>
      </w:r>
      <w:r w:rsidR="00F8682E" w:rsidRPr="005F2F6A">
        <w:rPr>
          <w:color w:val="000000" w:themeColor="text1"/>
        </w:rPr>
        <w:t>activity.</w:t>
      </w:r>
      <w:r w:rsidR="00F60DC6">
        <w:rPr>
          <w:rStyle w:val="FootnoteReference"/>
          <w:color w:val="000000" w:themeColor="text1"/>
        </w:rPr>
        <w:footnoteReference w:id="4"/>
      </w:r>
      <w:r w:rsidR="009A0847">
        <w:rPr>
          <w:color w:val="000000" w:themeColor="text1"/>
        </w:rPr>
        <w:t xml:space="preserve"> </w:t>
      </w:r>
    </w:p>
    <w:p w14:paraId="1D0E456F" w14:textId="532CFC1F" w:rsidR="006A6D23" w:rsidRDefault="007F36FB" w:rsidP="00A3292A">
      <w:pPr>
        <w:pStyle w:val="Olivier1"/>
        <w:widowControl w:val="0"/>
        <w:ind w:firstLine="360"/>
      </w:pPr>
      <w:r w:rsidRPr="005F2F6A">
        <w:rPr>
          <w:color w:val="000000" w:themeColor="text1"/>
        </w:rPr>
        <w:t>To</w:t>
      </w:r>
      <w:r w:rsidR="009A0847">
        <w:rPr>
          <w:color w:val="000000" w:themeColor="text1"/>
        </w:rPr>
        <w:t xml:space="preserve"> </w:t>
      </w:r>
      <w:r w:rsidRPr="005F2F6A">
        <w:rPr>
          <w:color w:val="000000" w:themeColor="text1"/>
        </w:rPr>
        <w:t>address</w:t>
      </w:r>
      <w:r w:rsidR="009A0847">
        <w:rPr>
          <w:color w:val="000000" w:themeColor="text1"/>
        </w:rPr>
        <w:t xml:space="preserve"> </w:t>
      </w:r>
      <w:r w:rsidRPr="005F2F6A">
        <w:rPr>
          <w:color w:val="000000" w:themeColor="text1"/>
        </w:rPr>
        <w:t>market</w:t>
      </w:r>
      <w:r w:rsidR="009A0847">
        <w:rPr>
          <w:color w:val="000000" w:themeColor="text1"/>
        </w:rPr>
        <w:t xml:space="preserve"> </w:t>
      </w:r>
      <w:r w:rsidRPr="005F2F6A">
        <w:rPr>
          <w:color w:val="000000" w:themeColor="text1"/>
        </w:rPr>
        <w:t>failures</w:t>
      </w:r>
      <w:r w:rsidR="009A0847">
        <w:rPr>
          <w:color w:val="000000" w:themeColor="text1"/>
        </w:rPr>
        <w:t xml:space="preserve"> </w:t>
      </w:r>
      <w:r w:rsidRPr="005F2F6A">
        <w:rPr>
          <w:color w:val="000000" w:themeColor="text1"/>
        </w:rPr>
        <w:t>in</w:t>
      </w:r>
      <w:r w:rsidR="009A0847">
        <w:rPr>
          <w:color w:val="000000" w:themeColor="text1"/>
        </w:rPr>
        <w:t xml:space="preserve"> </w:t>
      </w:r>
      <w:r w:rsidRPr="005F2F6A">
        <w:rPr>
          <w:color w:val="000000" w:themeColor="text1"/>
        </w:rPr>
        <w:t>the</w:t>
      </w:r>
      <w:r w:rsidR="009A0847">
        <w:rPr>
          <w:color w:val="000000" w:themeColor="text1"/>
        </w:rPr>
        <w:t xml:space="preserve"> </w:t>
      </w:r>
      <w:r w:rsidRPr="005F2F6A">
        <w:rPr>
          <w:color w:val="000000" w:themeColor="text1"/>
        </w:rPr>
        <w:t>interbank</w:t>
      </w:r>
      <w:r w:rsidR="009A0847">
        <w:rPr>
          <w:color w:val="000000" w:themeColor="text1"/>
        </w:rPr>
        <w:t xml:space="preserve"> </w:t>
      </w:r>
      <w:r w:rsidRPr="005F2F6A">
        <w:rPr>
          <w:color w:val="000000" w:themeColor="text1"/>
        </w:rPr>
        <w:t>market</w:t>
      </w:r>
      <w:r w:rsidR="009A0847">
        <w:rPr>
          <w:color w:val="000000" w:themeColor="text1"/>
        </w:rPr>
        <w:t xml:space="preserve"> </w:t>
      </w:r>
      <w:r w:rsidRPr="005F2F6A">
        <w:rPr>
          <w:color w:val="000000" w:themeColor="text1"/>
        </w:rPr>
        <w:t>and</w:t>
      </w:r>
      <w:r w:rsidR="009A0847">
        <w:rPr>
          <w:color w:val="000000" w:themeColor="text1"/>
        </w:rPr>
        <w:t xml:space="preserve"> </w:t>
      </w:r>
      <w:r w:rsidR="00DA7856" w:rsidRPr="005F2F6A">
        <w:rPr>
          <w:color w:val="000000" w:themeColor="text1"/>
        </w:rPr>
        <w:t>prevent</w:t>
      </w:r>
      <w:r w:rsidR="009A0847">
        <w:rPr>
          <w:color w:val="000000" w:themeColor="text1"/>
        </w:rPr>
        <w:t xml:space="preserve"> </w:t>
      </w:r>
      <w:r w:rsidRPr="005F2F6A">
        <w:rPr>
          <w:color w:val="000000" w:themeColor="text1"/>
        </w:rPr>
        <w:t>the</w:t>
      </w:r>
      <w:r w:rsidR="009A0847">
        <w:rPr>
          <w:color w:val="000000" w:themeColor="text1"/>
        </w:rPr>
        <w:t xml:space="preserve"> </w:t>
      </w:r>
      <w:r w:rsidRPr="005F2F6A">
        <w:rPr>
          <w:color w:val="000000" w:themeColor="text1"/>
        </w:rPr>
        <w:t>negative</w:t>
      </w:r>
      <w:r w:rsidR="009A0847">
        <w:rPr>
          <w:color w:val="000000" w:themeColor="text1"/>
        </w:rPr>
        <w:t xml:space="preserve"> </w:t>
      </w:r>
      <w:r w:rsidR="00C17B16" w:rsidRPr="005F2F6A">
        <w:rPr>
          <w:color w:val="000000" w:themeColor="text1"/>
        </w:rPr>
        <w:t>externalities</w:t>
      </w:r>
      <w:r w:rsidR="009A0847">
        <w:rPr>
          <w:color w:val="000000" w:themeColor="text1"/>
        </w:rPr>
        <w:t xml:space="preserve"> </w:t>
      </w:r>
      <w:r w:rsidR="00C17B16" w:rsidRPr="005F2F6A">
        <w:rPr>
          <w:color w:val="000000" w:themeColor="text1"/>
        </w:rPr>
        <w:t>they</w:t>
      </w:r>
      <w:r w:rsidR="009A0847">
        <w:rPr>
          <w:color w:val="000000" w:themeColor="text1"/>
        </w:rPr>
        <w:t xml:space="preserve"> </w:t>
      </w:r>
      <w:r w:rsidR="00222279" w:rsidRPr="005F2F6A">
        <w:rPr>
          <w:color w:val="000000" w:themeColor="text1"/>
        </w:rPr>
        <w:t>can</w:t>
      </w:r>
      <w:r w:rsidR="009A0847">
        <w:rPr>
          <w:color w:val="000000" w:themeColor="text1"/>
        </w:rPr>
        <w:t xml:space="preserve"> </w:t>
      </w:r>
      <w:r w:rsidR="00064151" w:rsidRPr="005F2F6A">
        <w:rPr>
          <w:color w:val="000000" w:themeColor="text1"/>
        </w:rPr>
        <w:t>generate</w:t>
      </w:r>
      <w:r w:rsidR="00D1192A" w:rsidRPr="005F2F6A">
        <w:rPr>
          <w:color w:val="000000" w:themeColor="text1"/>
        </w:rPr>
        <w:t>,</w:t>
      </w:r>
      <w:r w:rsidR="009A0847">
        <w:rPr>
          <w:color w:val="000000" w:themeColor="text1"/>
        </w:rPr>
        <w:t xml:space="preserve"> </w:t>
      </w:r>
      <w:r w:rsidR="00D1192A" w:rsidRPr="005F2F6A">
        <w:rPr>
          <w:color w:val="000000" w:themeColor="text1"/>
        </w:rPr>
        <w:t>central</w:t>
      </w:r>
      <w:r w:rsidR="009A0847">
        <w:rPr>
          <w:color w:val="000000" w:themeColor="text1"/>
        </w:rPr>
        <w:t xml:space="preserve"> </w:t>
      </w:r>
      <w:r w:rsidR="00D1192A" w:rsidRPr="005F2F6A">
        <w:rPr>
          <w:color w:val="000000" w:themeColor="text1"/>
        </w:rPr>
        <w:t>banks</w:t>
      </w:r>
      <w:r w:rsidR="009A0847">
        <w:rPr>
          <w:color w:val="000000" w:themeColor="text1"/>
        </w:rPr>
        <w:t xml:space="preserve"> </w:t>
      </w:r>
      <w:r w:rsidR="00C17B16" w:rsidRPr="005F2F6A">
        <w:rPr>
          <w:color w:val="000000" w:themeColor="text1"/>
        </w:rPr>
        <w:t>typically</w:t>
      </w:r>
      <w:r w:rsidR="009A0847">
        <w:rPr>
          <w:color w:val="000000" w:themeColor="text1"/>
        </w:rPr>
        <w:t xml:space="preserve"> </w:t>
      </w:r>
      <w:r w:rsidR="00C17B16" w:rsidRPr="005F2F6A">
        <w:rPr>
          <w:color w:val="000000" w:themeColor="text1"/>
        </w:rPr>
        <w:t>ass</w:t>
      </w:r>
      <w:r w:rsidR="00D1192A" w:rsidRPr="005F2F6A">
        <w:rPr>
          <w:color w:val="000000" w:themeColor="text1"/>
        </w:rPr>
        <w:t>ume</w:t>
      </w:r>
      <w:r w:rsidR="009A0847">
        <w:rPr>
          <w:color w:val="000000" w:themeColor="text1"/>
        </w:rPr>
        <w:t xml:space="preserve"> </w:t>
      </w:r>
      <w:r w:rsidR="00C17B16" w:rsidRPr="005F2F6A">
        <w:rPr>
          <w:color w:val="000000" w:themeColor="text1"/>
        </w:rPr>
        <w:t>“Lender</w:t>
      </w:r>
      <w:r w:rsidR="009A0847">
        <w:rPr>
          <w:color w:val="000000" w:themeColor="text1"/>
        </w:rPr>
        <w:t xml:space="preserve"> </w:t>
      </w:r>
      <w:r w:rsidR="00C17B16" w:rsidRPr="005F2F6A">
        <w:rPr>
          <w:color w:val="000000" w:themeColor="text1"/>
        </w:rPr>
        <w:t>of</w:t>
      </w:r>
      <w:r w:rsidR="009A0847">
        <w:rPr>
          <w:color w:val="000000" w:themeColor="text1"/>
        </w:rPr>
        <w:t xml:space="preserve"> </w:t>
      </w:r>
      <w:r w:rsidR="00C17B16" w:rsidRPr="005F2F6A">
        <w:rPr>
          <w:color w:val="000000" w:themeColor="text1"/>
        </w:rPr>
        <w:t>last</w:t>
      </w:r>
      <w:r w:rsidR="009A0847">
        <w:rPr>
          <w:color w:val="000000" w:themeColor="text1"/>
        </w:rPr>
        <w:t xml:space="preserve"> </w:t>
      </w:r>
      <w:r w:rsidR="00C17B16" w:rsidRPr="005F2F6A">
        <w:rPr>
          <w:color w:val="000000" w:themeColor="text1"/>
        </w:rPr>
        <w:t>Resort”</w:t>
      </w:r>
      <w:r w:rsidR="009A0847">
        <w:rPr>
          <w:color w:val="000000" w:themeColor="text1"/>
        </w:rPr>
        <w:t xml:space="preserve"> </w:t>
      </w:r>
      <w:r w:rsidR="00C17B16" w:rsidRPr="005F2F6A">
        <w:rPr>
          <w:color w:val="000000" w:themeColor="text1"/>
        </w:rPr>
        <w:t>(LoLR)</w:t>
      </w:r>
      <w:r w:rsidR="009A0847">
        <w:rPr>
          <w:color w:val="000000" w:themeColor="text1"/>
        </w:rPr>
        <w:t xml:space="preserve"> </w:t>
      </w:r>
      <w:r w:rsidR="00C17B16" w:rsidRPr="005F2F6A">
        <w:rPr>
          <w:color w:val="000000" w:themeColor="text1"/>
        </w:rPr>
        <w:t>responsibilities.</w:t>
      </w:r>
      <w:r w:rsidR="009A0847">
        <w:rPr>
          <w:color w:val="000000" w:themeColor="text1"/>
        </w:rPr>
        <w:t xml:space="preserve"> </w:t>
      </w:r>
      <w:r w:rsidR="00C17B16" w:rsidRPr="005F2F6A">
        <w:rPr>
          <w:color w:val="000000" w:themeColor="text1"/>
        </w:rPr>
        <w:t>The</w:t>
      </w:r>
      <w:r w:rsidR="009A0847">
        <w:rPr>
          <w:color w:val="000000" w:themeColor="text1"/>
        </w:rPr>
        <w:t xml:space="preserve"> </w:t>
      </w:r>
      <w:r w:rsidR="00C17B16" w:rsidRPr="005F2F6A">
        <w:rPr>
          <w:color w:val="000000" w:themeColor="text1"/>
        </w:rPr>
        <w:t>objective</w:t>
      </w:r>
      <w:r w:rsidR="009A0847">
        <w:rPr>
          <w:color w:val="000000" w:themeColor="text1"/>
        </w:rPr>
        <w:t xml:space="preserve"> </w:t>
      </w:r>
      <w:r w:rsidR="00DA7856" w:rsidRPr="005F2F6A">
        <w:rPr>
          <w:color w:val="000000" w:themeColor="text1"/>
        </w:rPr>
        <w:t>of</w:t>
      </w:r>
      <w:r w:rsidR="009A0847">
        <w:rPr>
          <w:color w:val="000000" w:themeColor="text1"/>
        </w:rPr>
        <w:t xml:space="preserve"> </w:t>
      </w:r>
      <w:r w:rsidR="00DA7856" w:rsidRPr="005F2F6A">
        <w:rPr>
          <w:color w:val="000000" w:themeColor="text1"/>
        </w:rPr>
        <w:t>the</w:t>
      </w:r>
      <w:r w:rsidR="009A0847">
        <w:rPr>
          <w:color w:val="000000" w:themeColor="text1"/>
        </w:rPr>
        <w:t xml:space="preserve"> </w:t>
      </w:r>
      <w:r w:rsidR="00DA7856" w:rsidRPr="005F2F6A">
        <w:rPr>
          <w:color w:val="000000" w:themeColor="text1"/>
        </w:rPr>
        <w:t>LoLR</w:t>
      </w:r>
      <w:r w:rsidR="009A0847">
        <w:rPr>
          <w:color w:val="000000" w:themeColor="text1"/>
        </w:rPr>
        <w:t xml:space="preserve"> </w:t>
      </w:r>
      <w:r w:rsidR="00C17B16" w:rsidRPr="005F2F6A">
        <w:rPr>
          <w:color w:val="000000" w:themeColor="text1"/>
        </w:rPr>
        <w:t>is</w:t>
      </w:r>
      <w:r w:rsidR="009A0847">
        <w:rPr>
          <w:color w:val="000000" w:themeColor="text1"/>
        </w:rPr>
        <w:t xml:space="preserve"> </w:t>
      </w:r>
      <w:r w:rsidR="00C17B16" w:rsidRPr="005F2F6A">
        <w:rPr>
          <w:color w:val="000000" w:themeColor="text1"/>
        </w:rPr>
        <w:t>to</w:t>
      </w:r>
      <w:r w:rsidR="009A0847">
        <w:rPr>
          <w:color w:val="000000" w:themeColor="text1"/>
        </w:rPr>
        <w:t xml:space="preserve"> </w:t>
      </w:r>
      <w:r w:rsidR="00C17B16" w:rsidRPr="005F2F6A">
        <w:rPr>
          <w:color w:val="000000" w:themeColor="text1"/>
        </w:rPr>
        <w:t>avoid</w:t>
      </w:r>
      <w:r w:rsidR="009A0847">
        <w:rPr>
          <w:color w:val="000000" w:themeColor="text1"/>
        </w:rPr>
        <w:t xml:space="preserve"> </w:t>
      </w:r>
      <w:r w:rsidR="00C17B16" w:rsidRPr="005F2F6A">
        <w:rPr>
          <w:color w:val="000000" w:themeColor="text1"/>
        </w:rPr>
        <w:t>unnecessary</w:t>
      </w:r>
      <w:r w:rsidR="009A0847">
        <w:rPr>
          <w:color w:val="000000" w:themeColor="text1"/>
        </w:rPr>
        <w:t xml:space="preserve"> </w:t>
      </w:r>
      <w:r w:rsidR="00C17B16" w:rsidRPr="005F2F6A">
        <w:rPr>
          <w:color w:val="000000" w:themeColor="text1"/>
        </w:rPr>
        <w:t>and</w:t>
      </w:r>
      <w:r w:rsidR="009A0847">
        <w:rPr>
          <w:color w:val="000000" w:themeColor="text1"/>
        </w:rPr>
        <w:t xml:space="preserve"> </w:t>
      </w:r>
      <w:r w:rsidR="00C17B16" w:rsidRPr="005F2F6A">
        <w:rPr>
          <w:color w:val="000000" w:themeColor="text1"/>
        </w:rPr>
        <w:t>socially</w:t>
      </w:r>
      <w:r w:rsidR="009A0847">
        <w:rPr>
          <w:color w:val="000000" w:themeColor="text1"/>
        </w:rPr>
        <w:t xml:space="preserve"> </w:t>
      </w:r>
      <w:r w:rsidR="00C17B16" w:rsidRPr="005F2F6A">
        <w:rPr>
          <w:color w:val="000000" w:themeColor="text1"/>
        </w:rPr>
        <w:t>costly</w:t>
      </w:r>
      <w:r w:rsidR="009A0847">
        <w:rPr>
          <w:color w:val="000000" w:themeColor="text1"/>
        </w:rPr>
        <w:t xml:space="preserve"> </w:t>
      </w:r>
      <w:r w:rsidR="00C17B16" w:rsidRPr="005F2F6A">
        <w:rPr>
          <w:color w:val="000000" w:themeColor="text1"/>
        </w:rPr>
        <w:t>failures</w:t>
      </w:r>
      <w:r w:rsidR="009A0847">
        <w:rPr>
          <w:color w:val="000000" w:themeColor="text1"/>
        </w:rPr>
        <w:t xml:space="preserve"> </w:t>
      </w:r>
      <w:r w:rsidR="00C17B16" w:rsidRPr="005F2F6A">
        <w:rPr>
          <w:color w:val="000000" w:themeColor="text1"/>
        </w:rPr>
        <w:t>by</w:t>
      </w:r>
      <w:r w:rsidR="009A0847">
        <w:rPr>
          <w:color w:val="000000" w:themeColor="text1"/>
        </w:rPr>
        <w:t xml:space="preserve"> </w:t>
      </w:r>
      <w:r w:rsidR="00C17B16" w:rsidRPr="005F2F6A">
        <w:rPr>
          <w:color w:val="000000" w:themeColor="text1"/>
        </w:rPr>
        <w:t>providing</w:t>
      </w:r>
      <w:r w:rsidR="009A0847">
        <w:rPr>
          <w:color w:val="000000" w:themeColor="text1"/>
        </w:rPr>
        <w:t xml:space="preserve"> </w:t>
      </w:r>
      <w:r w:rsidR="003D5F31">
        <w:rPr>
          <w:color w:val="000000" w:themeColor="text1"/>
        </w:rPr>
        <w:t>liquidity</w:t>
      </w:r>
      <w:r w:rsidR="009A0847">
        <w:rPr>
          <w:color w:val="000000" w:themeColor="text1"/>
        </w:rPr>
        <w:t xml:space="preserve"> </w:t>
      </w:r>
      <w:r w:rsidR="003D5F31">
        <w:rPr>
          <w:color w:val="000000" w:themeColor="text1"/>
        </w:rPr>
        <w:t>support</w:t>
      </w:r>
      <w:r w:rsidR="009A0847">
        <w:rPr>
          <w:color w:val="000000" w:themeColor="text1"/>
        </w:rPr>
        <w:t xml:space="preserve"> </w:t>
      </w:r>
      <w:r w:rsidR="00C17B16" w:rsidRPr="005F2F6A">
        <w:rPr>
          <w:color w:val="000000" w:themeColor="text1"/>
        </w:rPr>
        <w:t>when</w:t>
      </w:r>
      <w:r w:rsidR="009A0847">
        <w:rPr>
          <w:color w:val="000000" w:themeColor="text1"/>
        </w:rPr>
        <w:t xml:space="preserve"> </w:t>
      </w:r>
      <w:r w:rsidR="00C17B16" w:rsidRPr="005F2F6A">
        <w:rPr>
          <w:color w:val="000000" w:themeColor="text1"/>
        </w:rPr>
        <w:t>private</w:t>
      </w:r>
      <w:r w:rsidR="009A0847">
        <w:rPr>
          <w:color w:val="000000" w:themeColor="text1"/>
        </w:rPr>
        <w:t xml:space="preserve"> </w:t>
      </w:r>
      <w:r w:rsidR="00C17B16" w:rsidRPr="005F2F6A">
        <w:rPr>
          <w:color w:val="000000" w:themeColor="text1"/>
        </w:rPr>
        <w:t>alternatives</w:t>
      </w:r>
      <w:r w:rsidR="009A0847">
        <w:rPr>
          <w:color w:val="000000" w:themeColor="text1"/>
        </w:rPr>
        <w:t xml:space="preserve"> </w:t>
      </w:r>
      <w:r w:rsidR="00C17B16" w:rsidRPr="005F2F6A">
        <w:rPr>
          <w:color w:val="000000" w:themeColor="text1"/>
        </w:rPr>
        <w:t>are</w:t>
      </w:r>
      <w:r w:rsidR="009A0847">
        <w:rPr>
          <w:color w:val="000000" w:themeColor="text1"/>
        </w:rPr>
        <w:t xml:space="preserve"> </w:t>
      </w:r>
      <w:r w:rsidR="00C17B16" w:rsidRPr="005F2F6A">
        <w:rPr>
          <w:color w:val="000000" w:themeColor="text1"/>
        </w:rPr>
        <w:t>not</w:t>
      </w:r>
      <w:r w:rsidR="009A0847">
        <w:rPr>
          <w:color w:val="000000" w:themeColor="text1"/>
        </w:rPr>
        <w:t xml:space="preserve"> </w:t>
      </w:r>
      <w:r w:rsidR="00C17B16" w:rsidRPr="005F2F6A">
        <w:rPr>
          <w:color w:val="000000" w:themeColor="text1"/>
        </w:rPr>
        <w:t>available</w:t>
      </w:r>
      <w:r w:rsidR="009A0847">
        <w:rPr>
          <w:color w:val="000000" w:themeColor="text1"/>
        </w:rPr>
        <w:t xml:space="preserve"> </w:t>
      </w:r>
      <w:r w:rsidR="00C17B16" w:rsidRPr="005F2F6A">
        <w:rPr>
          <w:color w:val="000000" w:themeColor="text1"/>
        </w:rPr>
        <w:t>or</w:t>
      </w:r>
      <w:r w:rsidR="009A0847">
        <w:rPr>
          <w:color w:val="000000" w:themeColor="text1"/>
        </w:rPr>
        <w:t xml:space="preserve"> </w:t>
      </w:r>
      <w:r w:rsidR="00C17B16" w:rsidRPr="005F2F6A">
        <w:rPr>
          <w:color w:val="000000" w:themeColor="text1"/>
        </w:rPr>
        <w:t>prohibitively</w:t>
      </w:r>
      <w:r w:rsidR="009A0847">
        <w:rPr>
          <w:color w:val="000000" w:themeColor="text1"/>
        </w:rPr>
        <w:t xml:space="preserve"> </w:t>
      </w:r>
      <w:r w:rsidR="00C17B16" w:rsidRPr="005F2F6A">
        <w:rPr>
          <w:color w:val="000000" w:themeColor="text1"/>
        </w:rPr>
        <w:t>expensive.</w:t>
      </w:r>
      <w:r w:rsidR="007C3506" w:rsidRPr="005F2F6A">
        <w:rPr>
          <w:rStyle w:val="FootnoteReference"/>
          <w:color w:val="000000" w:themeColor="text1"/>
        </w:rPr>
        <w:footnoteReference w:id="5"/>
      </w:r>
      <w:r w:rsidR="009A0847">
        <w:rPr>
          <w:color w:val="000000" w:themeColor="text1"/>
        </w:rPr>
        <w:t xml:space="preserve"> </w:t>
      </w:r>
      <w:r w:rsidR="00EE661A" w:rsidRPr="005F2F6A">
        <w:rPr>
          <w:color w:val="000000" w:themeColor="text1"/>
        </w:rPr>
        <w:t>In</w:t>
      </w:r>
      <w:r w:rsidR="009A0847">
        <w:rPr>
          <w:color w:val="000000" w:themeColor="text1"/>
        </w:rPr>
        <w:t xml:space="preserve"> </w:t>
      </w:r>
      <w:r w:rsidR="00EE661A" w:rsidRPr="005F2F6A">
        <w:rPr>
          <w:color w:val="000000" w:themeColor="text1"/>
        </w:rPr>
        <w:t>the</w:t>
      </w:r>
      <w:r w:rsidR="009A0847">
        <w:rPr>
          <w:color w:val="000000" w:themeColor="text1"/>
        </w:rPr>
        <w:t xml:space="preserve"> </w:t>
      </w:r>
      <w:r w:rsidR="00EE661A" w:rsidRPr="005F2F6A">
        <w:rPr>
          <w:color w:val="000000" w:themeColor="text1"/>
        </w:rPr>
        <w:t>U</w:t>
      </w:r>
      <w:r w:rsidR="002354D4" w:rsidRPr="005F2F6A">
        <w:rPr>
          <w:color w:val="000000" w:themeColor="text1"/>
        </w:rPr>
        <w:t>.</w:t>
      </w:r>
      <w:r w:rsidR="00EE661A" w:rsidRPr="005F2F6A">
        <w:rPr>
          <w:color w:val="000000" w:themeColor="text1"/>
        </w:rPr>
        <w:t>S</w:t>
      </w:r>
      <w:r w:rsidR="002354D4" w:rsidRPr="005F2F6A">
        <w:rPr>
          <w:color w:val="000000" w:themeColor="text1"/>
        </w:rPr>
        <w:t>.</w:t>
      </w:r>
      <w:r w:rsidR="00EE661A" w:rsidRPr="005F2F6A">
        <w:rPr>
          <w:color w:val="000000" w:themeColor="text1"/>
        </w:rPr>
        <w:t>,</w:t>
      </w:r>
      <w:r w:rsidR="009A0847">
        <w:rPr>
          <w:color w:val="000000" w:themeColor="text1"/>
        </w:rPr>
        <w:t xml:space="preserve"> </w:t>
      </w:r>
      <w:r w:rsidR="00EE661A" w:rsidRPr="005F2F6A">
        <w:rPr>
          <w:color w:val="000000" w:themeColor="text1"/>
        </w:rPr>
        <w:t>the</w:t>
      </w:r>
      <w:r w:rsidR="009A0847">
        <w:rPr>
          <w:color w:val="000000" w:themeColor="text1"/>
        </w:rPr>
        <w:t xml:space="preserve"> </w:t>
      </w:r>
      <w:r w:rsidR="00EE661A" w:rsidRPr="005F2F6A">
        <w:rPr>
          <w:color w:val="000000" w:themeColor="text1"/>
        </w:rPr>
        <w:t>Fed</w:t>
      </w:r>
      <w:r w:rsidR="00EA439B" w:rsidRPr="005F2F6A">
        <w:rPr>
          <w:color w:val="000000" w:themeColor="text1"/>
        </w:rPr>
        <w:t>eral</w:t>
      </w:r>
      <w:r w:rsidR="009A0847">
        <w:rPr>
          <w:color w:val="000000" w:themeColor="text1"/>
        </w:rPr>
        <w:t xml:space="preserve"> </w:t>
      </w:r>
      <w:r w:rsidR="00EA439B" w:rsidRPr="005F2F6A">
        <w:rPr>
          <w:color w:val="000000" w:themeColor="text1"/>
        </w:rPr>
        <w:t>Reserve</w:t>
      </w:r>
      <w:r w:rsidR="009A0847">
        <w:rPr>
          <w:color w:val="000000" w:themeColor="text1"/>
        </w:rPr>
        <w:t xml:space="preserve"> </w:t>
      </w:r>
      <w:r w:rsidR="00EA439B" w:rsidRPr="005F2F6A">
        <w:rPr>
          <w:color w:val="000000" w:themeColor="text1"/>
        </w:rPr>
        <w:t>(the</w:t>
      </w:r>
      <w:r w:rsidR="009A0847">
        <w:rPr>
          <w:color w:val="000000" w:themeColor="text1"/>
        </w:rPr>
        <w:t xml:space="preserve"> </w:t>
      </w:r>
      <w:r w:rsidR="00EA439B" w:rsidRPr="005F2F6A">
        <w:rPr>
          <w:color w:val="000000" w:themeColor="text1"/>
        </w:rPr>
        <w:t>Fed)</w:t>
      </w:r>
      <w:r w:rsidR="009A0847">
        <w:rPr>
          <w:color w:val="000000" w:themeColor="text1"/>
        </w:rPr>
        <w:t xml:space="preserve"> </w:t>
      </w:r>
      <w:r w:rsidR="00C531C8" w:rsidRPr="005F2F6A">
        <w:rPr>
          <w:color w:val="000000" w:themeColor="text1"/>
        </w:rPr>
        <w:t>has</w:t>
      </w:r>
      <w:r w:rsidR="009A0847">
        <w:rPr>
          <w:color w:val="000000" w:themeColor="text1"/>
        </w:rPr>
        <w:t xml:space="preserve"> </w:t>
      </w:r>
      <w:r w:rsidR="00C531C8" w:rsidRPr="005F2F6A">
        <w:rPr>
          <w:color w:val="000000" w:themeColor="text1"/>
        </w:rPr>
        <w:t>been</w:t>
      </w:r>
      <w:r w:rsidR="009A0847">
        <w:rPr>
          <w:color w:val="000000" w:themeColor="text1"/>
        </w:rPr>
        <w:t xml:space="preserve"> </w:t>
      </w:r>
      <w:r w:rsidR="00EE661A" w:rsidRPr="005F2F6A">
        <w:rPr>
          <w:color w:val="000000" w:themeColor="text1"/>
        </w:rPr>
        <w:t>operat</w:t>
      </w:r>
      <w:r w:rsidR="00C531C8" w:rsidRPr="005F2F6A">
        <w:rPr>
          <w:color w:val="000000" w:themeColor="text1"/>
        </w:rPr>
        <w:t>ing</w:t>
      </w:r>
      <w:r w:rsidR="009A0847">
        <w:rPr>
          <w:color w:val="000000" w:themeColor="text1"/>
        </w:rPr>
        <w:t xml:space="preserve"> </w:t>
      </w:r>
      <w:r w:rsidR="00EA439B" w:rsidRPr="005F2F6A">
        <w:rPr>
          <w:color w:val="000000" w:themeColor="text1"/>
        </w:rPr>
        <w:t>as</w:t>
      </w:r>
      <w:r w:rsidR="009A0847">
        <w:rPr>
          <w:color w:val="000000" w:themeColor="text1"/>
        </w:rPr>
        <w:t xml:space="preserve"> </w:t>
      </w:r>
      <w:r w:rsidR="00EA439B" w:rsidRPr="005F2F6A">
        <w:rPr>
          <w:color w:val="000000" w:themeColor="text1"/>
        </w:rPr>
        <w:t>a</w:t>
      </w:r>
      <w:r w:rsidR="009A0847">
        <w:rPr>
          <w:color w:val="000000" w:themeColor="text1"/>
        </w:rPr>
        <w:t xml:space="preserve"> </w:t>
      </w:r>
      <w:r w:rsidR="00EA439B" w:rsidRPr="005F2F6A">
        <w:rPr>
          <w:color w:val="000000" w:themeColor="text1"/>
        </w:rPr>
        <w:t>LoLR</w:t>
      </w:r>
      <w:r w:rsidR="009A0847">
        <w:rPr>
          <w:color w:val="000000" w:themeColor="text1"/>
        </w:rPr>
        <w:t xml:space="preserve"> </w:t>
      </w:r>
      <w:r w:rsidR="00EA439B" w:rsidRPr="005F2F6A">
        <w:rPr>
          <w:color w:val="000000" w:themeColor="text1"/>
        </w:rPr>
        <w:t>through</w:t>
      </w:r>
      <w:r w:rsidR="009A0847">
        <w:rPr>
          <w:color w:val="000000" w:themeColor="text1"/>
        </w:rPr>
        <w:t xml:space="preserve"> </w:t>
      </w:r>
      <w:r w:rsidR="001437CB" w:rsidRPr="005F2F6A">
        <w:rPr>
          <w:color w:val="000000" w:themeColor="text1"/>
        </w:rPr>
        <w:t>its</w:t>
      </w:r>
      <w:r w:rsidR="009A0847">
        <w:rPr>
          <w:color w:val="000000" w:themeColor="text1"/>
        </w:rPr>
        <w:t xml:space="preserve"> </w:t>
      </w:r>
      <w:r w:rsidR="00EA439B" w:rsidRPr="005F2F6A">
        <w:rPr>
          <w:color w:val="000000" w:themeColor="text1"/>
        </w:rPr>
        <w:t>“Discount</w:t>
      </w:r>
      <w:r w:rsidR="009A0847">
        <w:rPr>
          <w:color w:val="000000" w:themeColor="text1"/>
        </w:rPr>
        <w:t xml:space="preserve"> </w:t>
      </w:r>
      <w:r w:rsidR="00973705" w:rsidRPr="005F2F6A">
        <w:rPr>
          <w:color w:val="000000" w:themeColor="text1"/>
        </w:rPr>
        <w:t>Window”</w:t>
      </w:r>
      <w:r w:rsidR="009A0847">
        <w:rPr>
          <w:color w:val="000000" w:themeColor="text1"/>
        </w:rPr>
        <w:t xml:space="preserve"> </w:t>
      </w:r>
      <w:r w:rsidR="001437CB" w:rsidRPr="005F2F6A">
        <w:rPr>
          <w:color w:val="000000" w:themeColor="text1"/>
        </w:rPr>
        <w:t>for</w:t>
      </w:r>
      <w:r w:rsidR="009A0847">
        <w:rPr>
          <w:color w:val="000000" w:themeColor="text1"/>
        </w:rPr>
        <w:t xml:space="preserve"> </w:t>
      </w:r>
      <w:r w:rsidR="001437CB" w:rsidRPr="005F2F6A">
        <w:rPr>
          <w:color w:val="000000" w:themeColor="text1"/>
        </w:rPr>
        <w:t>more</w:t>
      </w:r>
      <w:r w:rsidR="009A0847">
        <w:rPr>
          <w:color w:val="000000" w:themeColor="text1"/>
        </w:rPr>
        <w:t xml:space="preserve"> </w:t>
      </w:r>
      <w:r w:rsidR="001437CB" w:rsidRPr="005F2F6A">
        <w:rPr>
          <w:color w:val="000000" w:themeColor="text1"/>
        </w:rPr>
        <w:t>than</w:t>
      </w:r>
      <w:r w:rsidR="009A0847">
        <w:rPr>
          <w:color w:val="000000" w:themeColor="text1"/>
        </w:rPr>
        <w:t xml:space="preserve"> </w:t>
      </w:r>
      <w:r w:rsidR="001437CB" w:rsidRPr="005F2F6A">
        <w:rPr>
          <w:color w:val="000000" w:themeColor="text1"/>
        </w:rPr>
        <w:t>a</w:t>
      </w:r>
      <w:r w:rsidR="009A0847">
        <w:rPr>
          <w:color w:val="000000" w:themeColor="text1"/>
        </w:rPr>
        <w:t xml:space="preserve"> </w:t>
      </w:r>
      <w:r w:rsidR="001437CB" w:rsidRPr="005F2F6A">
        <w:rPr>
          <w:color w:val="000000" w:themeColor="text1"/>
        </w:rPr>
        <w:t>century</w:t>
      </w:r>
      <w:r w:rsidR="00EA439B" w:rsidRPr="005F2F6A">
        <w:rPr>
          <w:color w:val="000000" w:themeColor="text1"/>
        </w:rPr>
        <w:t>.</w:t>
      </w:r>
      <w:r w:rsidR="00726988" w:rsidRPr="005F2F6A">
        <w:rPr>
          <w:rStyle w:val="FootnoteReference"/>
          <w:color w:val="000000" w:themeColor="text1"/>
        </w:rPr>
        <w:footnoteReference w:id="6"/>
      </w:r>
      <w:r w:rsidR="009A0847">
        <w:rPr>
          <w:color w:val="000000" w:themeColor="text1"/>
        </w:rPr>
        <w:t xml:space="preserve"> </w:t>
      </w:r>
      <w:r w:rsidR="00DA7856" w:rsidRPr="005F2F6A">
        <w:rPr>
          <w:color w:val="000000" w:themeColor="text1"/>
        </w:rPr>
        <w:t>As</w:t>
      </w:r>
      <w:r w:rsidR="009A0847">
        <w:rPr>
          <w:color w:val="000000" w:themeColor="text1"/>
        </w:rPr>
        <w:t xml:space="preserve"> </w:t>
      </w:r>
      <w:r w:rsidR="00DA7856" w:rsidRPr="005F2F6A">
        <w:rPr>
          <w:color w:val="000000" w:themeColor="text1"/>
        </w:rPr>
        <w:t>further</w:t>
      </w:r>
      <w:r w:rsidR="009A0847">
        <w:rPr>
          <w:color w:val="000000" w:themeColor="text1"/>
        </w:rPr>
        <w:t xml:space="preserve"> </w:t>
      </w:r>
      <w:r w:rsidR="00DA7856" w:rsidRPr="005F2F6A">
        <w:rPr>
          <w:color w:val="000000" w:themeColor="text1"/>
        </w:rPr>
        <w:t>explained</w:t>
      </w:r>
      <w:r w:rsidR="009A0847">
        <w:rPr>
          <w:color w:val="000000" w:themeColor="text1"/>
        </w:rPr>
        <w:t xml:space="preserve"> </w:t>
      </w:r>
      <w:r w:rsidR="00DA7856" w:rsidRPr="005F2F6A">
        <w:rPr>
          <w:color w:val="000000" w:themeColor="text1"/>
        </w:rPr>
        <w:t>in</w:t>
      </w:r>
      <w:r w:rsidR="009A0847">
        <w:rPr>
          <w:color w:val="000000" w:themeColor="text1"/>
        </w:rPr>
        <w:t xml:space="preserve"> </w:t>
      </w:r>
      <w:r w:rsidR="00DA7856" w:rsidRPr="005F2F6A">
        <w:rPr>
          <w:color w:val="000000" w:themeColor="text1"/>
        </w:rPr>
        <w:t>Appendix</w:t>
      </w:r>
      <w:r w:rsidR="009A0847">
        <w:rPr>
          <w:color w:val="000000" w:themeColor="text1"/>
        </w:rPr>
        <w:t xml:space="preserve"> </w:t>
      </w:r>
      <w:r w:rsidR="00DA7856" w:rsidRPr="005F2F6A">
        <w:rPr>
          <w:color w:val="000000" w:themeColor="text1"/>
        </w:rPr>
        <w:t>1,</w:t>
      </w:r>
      <w:r w:rsidR="009A0847">
        <w:rPr>
          <w:color w:val="000000" w:themeColor="text1"/>
        </w:rPr>
        <w:t xml:space="preserve"> </w:t>
      </w:r>
      <w:r w:rsidR="00DA7856" w:rsidRPr="005F2F6A">
        <w:rPr>
          <w:color w:val="000000" w:themeColor="text1"/>
        </w:rPr>
        <w:t>the</w:t>
      </w:r>
      <w:r w:rsidR="009A0847">
        <w:rPr>
          <w:color w:val="000000" w:themeColor="text1"/>
        </w:rPr>
        <w:t xml:space="preserve"> </w:t>
      </w:r>
      <w:r w:rsidR="00DA7856" w:rsidRPr="005F2F6A">
        <w:rPr>
          <w:color w:val="000000" w:themeColor="text1"/>
        </w:rPr>
        <w:t>DW</w:t>
      </w:r>
      <w:r w:rsidR="009A0847">
        <w:rPr>
          <w:color w:val="000000" w:themeColor="text1"/>
        </w:rPr>
        <w:t xml:space="preserve"> </w:t>
      </w:r>
      <w:r w:rsidR="00EA439B" w:rsidRPr="005F2F6A">
        <w:rPr>
          <w:color w:val="000000" w:themeColor="text1"/>
        </w:rPr>
        <w:t>is</w:t>
      </w:r>
      <w:r w:rsidR="009A0847">
        <w:rPr>
          <w:color w:val="000000" w:themeColor="text1"/>
        </w:rPr>
        <w:t xml:space="preserve"> </w:t>
      </w:r>
      <w:r w:rsidR="00EA439B" w:rsidRPr="005F2F6A">
        <w:rPr>
          <w:color w:val="000000" w:themeColor="text1"/>
        </w:rPr>
        <w:t>a</w:t>
      </w:r>
      <w:r w:rsidR="009A0847">
        <w:rPr>
          <w:color w:val="000000" w:themeColor="text1"/>
        </w:rPr>
        <w:t xml:space="preserve"> </w:t>
      </w:r>
      <w:r w:rsidR="00EA439B" w:rsidRPr="005F2F6A">
        <w:rPr>
          <w:color w:val="000000" w:themeColor="text1"/>
        </w:rPr>
        <w:t>standing</w:t>
      </w:r>
      <w:r w:rsidR="009A0847">
        <w:rPr>
          <w:color w:val="000000" w:themeColor="text1"/>
        </w:rPr>
        <w:t xml:space="preserve"> </w:t>
      </w:r>
      <w:r w:rsidR="00EA439B" w:rsidRPr="005F2F6A">
        <w:rPr>
          <w:color w:val="000000" w:themeColor="text1"/>
        </w:rPr>
        <w:t>facility</w:t>
      </w:r>
      <w:r w:rsidR="009A0847">
        <w:rPr>
          <w:color w:val="000000" w:themeColor="text1"/>
        </w:rPr>
        <w:t xml:space="preserve"> </w:t>
      </w:r>
      <w:r w:rsidR="003233AD">
        <w:rPr>
          <w:color w:val="000000" w:themeColor="text1"/>
          <w:szCs w:val="24"/>
        </w:rPr>
        <w:t>(i.e.</w:t>
      </w:r>
      <w:r w:rsidR="009A0847">
        <w:rPr>
          <w:color w:val="000000" w:themeColor="text1"/>
          <w:szCs w:val="24"/>
        </w:rPr>
        <w:t xml:space="preserve"> </w:t>
      </w:r>
      <w:r w:rsidR="003233AD">
        <w:rPr>
          <w:color w:val="000000" w:themeColor="text1"/>
          <w:szCs w:val="24"/>
        </w:rPr>
        <w:t>open</w:t>
      </w:r>
      <w:r w:rsidR="009A0847">
        <w:rPr>
          <w:color w:val="000000" w:themeColor="text1"/>
          <w:szCs w:val="24"/>
        </w:rPr>
        <w:t xml:space="preserve"> </w:t>
      </w:r>
      <w:r w:rsidR="00EA439B" w:rsidRPr="005F2F6A">
        <w:rPr>
          <w:color w:val="000000" w:themeColor="text1"/>
          <w:szCs w:val="24"/>
        </w:rPr>
        <w:t>every</w:t>
      </w:r>
      <w:r w:rsidR="009A0847">
        <w:rPr>
          <w:color w:val="000000" w:themeColor="text1"/>
          <w:szCs w:val="24"/>
        </w:rPr>
        <w:t xml:space="preserve"> </w:t>
      </w:r>
      <w:r w:rsidR="00EA439B" w:rsidRPr="005F2F6A">
        <w:rPr>
          <w:color w:val="000000" w:themeColor="text1"/>
          <w:szCs w:val="24"/>
        </w:rPr>
        <w:t>business</w:t>
      </w:r>
      <w:r w:rsidR="009A0847">
        <w:rPr>
          <w:color w:val="000000" w:themeColor="text1"/>
          <w:szCs w:val="24"/>
        </w:rPr>
        <w:t xml:space="preserve"> </w:t>
      </w:r>
      <w:r w:rsidR="00EA439B" w:rsidRPr="005F2F6A">
        <w:rPr>
          <w:color w:val="000000" w:themeColor="text1"/>
          <w:szCs w:val="24"/>
        </w:rPr>
        <w:t>day)</w:t>
      </w:r>
      <w:r w:rsidR="009A0847">
        <w:rPr>
          <w:color w:val="000000" w:themeColor="text1"/>
          <w:szCs w:val="24"/>
        </w:rPr>
        <w:t xml:space="preserve"> </w:t>
      </w:r>
      <w:r w:rsidR="00EA439B" w:rsidRPr="005F2F6A">
        <w:rPr>
          <w:color w:val="000000" w:themeColor="text1"/>
          <w:szCs w:val="24"/>
        </w:rPr>
        <w:t>that</w:t>
      </w:r>
      <w:r w:rsidR="009A0847">
        <w:rPr>
          <w:color w:val="000000" w:themeColor="text1"/>
          <w:szCs w:val="24"/>
        </w:rPr>
        <w:t xml:space="preserve"> </w:t>
      </w:r>
      <w:r w:rsidR="00DA7856" w:rsidRPr="005F2F6A">
        <w:rPr>
          <w:color w:val="000000" w:themeColor="text1"/>
          <w:szCs w:val="24"/>
        </w:rPr>
        <w:t>provides</w:t>
      </w:r>
      <w:r w:rsidR="009A0847">
        <w:rPr>
          <w:color w:val="000000" w:themeColor="text1"/>
          <w:szCs w:val="24"/>
        </w:rPr>
        <w:t xml:space="preserve"> </w:t>
      </w:r>
      <w:r w:rsidR="00DA7856" w:rsidRPr="005F2F6A">
        <w:rPr>
          <w:color w:val="000000" w:themeColor="text1"/>
          <w:szCs w:val="24"/>
        </w:rPr>
        <w:t>sound</w:t>
      </w:r>
      <w:r w:rsidR="009A0847">
        <w:rPr>
          <w:color w:val="000000" w:themeColor="text1"/>
          <w:szCs w:val="24"/>
        </w:rPr>
        <w:t xml:space="preserve"> </w:t>
      </w:r>
      <w:r w:rsidR="00DA7856" w:rsidRPr="005F2F6A">
        <w:rPr>
          <w:color w:val="000000" w:themeColor="text1"/>
          <w:szCs w:val="24"/>
        </w:rPr>
        <w:t>depository</w:t>
      </w:r>
      <w:r w:rsidR="009A0847">
        <w:rPr>
          <w:color w:val="000000" w:themeColor="text1"/>
          <w:szCs w:val="24"/>
        </w:rPr>
        <w:t xml:space="preserve"> </w:t>
      </w:r>
      <w:r w:rsidR="00DA7856" w:rsidRPr="005F2F6A">
        <w:rPr>
          <w:color w:val="000000" w:themeColor="text1"/>
          <w:szCs w:val="24"/>
        </w:rPr>
        <w:t>institutions</w:t>
      </w:r>
      <w:r w:rsidR="009A0847">
        <w:rPr>
          <w:color w:val="000000" w:themeColor="text1"/>
          <w:szCs w:val="24"/>
        </w:rPr>
        <w:t xml:space="preserve"> </w:t>
      </w:r>
      <w:r w:rsidR="00DA7856" w:rsidRPr="005F2F6A">
        <w:rPr>
          <w:color w:val="000000" w:themeColor="text1"/>
          <w:szCs w:val="24"/>
        </w:rPr>
        <w:t>backup</w:t>
      </w:r>
      <w:r w:rsidR="009A0847">
        <w:rPr>
          <w:color w:val="000000" w:themeColor="text1"/>
          <w:szCs w:val="24"/>
        </w:rPr>
        <w:t xml:space="preserve"> </w:t>
      </w:r>
      <w:r w:rsidR="00DA7856" w:rsidRPr="005F2F6A">
        <w:rPr>
          <w:color w:val="000000" w:themeColor="text1"/>
          <w:szCs w:val="24"/>
        </w:rPr>
        <w:t>overnight</w:t>
      </w:r>
      <w:r w:rsidR="009A0847">
        <w:rPr>
          <w:color w:val="000000" w:themeColor="text1"/>
          <w:szCs w:val="24"/>
        </w:rPr>
        <w:t xml:space="preserve"> </w:t>
      </w:r>
      <w:r w:rsidR="00DA7856" w:rsidRPr="005F2F6A">
        <w:rPr>
          <w:color w:val="000000" w:themeColor="text1"/>
          <w:szCs w:val="24"/>
        </w:rPr>
        <w:t>funding</w:t>
      </w:r>
      <w:r w:rsidR="009A0847">
        <w:rPr>
          <w:color w:val="000000" w:themeColor="text1"/>
          <w:szCs w:val="24"/>
        </w:rPr>
        <w:t xml:space="preserve"> </w:t>
      </w:r>
      <w:r w:rsidR="00DA7856" w:rsidRPr="005F2F6A">
        <w:rPr>
          <w:color w:val="000000" w:themeColor="text1"/>
          <w:szCs w:val="24"/>
        </w:rPr>
        <w:t>against</w:t>
      </w:r>
      <w:r w:rsidR="009A0847">
        <w:rPr>
          <w:color w:val="000000" w:themeColor="text1"/>
          <w:szCs w:val="24"/>
        </w:rPr>
        <w:t xml:space="preserve"> </w:t>
      </w:r>
      <w:r w:rsidR="00DA7856" w:rsidRPr="005F2F6A">
        <w:rPr>
          <w:color w:val="000000" w:themeColor="text1"/>
          <w:szCs w:val="24"/>
        </w:rPr>
        <w:t>a</w:t>
      </w:r>
      <w:r w:rsidR="009A0847">
        <w:rPr>
          <w:color w:val="000000" w:themeColor="text1"/>
          <w:szCs w:val="24"/>
        </w:rPr>
        <w:t xml:space="preserve"> </w:t>
      </w:r>
      <w:r w:rsidR="00DA7856" w:rsidRPr="005F2F6A">
        <w:rPr>
          <w:color w:val="000000" w:themeColor="text1"/>
          <w:szCs w:val="24"/>
        </w:rPr>
        <w:t>broad</w:t>
      </w:r>
      <w:r w:rsidR="009A0847">
        <w:rPr>
          <w:color w:val="000000" w:themeColor="text1"/>
          <w:szCs w:val="24"/>
        </w:rPr>
        <w:t xml:space="preserve"> </w:t>
      </w:r>
      <w:r w:rsidR="00DA7856" w:rsidRPr="005F2F6A">
        <w:rPr>
          <w:color w:val="000000" w:themeColor="text1"/>
          <w:szCs w:val="24"/>
        </w:rPr>
        <w:t>range</w:t>
      </w:r>
      <w:r w:rsidR="009A0847">
        <w:rPr>
          <w:color w:val="000000" w:themeColor="text1"/>
          <w:szCs w:val="24"/>
        </w:rPr>
        <w:t xml:space="preserve"> </w:t>
      </w:r>
      <w:r w:rsidR="00DA7856" w:rsidRPr="005F2F6A">
        <w:rPr>
          <w:color w:val="000000" w:themeColor="text1"/>
          <w:szCs w:val="24"/>
        </w:rPr>
        <w:t>of</w:t>
      </w:r>
      <w:r w:rsidR="009A0847">
        <w:rPr>
          <w:color w:val="000000" w:themeColor="text1"/>
          <w:szCs w:val="24"/>
        </w:rPr>
        <w:t xml:space="preserve"> </w:t>
      </w:r>
      <w:r w:rsidR="00DA7856" w:rsidRPr="005F2F6A">
        <w:rPr>
          <w:color w:val="000000" w:themeColor="text1"/>
          <w:szCs w:val="24"/>
        </w:rPr>
        <w:t>collateral</w:t>
      </w:r>
      <w:r w:rsidR="009A0847">
        <w:rPr>
          <w:color w:val="000000" w:themeColor="text1"/>
          <w:szCs w:val="24"/>
        </w:rPr>
        <w:t xml:space="preserve"> </w:t>
      </w:r>
      <w:r w:rsidR="00DA7856" w:rsidRPr="005F2F6A">
        <w:rPr>
          <w:color w:val="000000" w:themeColor="text1"/>
          <w:szCs w:val="24"/>
        </w:rPr>
        <w:t>at</w:t>
      </w:r>
      <w:r w:rsidR="009A0847">
        <w:rPr>
          <w:color w:val="000000" w:themeColor="text1"/>
          <w:szCs w:val="24"/>
        </w:rPr>
        <w:t xml:space="preserve"> </w:t>
      </w:r>
      <w:r w:rsidR="00DA7856" w:rsidRPr="005F2F6A">
        <w:rPr>
          <w:color w:val="000000" w:themeColor="text1"/>
          <w:szCs w:val="24"/>
        </w:rPr>
        <w:t>a</w:t>
      </w:r>
      <w:r w:rsidR="009A0847">
        <w:rPr>
          <w:color w:val="000000" w:themeColor="text1"/>
          <w:szCs w:val="24"/>
        </w:rPr>
        <w:t xml:space="preserve"> </w:t>
      </w:r>
      <w:r w:rsidR="00DA7856" w:rsidRPr="005F2F6A">
        <w:rPr>
          <w:color w:val="000000" w:themeColor="text1"/>
          <w:szCs w:val="24"/>
        </w:rPr>
        <w:t>premium</w:t>
      </w:r>
      <w:r w:rsidR="009A0847">
        <w:rPr>
          <w:color w:val="000000" w:themeColor="text1"/>
          <w:szCs w:val="24"/>
        </w:rPr>
        <w:t xml:space="preserve"> </w:t>
      </w:r>
      <w:r w:rsidR="00DA7856" w:rsidRPr="005F2F6A">
        <w:rPr>
          <w:color w:val="000000" w:themeColor="text1"/>
          <w:szCs w:val="24"/>
        </w:rPr>
        <w:t>above</w:t>
      </w:r>
      <w:r w:rsidR="009A0847">
        <w:rPr>
          <w:color w:val="000000" w:themeColor="text1"/>
          <w:szCs w:val="24"/>
        </w:rPr>
        <w:t xml:space="preserve"> </w:t>
      </w:r>
      <w:r w:rsidR="00DA7856" w:rsidRPr="005F2F6A">
        <w:rPr>
          <w:color w:val="000000" w:themeColor="text1"/>
          <w:szCs w:val="24"/>
        </w:rPr>
        <w:t>the</w:t>
      </w:r>
      <w:r w:rsidR="009A0847">
        <w:rPr>
          <w:color w:val="000000" w:themeColor="text1"/>
          <w:szCs w:val="24"/>
        </w:rPr>
        <w:t xml:space="preserve"> </w:t>
      </w:r>
      <w:r w:rsidR="00DA7856" w:rsidRPr="005F2F6A">
        <w:rPr>
          <w:color w:val="000000" w:themeColor="text1"/>
          <w:szCs w:val="24"/>
        </w:rPr>
        <w:t>target</w:t>
      </w:r>
      <w:r w:rsidR="009A0847">
        <w:rPr>
          <w:color w:val="000000" w:themeColor="text1"/>
          <w:szCs w:val="24"/>
        </w:rPr>
        <w:t xml:space="preserve"> </w:t>
      </w:r>
      <w:r w:rsidR="00DA7856" w:rsidRPr="005F2F6A">
        <w:rPr>
          <w:color w:val="000000" w:themeColor="text1"/>
          <w:szCs w:val="24"/>
        </w:rPr>
        <w:t>rate</w:t>
      </w:r>
      <w:r w:rsidR="000979B4" w:rsidRPr="005F2F6A">
        <w:rPr>
          <w:color w:val="000000" w:themeColor="text1"/>
          <w:szCs w:val="24"/>
        </w:rPr>
        <w:t>.</w:t>
      </w:r>
      <w:r w:rsidR="009A0847">
        <w:rPr>
          <w:color w:val="000000" w:themeColor="text1"/>
          <w:szCs w:val="24"/>
        </w:rPr>
        <w:t xml:space="preserve"> </w:t>
      </w:r>
      <w:r w:rsidR="000979B4" w:rsidRPr="005F2F6A">
        <w:rPr>
          <w:color w:val="000000" w:themeColor="text1"/>
          <w:szCs w:val="24"/>
        </w:rPr>
        <w:t>Because</w:t>
      </w:r>
      <w:r w:rsidR="009A0847">
        <w:rPr>
          <w:color w:val="000000" w:themeColor="text1"/>
          <w:szCs w:val="24"/>
        </w:rPr>
        <w:t xml:space="preserve"> </w:t>
      </w:r>
      <w:r w:rsidR="000979B4" w:rsidRPr="005F2F6A">
        <w:rPr>
          <w:color w:val="000000" w:themeColor="text1"/>
          <w:szCs w:val="24"/>
        </w:rPr>
        <w:t>it</w:t>
      </w:r>
      <w:r w:rsidR="009A0847">
        <w:rPr>
          <w:color w:val="000000" w:themeColor="text1"/>
          <w:szCs w:val="24"/>
        </w:rPr>
        <w:t xml:space="preserve"> </w:t>
      </w:r>
      <w:r w:rsidR="000979B4" w:rsidRPr="005F2F6A">
        <w:rPr>
          <w:color w:val="000000" w:themeColor="text1"/>
          <w:szCs w:val="24"/>
        </w:rPr>
        <w:t>aims</w:t>
      </w:r>
      <w:r w:rsidR="009A0847">
        <w:rPr>
          <w:color w:val="000000" w:themeColor="text1"/>
          <w:szCs w:val="24"/>
        </w:rPr>
        <w:t xml:space="preserve"> </w:t>
      </w:r>
      <w:r w:rsidR="000979B4" w:rsidRPr="005F2F6A">
        <w:rPr>
          <w:color w:val="000000" w:themeColor="text1"/>
          <w:szCs w:val="24"/>
        </w:rPr>
        <w:t>to</w:t>
      </w:r>
      <w:r w:rsidR="009A0847">
        <w:rPr>
          <w:color w:val="000000" w:themeColor="text1"/>
          <w:szCs w:val="24"/>
        </w:rPr>
        <w:t xml:space="preserve"> </w:t>
      </w:r>
      <w:r w:rsidR="000979B4" w:rsidRPr="005F2F6A">
        <w:rPr>
          <w:color w:val="000000" w:themeColor="text1"/>
          <w:szCs w:val="24"/>
        </w:rPr>
        <w:t>address</w:t>
      </w:r>
      <w:r w:rsidR="009A0847">
        <w:rPr>
          <w:color w:val="000000" w:themeColor="text1"/>
          <w:szCs w:val="24"/>
        </w:rPr>
        <w:t xml:space="preserve"> </w:t>
      </w:r>
      <w:r w:rsidR="000979B4" w:rsidRPr="005F2F6A">
        <w:rPr>
          <w:color w:val="000000" w:themeColor="text1"/>
          <w:szCs w:val="24"/>
        </w:rPr>
        <w:t>any</w:t>
      </w:r>
      <w:r w:rsidR="009A0847">
        <w:rPr>
          <w:color w:val="000000" w:themeColor="text1"/>
          <w:szCs w:val="24"/>
        </w:rPr>
        <w:t xml:space="preserve"> </w:t>
      </w:r>
      <w:r w:rsidR="000979B4" w:rsidRPr="005F2F6A">
        <w:rPr>
          <w:color w:val="000000" w:themeColor="text1"/>
          <w:szCs w:val="24"/>
        </w:rPr>
        <w:t>liquidity</w:t>
      </w:r>
      <w:r w:rsidR="009A0847">
        <w:rPr>
          <w:color w:val="000000" w:themeColor="text1"/>
          <w:szCs w:val="24"/>
        </w:rPr>
        <w:t xml:space="preserve"> </w:t>
      </w:r>
      <w:r w:rsidR="000979B4" w:rsidRPr="005F2F6A">
        <w:rPr>
          <w:color w:val="000000" w:themeColor="text1"/>
          <w:szCs w:val="24"/>
        </w:rPr>
        <w:t>problems</w:t>
      </w:r>
      <w:r w:rsidR="009A0847">
        <w:rPr>
          <w:color w:val="000000" w:themeColor="text1"/>
          <w:szCs w:val="24"/>
        </w:rPr>
        <w:t xml:space="preserve"> </w:t>
      </w:r>
      <w:r w:rsidR="000979B4" w:rsidRPr="005F2F6A">
        <w:rPr>
          <w:color w:val="000000" w:themeColor="text1"/>
          <w:szCs w:val="24"/>
        </w:rPr>
        <w:t>before</w:t>
      </w:r>
      <w:r w:rsidR="009A0847">
        <w:rPr>
          <w:color w:val="000000" w:themeColor="text1"/>
          <w:szCs w:val="24"/>
        </w:rPr>
        <w:t xml:space="preserve"> </w:t>
      </w:r>
      <w:r w:rsidR="000979B4" w:rsidRPr="005F2F6A">
        <w:rPr>
          <w:color w:val="000000" w:themeColor="text1"/>
          <w:szCs w:val="24"/>
        </w:rPr>
        <w:t>they</w:t>
      </w:r>
      <w:r w:rsidR="009A0847">
        <w:rPr>
          <w:color w:val="000000" w:themeColor="text1"/>
          <w:szCs w:val="24"/>
        </w:rPr>
        <w:t xml:space="preserve"> </w:t>
      </w:r>
      <w:r w:rsidR="000979B4" w:rsidRPr="005F2F6A">
        <w:rPr>
          <w:color w:val="000000" w:themeColor="text1"/>
          <w:szCs w:val="24"/>
        </w:rPr>
        <w:t>have</w:t>
      </w:r>
      <w:r w:rsidR="009A0847">
        <w:rPr>
          <w:color w:val="000000" w:themeColor="text1"/>
          <w:szCs w:val="24"/>
        </w:rPr>
        <w:t xml:space="preserve"> </w:t>
      </w:r>
      <w:r w:rsidR="000979B4" w:rsidRPr="005F2F6A">
        <w:rPr>
          <w:color w:val="000000" w:themeColor="text1"/>
          <w:szCs w:val="24"/>
        </w:rPr>
        <w:t>systemic</w:t>
      </w:r>
      <w:r w:rsidR="009A0847">
        <w:rPr>
          <w:color w:val="000000" w:themeColor="text1"/>
          <w:szCs w:val="24"/>
        </w:rPr>
        <w:t xml:space="preserve"> </w:t>
      </w:r>
      <w:r w:rsidR="000979B4" w:rsidRPr="005F2F6A">
        <w:rPr>
          <w:color w:val="000000" w:themeColor="text1"/>
          <w:szCs w:val="24"/>
        </w:rPr>
        <w:t>consequences,</w:t>
      </w:r>
      <w:r w:rsidR="009A0847">
        <w:rPr>
          <w:color w:val="000000" w:themeColor="text1"/>
          <w:szCs w:val="24"/>
        </w:rPr>
        <w:t xml:space="preserve"> </w:t>
      </w:r>
      <w:r w:rsidR="000979B4" w:rsidRPr="005F2F6A">
        <w:rPr>
          <w:color w:val="000000" w:themeColor="text1"/>
          <w:szCs w:val="24"/>
        </w:rPr>
        <w:t>the</w:t>
      </w:r>
      <w:r w:rsidR="009A0847">
        <w:rPr>
          <w:color w:val="000000" w:themeColor="text1"/>
          <w:szCs w:val="24"/>
        </w:rPr>
        <w:t xml:space="preserve"> </w:t>
      </w:r>
      <w:r w:rsidR="000979B4" w:rsidRPr="005F2F6A">
        <w:rPr>
          <w:color w:val="000000" w:themeColor="text1"/>
          <w:szCs w:val="24"/>
        </w:rPr>
        <w:t>DW</w:t>
      </w:r>
      <w:r w:rsidR="009A0847">
        <w:rPr>
          <w:color w:val="000000" w:themeColor="text1"/>
          <w:szCs w:val="24"/>
        </w:rPr>
        <w:t xml:space="preserve"> </w:t>
      </w:r>
      <w:r w:rsidR="000979B4" w:rsidRPr="005F2F6A">
        <w:rPr>
          <w:color w:val="000000" w:themeColor="text1"/>
          <w:szCs w:val="24"/>
        </w:rPr>
        <w:t>is</w:t>
      </w:r>
      <w:r w:rsidR="009A0847">
        <w:rPr>
          <w:color w:val="000000" w:themeColor="text1"/>
          <w:szCs w:val="24"/>
        </w:rPr>
        <w:t xml:space="preserve"> </w:t>
      </w:r>
      <w:r w:rsidR="00DA7856" w:rsidRPr="005F2F6A">
        <w:rPr>
          <w:color w:val="000000" w:themeColor="text1"/>
          <w:szCs w:val="24"/>
        </w:rPr>
        <w:t>the</w:t>
      </w:r>
      <w:r w:rsidR="009A0847">
        <w:rPr>
          <w:color w:val="000000" w:themeColor="text1"/>
          <w:szCs w:val="24"/>
        </w:rPr>
        <w:t xml:space="preserve"> </w:t>
      </w:r>
      <w:r w:rsidR="00DA7856" w:rsidRPr="005F2F6A">
        <w:rPr>
          <w:color w:val="000000" w:themeColor="text1"/>
          <w:szCs w:val="24"/>
        </w:rPr>
        <w:t>Fed’s</w:t>
      </w:r>
      <w:r w:rsidR="009A0847">
        <w:rPr>
          <w:color w:val="000000" w:themeColor="text1"/>
          <w:szCs w:val="24"/>
        </w:rPr>
        <w:t xml:space="preserve"> </w:t>
      </w:r>
      <w:r w:rsidR="00DA7856" w:rsidRPr="005F2F6A">
        <w:rPr>
          <w:color w:val="000000" w:themeColor="text1"/>
          <w:szCs w:val="24"/>
        </w:rPr>
        <w:t>first</w:t>
      </w:r>
      <w:r w:rsidR="009A0847">
        <w:rPr>
          <w:color w:val="000000" w:themeColor="text1"/>
          <w:szCs w:val="24"/>
        </w:rPr>
        <w:t xml:space="preserve"> </w:t>
      </w:r>
      <w:r w:rsidR="00DA7856" w:rsidRPr="005F2F6A">
        <w:rPr>
          <w:color w:val="000000" w:themeColor="text1"/>
          <w:szCs w:val="24"/>
        </w:rPr>
        <w:t>line</w:t>
      </w:r>
      <w:r w:rsidR="009A0847">
        <w:rPr>
          <w:color w:val="000000" w:themeColor="text1"/>
          <w:szCs w:val="24"/>
        </w:rPr>
        <w:t xml:space="preserve"> </w:t>
      </w:r>
      <w:r w:rsidR="00DA7856" w:rsidRPr="005F2F6A">
        <w:rPr>
          <w:color w:val="000000" w:themeColor="text1"/>
          <w:szCs w:val="24"/>
        </w:rPr>
        <w:t>of</w:t>
      </w:r>
      <w:r w:rsidR="009A0847">
        <w:rPr>
          <w:color w:val="000000" w:themeColor="text1"/>
          <w:szCs w:val="24"/>
        </w:rPr>
        <w:t xml:space="preserve"> </w:t>
      </w:r>
      <w:r w:rsidR="00DA7856" w:rsidRPr="005F2F6A">
        <w:rPr>
          <w:color w:val="000000" w:themeColor="text1"/>
          <w:szCs w:val="24"/>
        </w:rPr>
        <w:t>defense</w:t>
      </w:r>
      <w:r w:rsidR="009A0847">
        <w:rPr>
          <w:color w:val="000000" w:themeColor="text1"/>
          <w:szCs w:val="24"/>
        </w:rPr>
        <w:t xml:space="preserve"> </w:t>
      </w:r>
      <w:r w:rsidR="00DA7856" w:rsidRPr="005F2F6A">
        <w:rPr>
          <w:color w:val="000000" w:themeColor="text1"/>
          <w:szCs w:val="24"/>
        </w:rPr>
        <w:t>against</w:t>
      </w:r>
      <w:r w:rsidR="009A0847">
        <w:rPr>
          <w:color w:val="000000" w:themeColor="text1"/>
          <w:szCs w:val="24"/>
        </w:rPr>
        <w:t xml:space="preserve"> </w:t>
      </w:r>
      <w:r w:rsidR="00DE67D9" w:rsidRPr="005F2F6A">
        <w:rPr>
          <w:color w:val="000000" w:themeColor="text1"/>
          <w:szCs w:val="24"/>
        </w:rPr>
        <w:t>a</w:t>
      </w:r>
      <w:r w:rsidR="009A0847">
        <w:rPr>
          <w:color w:val="000000" w:themeColor="text1"/>
          <w:szCs w:val="24"/>
        </w:rPr>
        <w:t xml:space="preserve"> </w:t>
      </w:r>
      <w:r w:rsidR="00DA7856" w:rsidRPr="005F2F6A">
        <w:rPr>
          <w:color w:val="000000" w:themeColor="text1"/>
          <w:szCs w:val="24"/>
        </w:rPr>
        <w:t>liquidity</w:t>
      </w:r>
      <w:r w:rsidR="009A0847">
        <w:rPr>
          <w:color w:val="000000" w:themeColor="text1"/>
          <w:szCs w:val="24"/>
        </w:rPr>
        <w:t xml:space="preserve"> </w:t>
      </w:r>
      <w:r w:rsidR="00DA7856" w:rsidRPr="005F2F6A">
        <w:rPr>
          <w:color w:val="000000" w:themeColor="text1"/>
          <w:szCs w:val="24"/>
        </w:rPr>
        <w:t>crisis.</w:t>
      </w:r>
      <w:r w:rsidR="009A0847">
        <w:rPr>
          <w:color w:val="000000" w:themeColor="text1"/>
          <w:szCs w:val="24"/>
        </w:rPr>
        <w:t xml:space="preserve"> </w:t>
      </w:r>
      <w:r w:rsidR="001437CB" w:rsidRPr="005F2F6A">
        <w:rPr>
          <w:color w:val="000000" w:themeColor="text1"/>
          <w:szCs w:val="24"/>
        </w:rPr>
        <w:t>Historically,</w:t>
      </w:r>
      <w:r w:rsidR="009A0847">
        <w:rPr>
          <w:color w:val="000000" w:themeColor="text1"/>
          <w:szCs w:val="24"/>
        </w:rPr>
        <w:t xml:space="preserve"> </w:t>
      </w:r>
      <w:r w:rsidR="001437CB" w:rsidRPr="005F2F6A">
        <w:rPr>
          <w:color w:val="000000" w:themeColor="text1"/>
          <w:szCs w:val="24"/>
        </w:rPr>
        <w:t>however,</w:t>
      </w:r>
      <w:r w:rsidR="009A0847">
        <w:rPr>
          <w:color w:val="000000" w:themeColor="text1"/>
          <w:szCs w:val="24"/>
        </w:rPr>
        <w:t xml:space="preserve"> </w:t>
      </w:r>
      <w:r w:rsidR="001437CB" w:rsidRPr="005F2F6A">
        <w:rPr>
          <w:color w:val="000000" w:themeColor="text1"/>
          <w:szCs w:val="24"/>
        </w:rPr>
        <w:t>the</w:t>
      </w:r>
      <w:r w:rsidR="009A0847">
        <w:rPr>
          <w:color w:val="000000" w:themeColor="text1"/>
          <w:szCs w:val="24"/>
        </w:rPr>
        <w:t xml:space="preserve"> </w:t>
      </w:r>
      <w:r w:rsidR="001437CB" w:rsidRPr="005F2F6A">
        <w:rPr>
          <w:color w:val="000000" w:themeColor="text1"/>
          <w:szCs w:val="24"/>
        </w:rPr>
        <w:t>DW</w:t>
      </w:r>
      <w:r w:rsidR="009A0847">
        <w:rPr>
          <w:color w:val="000000" w:themeColor="text1"/>
          <w:szCs w:val="24"/>
        </w:rPr>
        <w:t xml:space="preserve"> </w:t>
      </w:r>
      <w:r w:rsidR="001437CB" w:rsidRPr="005F2F6A">
        <w:rPr>
          <w:color w:val="000000" w:themeColor="text1"/>
          <w:szCs w:val="24"/>
        </w:rPr>
        <w:t>has</w:t>
      </w:r>
      <w:r w:rsidR="009A0847">
        <w:rPr>
          <w:color w:val="000000" w:themeColor="text1"/>
          <w:szCs w:val="24"/>
        </w:rPr>
        <w:t xml:space="preserve"> </w:t>
      </w:r>
      <w:r w:rsidR="001437CB" w:rsidRPr="005F2F6A">
        <w:rPr>
          <w:color w:val="000000" w:themeColor="text1"/>
          <w:szCs w:val="24"/>
        </w:rPr>
        <w:t>been</w:t>
      </w:r>
      <w:r w:rsidR="009A0847">
        <w:rPr>
          <w:color w:val="000000" w:themeColor="text1"/>
          <w:szCs w:val="24"/>
        </w:rPr>
        <w:t xml:space="preserve"> </w:t>
      </w:r>
      <w:r w:rsidR="001437CB" w:rsidRPr="005F2F6A">
        <w:rPr>
          <w:color w:val="000000" w:themeColor="text1"/>
          <w:szCs w:val="24"/>
        </w:rPr>
        <w:t>little</w:t>
      </w:r>
      <w:r w:rsidR="009A0847">
        <w:rPr>
          <w:color w:val="000000" w:themeColor="text1"/>
          <w:szCs w:val="24"/>
        </w:rPr>
        <w:t xml:space="preserve"> </w:t>
      </w:r>
      <w:r w:rsidR="001437CB" w:rsidRPr="005F2F6A">
        <w:rPr>
          <w:color w:val="000000" w:themeColor="text1"/>
          <w:szCs w:val="24"/>
        </w:rPr>
        <w:t>used,</w:t>
      </w:r>
      <w:r w:rsidR="009A0847">
        <w:rPr>
          <w:color w:val="000000" w:themeColor="text1"/>
          <w:szCs w:val="24"/>
        </w:rPr>
        <w:t xml:space="preserve"> </w:t>
      </w:r>
      <w:r w:rsidR="001437CB" w:rsidRPr="005F2F6A">
        <w:rPr>
          <w:color w:val="000000" w:themeColor="text1"/>
          <w:szCs w:val="24"/>
        </w:rPr>
        <w:t>even</w:t>
      </w:r>
      <w:r w:rsidR="009A0847">
        <w:rPr>
          <w:color w:val="000000" w:themeColor="text1"/>
          <w:szCs w:val="24"/>
        </w:rPr>
        <w:t xml:space="preserve"> </w:t>
      </w:r>
      <w:r w:rsidR="001437CB" w:rsidRPr="005F2F6A">
        <w:rPr>
          <w:color w:val="000000" w:themeColor="text1"/>
          <w:szCs w:val="24"/>
        </w:rPr>
        <w:t>when</w:t>
      </w:r>
      <w:r w:rsidR="009A0847">
        <w:rPr>
          <w:color w:val="000000" w:themeColor="text1"/>
          <w:szCs w:val="24"/>
        </w:rPr>
        <w:t xml:space="preserve"> </w:t>
      </w:r>
      <w:r w:rsidR="001437CB" w:rsidRPr="005F2F6A">
        <w:rPr>
          <w:color w:val="000000" w:themeColor="text1"/>
          <w:szCs w:val="24"/>
        </w:rPr>
        <w:t>banks</w:t>
      </w:r>
      <w:r w:rsidR="009A0847">
        <w:rPr>
          <w:color w:val="000000" w:themeColor="text1"/>
          <w:szCs w:val="24"/>
        </w:rPr>
        <w:t xml:space="preserve"> </w:t>
      </w:r>
      <w:r w:rsidR="001437CB" w:rsidRPr="005F2F6A">
        <w:rPr>
          <w:color w:val="000000" w:themeColor="text1"/>
          <w:szCs w:val="24"/>
        </w:rPr>
        <w:t>faced</w:t>
      </w:r>
      <w:r w:rsidR="009A0847">
        <w:rPr>
          <w:color w:val="000000" w:themeColor="text1"/>
          <w:szCs w:val="24"/>
        </w:rPr>
        <w:t xml:space="preserve"> </w:t>
      </w:r>
      <w:r w:rsidR="001437CB" w:rsidRPr="005F2F6A">
        <w:rPr>
          <w:color w:val="000000" w:themeColor="text1"/>
          <w:szCs w:val="24"/>
        </w:rPr>
        <w:t>acute</w:t>
      </w:r>
      <w:r w:rsidR="009A0847">
        <w:rPr>
          <w:color w:val="000000" w:themeColor="text1"/>
          <w:szCs w:val="24"/>
        </w:rPr>
        <w:t xml:space="preserve"> </w:t>
      </w:r>
      <w:r w:rsidR="001437CB" w:rsidRPr="005F2F6A">
        <w:rPr>
          <w:color w:val="000000" w:themeColor="text1"/>
          <w:szCs w:val="24"/>
        </w:rPr>
        <w:t>liquidity</w:t>
      </w:r>
      <w:r w:rsidR="009A0847">
        <w:rPr>
          <w:color w:val="000000" w:themeColor="text1"/>
          <w:szCs w:val="24"/>
        </w:rPr>
        <w:t xml:space="preserve"> </w:t>
      </w:r>
      <w:r w:rsidR="001437CB" w:rsidRPr="005F2F6A">
        <w:rPr>
          <w:color w:val="000000" w:themeColor="text1"/>
          <w:szCs w:val="24"/>
        </w:rPr>
        <w:t>shortages.</w:t>
      </w:r>
      <w:r w:rsidR="009A0847">
        <w:rPr>
          <w:color w:val="000000" w:themeColor="text1"/>
          <w:szCs w:val="24"/>
        </w:rPr>
        <w:t xml:space="preserve"> </w:t>
      </w:r>
      <w:r w:rsidR="001437CB" w:rsidRPr="005F2F6A">
        <w:rPr>
          <w:color w:val="000000" w:themeColor="text1"/>
          <w:szCs w:val="24"/>
        </w:rPr>
        <w:t>Most</w:t>
      </w:r>
      <w:r w:rsidR="009A0847">
        <w:rPr>
          <w:color w:val="000000" w:themeColor="text1"/>
          <w:szCs w:val="24"/>
        </w:rPr>
        <w:t xml:space="preserve"> </w:t>
      </w:r>
      <w:r w:rsidR="001437CB" w:rsidRPr="005F2F6A">
        <w:rPr>
          <w:color w:val="000000" w:themeColor="text1"/>
          <w:szCs w:val="24"/>
        </w:rPr>
        <w:t>notably,</w:t>
      </w:r>
      <w:r w:rsidR="009A0847">
        <w:rPr>
          <w:color w:val="000000" w:themeColor="text1"/>
          <w:szCs w:val="24"/>
        </w:rPr>
        <w:t xml:space="preserve"> </w:t>
      </w:r>
      <w:r w:rsidR="001437CB" w:rsidRPr="005F2F6A">
        <w:rPr>
          <w:color w:val="000000" w:themeColor="text1"/>
          <w:szCs w:val="24"/>
        </w:rPr>
        <w:t>the</w:t>
      </w:r>
      <w:r w:rsidR="009A0847">
        <w:rPr>
          <w:color w:val="000000" w:themeColor="text1"/>
          <w:szCs w:val="24"/>
        </w:rPr>
        <w:t xml:space="preserve"> </w:t>
      </w:r>
      <w:r w:rsidR="001437CB" w:rsidRPr="005F2F6A">
        <w:rPr>
          <w:color w:val="000000" w:themeColor="text1"/>
          <w:szCs w:val="24"/>
        </w:rPr>
        <w:t>DW</w:t>
      </w:r>
      <w:r w:rsidR="009A0847">
        <w:rPr>
          <w:color w:val="000000" w:themeColor="text1"/>
          <w:szCs w:val="24"/>
        </w:rPr>
        <w:t xml:space="preserve"> </w:t>
      </w:r>
      <w:r w:rsidR="001437CB" w:rsidRPr="005F2F6A">
        <w:rPr>
          <w:color w:val="000000" w:themeColor="text1"/>
          <w:szCs w:val="24"/>
        </w:rPr>
        <w:t>was</w:t>
      </w:r>
      <w:r w:rsidR="009A0847">
        <w:rPr>
          <w:color w:val="000000" w:themeColor="text1"/>
          <w:szCs w:val="24"/>
        </w:rPr>
        <w:t xml:space="preserve"> </w:t>
      </w:r>
      <w:r w:rsidR="001437CB" w:rsidRPr="005F2F6A">
        <w:rPr>
          <w:color w:val="000000" w:themeColor="text1"/>
          <w:szCs w:val="24"/>
        </w:rPr>
        <w:t>scarcely</w:t>
      </w:r>
      <w:r w:rsidR="009A0847">
        <w:rPr>
          <w:color w:val="000000" w:themeColor="text1"/>
          <w:szCs w:val="24"/>
        </w:rPr>
        <w:t xml:space="preserve"> </w:t>
      </w:r>
      <w:r w:rsidR="001437CB" w:rsidRPr="005F2F6A">
        <w:rPr>
          <w:color w:val="000000" w:themeColor="text1"/>
          <w:szCs w:val="24"/>
        </w:rPr>
        <w:t>accessed</w:t>
      </w:r>
      <w:r w:rsidR="009A0847">
        <w:rPr>
          <w:color w:val="000000" w:themeColor="text1"/>
          <w:szCs w:val="24"/>
        </w:rPr>
        <w:t xml:space="preserve"> </w:t>
      </w:r>
      <w:r w:rsidR="001437CB" w:rsidRPr="005F2F6A">
        <w:rPr>
          <w:color w:val="000000" w:themeColor="text1"/>
          <w:szCs w:val="24"/>
        </w:rPr>
        <w:t>at</w:t>
      </w:r>
      <w:r w:rsidR="009A0847">
        <w:rPr>
          <w:color w:val="000000" w:themeColor="text1"/>
          <w:szCs w:val="24"/>
        </w:rPr>
        <w:t xml:space="preserve"> </w:t>
      </w:r>
      <w:r w:rsidR="001437CB" w:rsidRPr="005F2F6A">
        <w:rPr>
          <w:color w:val="000000" w:themeColor="text1"/>
          <w:szCs w:val="24"/>
        </w:rPr>
        <w:t>the</w:t>
      </w:r>
      <w:r w:rsidR="009A0847">
        <w:rPr>
          <w:color w:val="000000" w:themeColor="text1"/>
          <w:szCs w:val="24"/>
        </w:rPr>
        <w:t xml:space="preserve"> </w:t>
      </w:r>
      <w:r w:rsidR="001437CB" w:rsidRPr="005F2F6A">
        <w:rPr>
          <w:color w:val="000000" w:themeColor="text1"/>
          <w:szCs w:val="24"/>
        </w:rPr>
        <w:t>onset</w:t>
      </w:r>
      <w:r w:rsidR="009A0847">
        <w:rPr>
          <w:color w:val="000000" w:themeColor="text1"/>
          <w:szCs w:val="24"/>
        </w:rPr>
        <w:t xml:space="preserve"> </w:t>
      </w:r>
      <w:r w:rsidR="001437CB" w:rsidRPr="005F2F6A">
        <w:rPr>
          <w:color w:val="000000" w:themeColor="text1"/>
          <w:szCs w:val="24"/>
        </w:rPr>
        <w:t>of</w:t>
      </w:r>
      <w:r w:rsidR="009A0847">
        <w:rPr>
          <w:color w:val="000000" w:themeColor="text1"/>
          <w:szCs w:val="24"/>
        </w:rPr>
        <w:t xml:space="preserve"> </w:t>
      </w:r>
      <w:r w:rsidR="001437CB" w:rsidRPr="005F2F6A">
        <w:rPr>
          <w:color w:val="000000" w:themeColor="text1"/>
          <w:szCs w:val="24"/>
        </w:rPr>
        <w:t>the</w:t>
      </w:r>
      <w:r w:rsidR="009A0847">
        <w:rPr>
          <w:color w:val="000000" w:themeColor="text1"/>
          <w:szCs w:val="24"/>
        </w:rPr>
        <w:t xml:space="preserve"> </w:t>
      </w:r>
      <w:r w:rsidR="00ED0367">
        <w:rPr>
          <w:color w:val="000000" w:themeColor="text1"/>
          <w:szCs w:val="24"/>
        </w:rPr>
        <w:t>2008</w:t>
      </w:r>
      <w:r w:rsidR="009A0847">
        <w:rPr>
          <w:color w:val="000000" w:themeColor="text1"/>
          <w:szCs w:val="24"/>
        </w:rPr>
        <w:t xml:space="preserve"> </w:t>
      </w:r>
      <w:r w:rsidR="001437CB" w:rsidRPr="005F2F6A">
        <w:rPr>
          <w:color w:val="000000" w:themeColor="text1"/>
          <w:szCs w:val="24"/>
        </w:rPr>
        <w:t>financial</w:t>
      </w:r>
      <w:r w:rsidR="009A0847">
        <w:rPr>
          <w:color w:val="000000" w:themeColor="text1"/>
          <w:szCs w:val="24"/>
        </w:rPr>
        <w:t xml:space="preserve"> </w:t>
      </w:r>
      <w:r w:rsidR="001437CB" w:rsidRPr="005F2F6A">
        <w:rPr>
          <w:color w:val="000000" w:themeColor="text1"/>
          <w:szCs w:val="24"/>
        </w:rPr>
        <w:t>crisis</w:t>
      </w:r>
      <w:r w:rsidR="009A0847">
        <w:rPr>
          <w:color w:val="000000" w:themeColor="text1"/>
          <w:szCs w:val="24"/>
        </w:rPr>
        <w:t xml:space="preserve"> </w:t>
      </w:r>
      <w:r w:rsidR="001437CB" w:rsidRPr="005F2F6A">
        <w:rPr>
          <w:color w:val="000000" w:themeColor="text1"/>
          <w:szCs w:val="24"/>
        </w:rPr>
        <w:t>despite</w:t>
      </w:r>
      <w:r w:rsidR="009A0847">
        <w:rPr>
          <w:color w:val="000000" w:themeColor="text1"/>
          <w:szCs w:val="24"/>
        </w:rPr>
        <w:t xml:space="preserve"> </w:t>
      </w:r>
      <w:r w:rsidR="001437CB" w:rsidRPr="005F2F6A">
        <w:rPr>
          <w:color w:val="000000" w:themeColor="text1"/>
          <w:szCs w:val="24"/>
        </w:rPr>
        <w:t>several</w:t>
      </w:r>
      <w:r w:rsidR="009A0847">
        <w:rPr>
          <w:color w:val="000000" w:themeColor="text1"/>
          <w:szCs w:val="24"/>
        </w:rPr>
        <w:t xml:space="preserve"> </w:t>
      </w:r>
      <w:r w:rsidR="001437CB" w:rsidRPr="005F2F6A">
        <w:rPr>
          <w:color w:val="000000" w:themeColor="text1"/>
          <w:szCs w:val="24"/>
        </w:rPr>
        <w:t>pol</w:t>
      </w:r>
      <w:r w:rsidR="00A7691C">
        <w:rPr>
          <w:color w:val="000000" w:themeColor="text1"/>
          <w:szCs w:val="24"/>
        </w:rPr>
        <w:t>icy</w:t>
      </w:r>
      <w:r w:rsidR="009A0847">
        <w:rPr>
          <w:color w:val="000000" w:themeColor="text1"/>
          <w:szCs w:val="24"/>
        </w:rPr>
        <w:t xml:space="preserve"> </w:t>
      </w:r>
      <w:r w:rsidR="00A7691C">
        <w:rPr>
          <w:color w:val="000000" w:themeColor="text1"/>
          <w:szCs w:val="24"/>
        </w:rPr>
        <w:t>measures</w:t>
      </w:r>
      <w:r w:rsidR="009A0847">
        <w:rPr>
          <w:color w:val="000000" w:themeColor="text1"/>
          <w:szCs w:val="24"/>
        </w:rPr>
        <w:t xml:space="preserve"> </w:t>
      </w:r>
      <w:r w:rsidR="00A7691C">
        <w:rPr>
          <w:color w:val="000000" w:themeColor="text1"/>
          <w:szCs w:val="24"/>
        </w:rPr>
        <w:t>enacted</w:t>
      </w:r>
      <w:r w:rsidR="009A0847">
        <w:rPr>
          <w:color w:val="000000" w:themeColor="text1"/>
          <w:szCs w:val="24"/>
        </w:rPr>
        <w:t xml:space="preserve"> </w:t>
      </w:r>
      <w:r w:rsidR="001437CB" w:rsidRPr="005F2F6A">
        <w:rPr>
          <w:color w:val="000000" w:themeColor="text1"/>
          <w:szCs w:val="24"/>
        </w:rPr>
        <w:t>to</w:t>
      </w:r>
      <w:r w:rsidR="009A0847">
        <w:rPr>
          <w:color w:val="000000" w:themeColor="text1"/>
          <w:szCs w:val="24"/>
        </w:rPr>
        <w:t xml:space="preserve"> </w:t>
      </w:r>
      <w:r w:rsidR="001437CB" w:rsidRPr="005F2F6A">
        <w:rPr>
          <w:color w:val="000000" w:themeColor="text1"/>
          <w:szCs w:val="24"/>
        </w:rPr>
        <w:t>encourage</w:t>
      </w:r>
      <w:r w:rsidR="009A0847">
        <w:rPr>
          <w:color w:val="000000" w:themeColor="text1"/>
          <w:szCs w:val="24"/>
        </w:rPr>
        <w:t xml:space="preserve"> </w:t>
      </w:r>
      <w:r w:rsidR="001437CB" w:rsidRPr="005F2F6A">
        <w:rPr>
          <w:color w:val="000000" w:themeColor="text1"/>
          <w:szCs w:val="24"/>
        </w:rPr>
        <w:t>DW</w:t>
      </w:r>
      <w:r w:rsidR="009A0847">
        <w:rPr>
          <w:color w:val="000000" w:themeColor="text1"/>
          <w:szCs w:val="24"/>
        </w:rPr>
        <w:t xml:space="preserve"> </w:t>
      </w:r>
      <w:r w:rsidR="001437CB" w:rsidRPr="005F2F6A">
        <w:rPr>
          <w:color w:val="000000" w:themeColor="text1"/>
          <w:szCs w:val="24"/>
        </w:rPr>
        <w:t>borrowing</w:t>
      </w:r>
      <w:r w:rsidR="009A0847">
        <w:rPr>
          <w:color w:val="000000" w:themeColor="text1"/>
          <w:szCs w:val="24"/>
        </w:rPr>
        <w:t xml:space="preserve"> </w:t>
      </w:r>
      <w:r w:rsidR="001437CB" w:rsidRPr="005F2F6A">
        <w:rPr>
          <w:color w:val="000000" w:themeColor="text1"/>
          <w:szCs w:val="24"/>
        </w:rPr>
        <w:t>(see</w:t>
      </w:r>
      <w:r w:rsidR="009A0847">
        <w:rPr>
          <w:color w:val="000000" w:themeColor="text1"/>
          <w:szCs w:val="24"/>
        </w:rPr>
        <w:t xml:space="preserve"> </w:t>
      </w:r>
      <w:r w:rsidR="001437CB" w:rsidRPr="005F2F6A">
        <w:rPr>
          <w:color w:val="000000" w:themeColor="text1"/>
          <w:szCs w:val="24"/>
        </w:rPr>
        <w:t>Appendix</w:t>
      </w:r>
      <w:r w:rsidR="009A0847">
        <w:rPr>
          <w:color w:val="000000" w:themeColor="text1"/>
          <w:szCs w:val="24"/>
        </w:rPr>
        <w:t xml:space="preserve"> </w:t>
      </w:r>
      <w:r w:rsidR="001437CB" w:rsidRPr="005F2F6A">
        <w:rPr>
          <w:color w:val="000000" w:themeColor="text1"/>
          <w:szCs w:val="24"/>
        </w:rPr>
        <w:t>1).</w:t>
      </w:r>
      <w:r w:rsidR="009A0847">
        <w:rPr>
          <w:color w:val="000000" w:themeColor="text1"/>
          <w:szCs w:val="24"/>
        </w:rPr>
        <w:t xml:space="preserve"> </w:t>
      </w:r>
      <w:r w:rsidR="001437CB" w:rsidRPr="005F2F6A">
        <w:rPr>
          <w:color w:val="000000" w:themeColor="text1"/>
          <w:szCs w:val="24"/>
        </w:rPr>
        <w:t>As</w:t>
      </w:r>
      <w:r w:rsidR="009A0847">
        <w:rPr>
          <w:color w:val="000000" w:themeColor="text1"/>
          <w:szCs w:val="24"/>
        </w:rPr>
        <w:t xml:space="preserve"> </w:t>
      </w:r>
      <w:r w:rsidR="001437CB" w:rsidRPr="005F2F6A">
        <w:rPr>
          <w:color w:val="000000" w:themeColor="text1"/>
          <w:szCs w:val="24"/>
        </w:rPr>
        <w:t>illustrated</w:t>
      </w:r>
      <w:r w:rsidR="009A0847">
        <w:rPr>
          <w:color w:val="000000" w:themeColor="text1"/>
          <w:szCs w:val="24"/>
        </w:rPr>
        <w:t xml:space="preserve"> </w:t>
      </w:r>
      <w:r w:rsidR="001437CB" w:rsidRPr="005F2F6A">
        <w:rPr>
          <w:color w:val="000000" w:themeColor="text1"/>
          <w:szCs w:val="24"/>
        </w:rPr>
        <w:t>by</w:t>
      </w:r>
      <w:r w:rsidR="009A0847">
        <w:rPr>
          <w:color w:val="000000" w:themeColor="text1"/>
          <w:szCs w:val="24"/>
        </w:rPr>
        <w:t xml:space="preserve"> </w:t>
      </w:r>
      <w:r w:rsidR="001437CB" w:rsidRPr="005F2F6A">
        <w:rPr>
          <w:color w:val="000000" w:themeColor="text1"/>
          <w:szCs w:val="24"/>
        </w:rPr>
        <w:t>Chairman</w:t>
      </w:r>
      <w:r w:rsidR="009A0847">
        <w:rPr>
          <w:color w:val="000000" w:themeColor="text1"/>
          <w:szCs w:val="24"/>
        </w:rPr>
        <w:t xml:space="preserve"> </w:t>
      </w:r>
      <w:r w:rsidR="001437CB" w:rsidRPr="005F2F6A">
        <w:rPr>
          <w:color w:val="000000" w:themeColor="text1"/>
          <w:szCs w:val="24"/>
        </w:rPr>
        <w:t>Bernanke’s</w:t>
      </w:r>
      <w:r w:rsidR="009A0847">
        <w:rPr>
          <w:color w:val="000000" w:themeColor="text1"/>
          <w:szCs w:val="24"/>
        </w:rPr>
        <w:t xml:space="preserve"> </w:t>
      </w:r>
      <w:r w:rsidR="001437CB" w:rsidRPr="005F2F6A">
        <w:rPr>
          <w:color w:val="000000" w:themeColor="text1"/>
          <w:szCs w:val="24"/>
        </w:rPr>
        <w:t>quote</w:t>
      </w:r>
      <w:r w:rsidR="009A0847">
        <w:rPr>
          <w:color w:val="000000" w:themeColor="text1"/>
        </w:rPr>
        <w:t xml:space="preserve"> </w:t>
      </w:r>
      <w:r w:rsidR="001437CB" w:rsidRPr="005F2F6A">
        <w:rPr>
          <w:color w:val="000000" w:themeColor="text1"/>
        </w:rPr>
        <w:t>above,</w:t>
      </w:r>
      <w:r w:rsidR="009A0847">
        <w:rPr>
          <w:color w:val="000000" w:themeColor="text1"/>
        </w:rPr>
        <w:t xml:space="preserve"> </w:t>
      </w:r>
      <w:r w:rsidR="001437CB" w:rsidRPr="005F2F6A">
        <w:rPr>
          <w:color w:val="000000" w:themeColor="text1"/>
        </w:rPr>
        <w:t>this</w:t>
      </w:r>
      <w:r w:rsidR="009A0847">
        <w:rPr>
          <w:color w:val="000000" w:themeColor="text1"/>
        </w:rPr>
        <w:t xml:space="preserve"> </w:t>
      </w:r>
      <w:r w:rsidR="001437CB" w:rsidRPr="005F2F6A">
        <w:rPr>
          <w:color w:val="000000" w:themeColor="text1"/>
        </w:rPr>
        <w:t>lack</w:t>
      </w:r>
      <w:r w:rsidR="009A0847">
        <w:rPr>
          <w:color w:val="000000" w:themeColor="text1"/>
        </w:rPr>
        <w:t xml:space="preserve"> </w:t>
      </w:r>
      <w:r w:rsidR="001437CB" w:rsidRPr="005F2F6A">
        <w:rPr>
          <w:color w:val="000000" w:themeColor="text1"/>
        </w:rPr>
        <w:t>of</w:t>
      </w:r>
      <w:r w:rsidR="009A0847">
        <w:rPr>
          <w:color w:val="000000" w:themeColor="text1"/>
        </w:rPr>
        <w:t xml:space="preserve"> </w:t>
      </w:r>
      <w:r w:rsidR="001437CB" w:rsidRPr="005F2F6A">
        <w:rPr>
          <w:color w:val="000000" w:themeColor="text1"/>
        </w:rPr>
        <w:t>DW</w:t>
      </w:r>
      <w:r w:rsidR="009A0847">
        <w:rPr>
          <w:color w:val="000000" w:themeColor="text1"/>
        </w:rPr>
        <w:t xml:space="preserve"> </w:t>
      </w:r>
      <w:r w:rsidR="001437CB" w:rsidRPr="005F2F6A">
        <w:rPr>
          <w:color w:val="000000" w:themeColor="text1"/>
        </w:rPr>
        <w:t>borrowing</w:t>
      </w:r>
      <w:r w:rsidR="009A0847">
        <w:rPr>
          <w:color w:val="000000" w:themeColor="text1"/>
        </w:rPr>
        <w:t xml:space="preserve"> </w:t>
      </w:r>
      <w:r w:rsidR="001437CB" w:rsidRPr="005F2F6A">
        <w:rPr>
          <w:color w:val="000000" w:themeColor="text1"/>
        </w:rPr>
        <w:t>is</w:t>
      </w:r>
      <w:r w:rsidR="009A0847">
        <w:rPr>
          <w:color w:val="000000" w:themeColor="text1"/>
        </w:rPr>
        <w:t xml:space="preserve"> </w:t>
      </w:r>
      <w:r w:rsidR="001437CB" w:rsidRPr="005F2F6A">
        <w:rPr>
          <w:color w:val="000000" w:themeColor="text1"/>
        </w:rPr>
        <w:t>generally</w:t>
      </w:r>
      <w:r w:rsidR="009A0847">
        <w:rPr>
          <w:color w:val="000000" w:themeColor="text1"/>
        </w:rPr>
        <w:t xml:space="preserve"> </w:t>
      </w:r>
      <w:r w:rsidR="001437CB" w:rsidRPr="005F2F6A">
        <w:rPr>
          <w:color w:val="000000" w:themeColor="text1"/>
        </w:rPr>
        <w:t>attributed</w:t>
      </w:r>
      <w:r w:rsidR="009A0847">
        <w:rPr>
          <w:color w:val="000000" w:themeColor="text1"/>
        </w:rPr>
        <w:t xml:space="preserve"> </w:t>
      </w:r>
      <w:r w:rsidR="001437CB" w:rsidRPr="005F2F6A">
        <w:rPr>
          <w:color w:val="000000" w:themeColor="text1"/>
        </w:rPr>
        <w:t>to</w:t>
      </w:r>
      <w:r w:rsidR="009A0847">
        <w:rPr>
          <w:color w:val="000000" w:themeColor="text1"/>
        </w:rPr>
        <w:t xml:space="preserve"> </w:t>
      </w:r>
      <w:r w:rsidR="001437CB" w:rsidRPr="005F2F6A">
        <w:rPr>
          <w:color w:val="000000" w:themeColor="text1"/>
        </w:rPr>
        <w:t>DW</w:t>
      </w:r>
      <w:r w:rsidR="009A0847">
        <w:rPr>
          <w:color w:val="000000" w:themeColor="text1"/>
        </w:rPr>
        <w:t xml:space="preserve"> </w:t>
      </w:r>
      <w:r w:rsidR="001437CB" w:rsidRPr="005F2F6A">
        <w:rPr>
          <w:color w:val="000000" w:themeColor="text1"/>
        </w:rPr>
        <w:t>stigma</w:t>
      </w:r>
      <w:r w:rsidR="009A0847">
        <w:rPr>
          <w:color w:val="000000" w:themeColor="text1"/>
        </w:rPr>
        <w:t xml:space="preserve"> </w:t>
      </w:r>
      <w:r w:rsidR="00C0432B" w:rsidRPr="005F2F6A">
        <w:rPr>
          <w:color w:val="000000" w:themeColor="text1"/>
        </w:rPr>
        <w:t>under</w:t>
      </w:r>
      <w:r w:rsidR="009A0847">
        <w:rPr>
          <w:color w:val="000000" w:themeColor="text1"/>
        </w:rPr>
        <w:t xml:space="preserve"> </w:t>
      </w:r>
      <w:r w:rsidR="00C0432B" w:rsidRPr="005F2F6A">
        <w:rPr>
          <w:color w:val="000000" w:themeColor="text1"/>
        </w:rPr>
        <w:t>which</w:t>
      </w:r>
      <w:r w:rsidR="009A0847">
        <w:rPr>
          <w:color w:val="000000" w:themeColor="text1"/>
        </w:rPr>
        <w:t xml:space="preserve"> </w:t>
      </w:r>
      <w:r w:rsidR="008353CD" w:rsidRPr="005F2F6A">
        <w:rPr>
          <w:color w:val="000000" w:themeColor="text1"/>
        </w:rPr>
        <w:t>even</w:t>
      </w:r>
      <w:r w:rsidR="009A0847">
        <w:rPr>
          <w:color w:val="000000" w:themeColor="text1"/>
        </w:rPr>
        <w:t xml:space="preserve"> </w:t>
      </w:r>
      <w:r w:rsidR="00973705" w:rsidRPr="005F2F6A">
        <w:rPr>
          <w:color w:val="000000" w:themeColor="text1"/>
        </w:rPr>
        <w:t>solvent</w:t>
      </w:r>
      <w:r w:rsidR="009A0847">
        <w:rPr>
          <w:color w:val="000000" w:themeColor="text1"/>
        </w:rPr>
        <w:t xml:space="preserve"> </w:t>
      </w:r>
      <w:r w:rsidR="00014B7C">
        <w:rPr>
          <w:color w:val="000000" w:themeColor="text1"/>
        </w:rPr>
        <w:t>banks</w:t>
      </w:r>
      <w:r w:rsidR="009A0847">
        <w:rPr>
          <w:color w:val="000000" w:themeColor="text1"/>
        </w:rPr>
        <w:t xml:space="preserve"> </w:t>
      </w:r>
      <w:r w:rsidR="00014B7C">
        <w:rPr>
          <w:color w:val="000000" w:themeColor="text1"/>
        </w:rPr>
        <w:t>that</w:t>
      </w:r>
      <w:r w:rsidR="009A0847">
        <w:rPr>
          <w:color w:val="000000" w:themeColor="text1"/>
        </w:rPr>
        <w:t xml:space="preserve"> </w:t>
      </w:r>
      <w:r w:rsidR="00014B7C">
        <w:rPr>
          <w:color w:val="000000" w:themeColor="text1"/>
        </w:rPr>
        <w:t>can</w:t>
      </w:r>
      <w:r w:rsidR="008353CD" w:rsidRPr="005F2F6A">
        <w:rPr>
          <w:color w:val="000000" w:themeColor="text1"/>
        </w:rPr>
        <w:t>not</w:t>
      </w:r>
      <w:r w:rsidR="009A0847">
        <w:rPr>
          <w:color w:val="000000" w:themeColor="text1"/>
        </w:rPr>
        <w:t xml:space="preserve"> </w:t>
      </w:r>
      <w:r w:rsidR="008353CD" w:rsidRPr="005F2F6A">
        <w:rPr>
          <w:color w:val="000000" w:themeColor="text1"/>
        </w:rPr>
        <w:t>meet</w:t>
      </w:r>
      <w:r w:rsidR="009A0847">
        <w:rPr>
          <w:color w:val="000000" w:themeColor="text1"/>
        </w:rPr>
        <w:t xml:space="preserve"> </w:t>
      </w:r>
      <w:r w:rsidR="008353CD" w:rsidRPr="005F2F6A">
        <w:rPr>
          <w:color w:val="000000" w:themeColor="text1"/>
        </w:rPr>
        <w:t>their</w:t>
      </w:r>
      <w:r w:rsidR="009A0847">
        <w:rPr>
          <w:color w:val="000000" w:themeColor="text1"/>
        </w:rPr>
        <w:t xml:space="preserve"> </w:t>
      </w:r>
      <w:r w:rsidR="008353CD" w:rsidRPr="005F2F6A">
        <w:rPr>
          <w:color w:val="000000" w:themeColor="text1"/>
        </w:rPr>
        <w:t>funding</w:t>
      </w:r>
      <w:r w:rsidR="009A0847">
        <w:rPr>
          <w:color w:val="000000" w:themeColor="text1"/>
        </w:rPr>
        <w:t xml:space="preserve"> </w:t>
      </w:r>
      <w:r w:rsidR="008353CD" w:rsidRPr="005F2F6A">
        <w:rPr>
          <w:color w:val="000000" w:themeColor="text1"/>
        </w:rPr>
        <w:t>needs</w:t>
      </w:r>
      <w:r w:rsidR="009A0847">
        <w:rPr>
          <w:color w:val="000000" w:themeColor="text1"/>
        </w:rPr>
        <w:t xml:space="preserve"> </w:t>
      </w:r>
      <w:r w:rsidR="008353CD" w:rsidRPr="005F2F6A">
        <w:rPr>
          <w:color w:val="000000" w:themeColor="text1"/>
        </w:rPr>
        <w:t>in</w:t>
      </w:r>
      <w:r w:rsidR="009A0847">
        <w:rPr>
          <w:color w:val="000000" w:themeColor="text1"/>
        </w:rPr>
        <w:t xml:space="preserve"> </w:t>
      </w:r>
      <w:r w:rsidR="008353CD" w:rsidRPr="005F2F6A">
        <w:rPr>
          <w:color w:val="000000" w:themeColor="text1"/>
        </w:rPr>
        <w:t>private</w:t>
      </w:r>
      <w:r w:rsidR="009A0847">
        <w:rPr>
          <w:color w:val="000000" w:themeColor="text1"/>
        </w:rPr>
        <w:t xml:space="preserve"> </w:t>
      </w:r>
      <w:r w:rsidR="008353CD" w:rsidRPr="005F2F6A">
        <w:rPr>
          <w:color w:val="000000" w:themeColor="text1"/>
        </w:rPr>
        <w:t>markets</w:t>
      </w:r>
      <w:r w:rsidR="009A0847">
        <w:rPr>
          <w:color w:val="000000" w:themeColor="text1"/>
        </w:rPr>
        <w:t xml:space="preserve"> </w:t>
      </w:r>
      <w:r w:rsidR="008353CD" w:rsidRPr="005F2F6A">
        <w:rPr>
          <w:color w:val="000000" w:themeColor="text1"/>
        </w:rPr>
        <w:t>for</w:t>
      </w:r>
      <w:r w:rsidR="009A0847">
        <w:rPr>
          <w:color w:val="000000" w:themeColor="text1"/>
        </w:rPr>
        <w:t xml:space="preserve"> </w:t>
      </w:r>
      <w:r w:rsidR="008353CD" w:rsidRPr="005F2F6A">
        <w:rPr>
          <w:color w:val="000000" w:themeColor="text1"/>
        </w:rPr>
        <w:t>benign</w:t>
      </w:r>
      <w:r w:rsidR="009A0847">
        <w:rPr>
          <w:color w:val="000000" w:themeColor="text1"/>
        </w:rPr>
        <w:t xml:space="preserve"> </w:t>
      </w:r>
      <w:r w:rsidR="008353CD" w:rsidRPr="005F2F6A">
        <w:rPr>
          <w:color w:val="000000" w:themeColor="text1"/>
        </w:rPr>
        <w:t>reasons</w:t>
      </w:r>
      <w:r w:rsidR="009A0847">
        <w:rPr>
          <w:color w:val="000000" w:themeColor="text1"/>
        </w:rPr>
        <w:t xml:space="preserve"> </w:t>
      </w:r>
      <w:r w:rsidR="008353CD" w:rsidRPr="005F2F6A">
        <w:rPr>
          <w:color w:val="000000" w:themeColor="text1"/>
        </w:rPr>
        <w:t>refrain</w:t>
      </w:r>
      <w:r w:rsidR="009A0847">
        <w:rPr>
          <w:color w:val="000000" w:themeColor="text1"/>
        </w:rPr>
        <w:t xml:space="preserve"> </w:t>
      </w:r>
      <w:r w:rsidR="00E46D51" w:rsidRPr="005F2F6A">
        <w:rPr>
          <w:color w:val="000000" w:themeColor="text1"/>
        </w:rPr>
        <w:t>from</w:t>
      </w:r>
      <w:r w:rsidR="009A0847">
        <w:rPr>
          <w:color w:val="000000" w:themeColor="text1"/>
        </w:rPr>
        <w:t xml:space="preserve"> </w:t>
      </w:r>
      <w:r w:rsidR="008353CD" w:rsidRPr="005F2F6A">
        <w:rPr>
          <w:color w:val="000000" w:themeColor="text1"/>
        </w:rPr>
        <w:t>accessing</w:t>
      </w:r>
      <w:r w:rsidR="009A0847">
        <w:rPr>
          <w:color w:val="000000" w:themeColor="text1"/>
        </w:rPr>
        <w:t xml:space="preserve"> </w:t>
      </w:r>
      <w:r w:rsidR="008353CD" w:rsidRPr="005F2F6A">
        <w:rPr>
          <w:color w:val="000000" w:themeColor="text1"/>
        </w:rPr>
        <w:t>the</w:t>
      </w:r>
      <w:r w:rsidR="009A0847">
        <w:rPr>
          <w:color w:val="000000" w:themeColor="text1"/>
        </w:rPr>
        <w:t xml:space="preserve"> </w:t>
      </w:r>
      <w:r w:rsidR="008353CD" w:rsidRPr="005F2F6A">
        <w:rPr>
          <w:color w:val="000000" w:themeColor="text1"/>
        </w:rPr>
        <w:t>DW</w:t>
      </w:r>
      <w:r w:rsidR="009A0847">
        <w:rPr>
          <w:color w:val="000000" w:themeColor="text1"/>
        </w:rPr>
        <w:t xml:space="preserve"> </w:t>
      </w:r>
      <w:r w:rsidR="008353CD" w:rsidRPr="005F2F6A">
        <w:rPr>
          <w:color w:val="000000" w:themeColor="text1"/>
        </w:rPr>
        <w:t>out</w:t>
      </w:r>
      <w:r w:rsidR="009A0847">
        <w:rPr>
          <w:color w:val="000000" w:themeColor="text1"/>
        </w:rPr>
        <w:t xml:space="preserve"> </w:t>
      </w:r>
      <w:r w:rsidR="008353CD" w:rsidRPr="005F2F6A">
        <w:rPr>
          <w:color w:val="000000" w:themeColor="text1"/>
        </w:rPr>
        <w:t>of</w:t>
      </w:r>
      <w:r w:rsidR="009A0847">
        <w:rPr>
          <w:color w:val="000000" w:themeColor="text1"/>
        </w:rPr>
        <w:t xml:space="preserve"> </w:t>
      </w:r>
      <w:r w:rsidR="008353CD" w:rsidRPr="005F2F6A">
        <w:rPr>
          <w:color w:val="000000" w:themeColor="text1"/>
        </w:rPr>
        <w:t>concern</w:t>
      </w:r>
      <w:r w:rsidR="009A0847">
        <w:rPr>
          <w:color w:val="000000" w:themeColor="text1"/>
        </w:rPr>
        <w:t xml:space="preserve"> </w:t>
      </w:r>
      <w:r w:rsidR="008353CD" w:rsidRPr="005F2F6A">
        <w:rPr>
          <w:color w:val="000000" w:themeColor="text1"/>
        </w:rPr>
        <w:t>that,</w:t>
      </w:r>
      <w:r w:rsidR="009A0847">
        <w:rPr>
          <w:color w:val="000000" w:themeColor="text1"/>
        </w:rPr>
        <w:t xml:space="preserve"> </w:t>
      </w:r>
      <w:r w:rsidR="008353CD" w:rsidRPr="005F2F6A">
        <w:rPr>
          <w:color w:val="000000" w:themeColor="text1"/>
        </w:rPr>
        <w:t>if</w:t>
      </w:r>
      <w:r w:rsidR="009A0847">
        <w:rPr>
          <w:color w:val="000000" w:themeColor="text1"/>
        </w:rPr>
        <w:t xml:space="preserve"> </w:t>
      </w:r>
      <w:r w:rsidR="008353CD" w:rsidRPr="005F2F6A">
        <w:rPr>
          <w:color w:val="000000" w:themeColor="text1"/>
        </w:rPr>
        <w:t>observed,</w:t>
      </w:r>
      <w:r w:rsidR="009A0847">
        <w:rPr>
          <w:color w:val="000000" w:themeColor="text1"/>
        </w:rPr>
        <w:t xml:space="preserve"> </w:t>
      </w:r>
      <w:r w:rsidR="008353CD" w:rsidRPr="005F2F6A">
        <w:rPr>
          <w:color w:val="000000" w:themeColor="text1"/>
        </w:rPr>
        <w:t>they</w:t>
      </w:r>
      <w:r w:rsidR="009A0847">
        <w:rPr>
          <w:color w:val="000000" w:themeColor="text1"/>
        </w:rPr>
        <w:t xml:space="preserve"> </w:t>
      </w:r>
      <w:r w:rsidR="008353CD" w:rsidRPr="005F2F6A">
        <w:rPr>
          <w:color w:val="000000" w:themeColor="text1"/>
        </w:rPr>
        <w:t>might</w:t>
      </w:r>
      <w:r w:rsidR="009A0847">
        <w:rPr>
          <w:color w:val="000000" w:themeColor="text1"/>
        </w:rPr>
        <w:t xml:space="preserve"> </w:t>
      </w:r>
      <w:r w:rsidR="008353CD" w:rsidRPr="005F2F6A">
        <w:rPr>
          <w:color w:val="000000" w:themeColor="text1"/>
        </w:rPr>
        <w:t>be</w:t>
      </w:r>
      <w:r w:rsidR="009A0847">
        <w:rPr>
          <w:color w:val="000000" w:themeColor="text1"/>
        </w:rPr>
        <w:t xml:space="preserve"> </w:t>
      </w:r>
      <w:r w:rsidR="008353CD" w:rsidRPr="005F2F6A">
        <w:rPr>
          <w:color w:val="000000" w:themeColor="text1"/>
        </w:rPr>
        <w:t>perceived</w:t>
      </w:r>
      <w:r w:rsidR="009A0847">
        <w:rPr>
          <w:color w:val="000000" w:themeColor="text1"/>
        </w:rPr>
        <w:t xml:space="preserve"> </w:t>
      </w:r>
      <w:r w:rsidR="008353CD" w:rsidRPr="005F2F6A">
        <w:rPr>
          <w:color w:val="000000" w:themeColor="text1"/>
        </w:rPr>
        <w:t>as</w:t>
      </w:r>
      <w:r w:rsidR="009A0847">
        <w:rPr>
          <w:color w:val="000000" w:themeColor="text1"/>
        </w:rPr>
        <w:t xml:space="preserve"> </w:t>
      </w:r>
      <w:r w:rsidR="008353CD" w:rsidRPr="005F2F6A">
        <w:rPr>
          <w:color w:val="000000" w:themeColor="text1"/>
        </w:rPr>
        <w:t>insolvent.</w:t>
      </w:r>
      <w:r w:rsidR="009A0847">
        <w:rPr>
          <w:color w:val="000000" w:themeColor="text1"/>
        </w:rPr>
        <w:t xml:space="preserve"> </w:t>
      </w:r>
    </w:p>
    <w:p w14:paraId="2E49F79C" w14:textId="4EF9E16E" w:rsidR="006A6D23" w:rsidRDefault="004C5D2B" w:rsidP="00A3292A">
      <w:pPr>
        <w:pStyle w:val="Olivier1"/>
        <w:widowControl w:val="0"/>
        <w:ind w:firstLine="360"/>
      </w:pPr>
      <w:r w:rsidRPr="005F2F6A">
        <w:rPr>
          <w:color w:val="000000" w:themeColor="text1"/>
          <w:szCs w:val="24"/>
        </w:rPr>
        <w:t>DW</w:t>
      </w:r>
      <w:r w:rsidR="009A0847">
        <w:rPr>
          <w:color w:val="000000" w:themeColor="text1"/>
          <w:szCs w:val="24"/>
        </w:rPr>
        <w:t xml:space="preserve"> </w:t>
      </w:r>
      <w:r w:rsidRPr="005F2F6A">
        <w:rPr>
          <w:color w:val="000000" w:themeColor="text1"/>
          <w:szCs w:val="24"/>
        </w:rPr>
        <w:t>stigma</w:t>
      </w:r>
      <w:r w:rsidR="009A0847">
        <w:rPr>
          <w:color w:val="000000" w:themeColor="text1"/>
          <w:szCs w:val="24"/>
        </w:rPr>
        <w:t xml:space="preserve"> </w:t>
      </w:r>
      <w:r w:rsidRPr="005F2F6A">
        <w:rPr>
          <w:color w:val="000000" w:themeColor="text1"/>
          <w:szCs w:val="24"/>
        </w:rPr>
        <w:t>is</w:t>
      </w:r>
      <w:r w:rsidR="009A0847">
        <w:rPr>
          <w:color w:val="000000" w:themeColor="text1"/>
          <w:szCs w:val="24"/>
        </w:rPr>
        <w:t xml:space="preserve"> </w:t>
      </w:r>
      <w:r w:rsidRPr="005F2F6A">
        <w:rPr>
          <w:color w:val="000000" w:themeColor="text1"/>
          <w:szCs w:val="24"/>
        </w:rPr>
        <w:t>a</w:t>
      </w:r>
      <w:r w:rsidR="009A0847">
        <w:rPr>
          <w:color w:val="000000" w:themeColor="text1"/>
          <w:szCs w:val="24"/>
        </w:rPr>
        <w:t xml:space="preserve"> </w:t>
      </w:r>
      <w:r w:rsidR="00C969FA" w:rsidRPr="005F2F6A">
        <w:rPr>
          <w:color w:val="000000" w:themeColor="text1"/>
          <w:szCs w:val="24"/>
        </w:rPr>
        <w:t>first</w:t>
      </w:r>
      <w:r w:rsidR="009A0847">
        <w:rPr>
          <w:color w:val="000000" w:themeColor="text1"/>
          <w:szCs w:val="24"/>
        </w:rPr>
        <w:t xml:space="preserve"> </w:t>
      </w:r>
      <w:r w:rsidR="00C969FA" w:rsidRPr="005F2F6A">
        <w:rPr>
          <w:color w:val="000000" w:themeColor="text1"/>
          <w:szCs w:val="24"/>
        </w:rPr>
        <w:t>order</w:t>
      </w:r>
      <w:r w:rsidR="009A0847">
        <w:rPr>
          <w:color w:val="000000" w:themeColor="text1"/>
          <w:szCs w:val="24"/>
        </w:rPr>
        <w:t xml:space="preserve"> </w:t>
      </w:r>
      <w:r w:rsidR="00C969FA" w:rsidRPr="005F2F6A">
        <w:rPr>
          <w:color w:val="000000" w:themeColor="text1"/>
          <w:szCs w:val="24"/>
        </w:rPr>
        <w:t>concern</w:t>
      </w:r>
      <w:r w:rsidR="009A0847">
        <w:rPr>
          <w:color w:val="000000" w:themeColor="text1"/>
          <w:szCs w:val="24"/>
        </w:rPr>
        <w:t xml:space="preserve"> </w:t>
      </w:r>
      <w:r w:rsidRPr="005F2F6A">
        <w:rPr>
          <w:color w:val="000000" w:themeColor="text1"/>
          <w:szCs w:val="24"/>
        </w:rPr>
        <w:t>for</w:t>
      </w:r>
      <w:r w:rsidR="009A0847">
        <w:rPr>
          <w:color w:val="000000" w:themeColor="text1"/>
          <w:szCs w:val="24"/>
        </w:rPr>
        <w:t xml:space="preserve"> </w:t>
      </w:r>
      <w:r w:rsidRPr="005F2F6A">
        <w:rPr>
          <w:color w:val="000000" w:themeColor="text1"/>
          <w:szCs w:val="24"/>
        </w:rPr>
        <w:t>central</w:t>
      </w:r>
      <w:r w:rsidR="009A0847">
        <w:rPr>
          <w:color w:val="000000" w:themeColor="text1"/>
          <w:szCs w:val="24"/>
        </w:rPr>
        <w:t xml:space="preserve"> </w:t>
      </w:r>
      <w:r w:rsidRPr="005F2F6A">
        <w:rPr>
          <w:color w:val="000000" w:themeColor="text1"/>
          <w:szCs w:val="24"/>
        </w:rPr>
        <w:t>banks</w:t>
      </w:r>
      <w:r w:rsidR="009A0847">
        <w:rPr>
          <w:color w:val="000000" w:themeColor="text1"/>
          <w:szCs w:val="24"/>
        </w:rPr>
        <w:t xml:space="preserve"> </w:t>
      </w:r>
      <w:r w:rsidRPr="005F2F6A">
        <w:rPr>
          <w:color w:val="000000" w:themeColor="text1"/>
          <w:szCs w:val="24"/>
        </w:rPr>
        <w:t>because</w:t>
      </w:r>
      <w:r w:rsidR="009A0847">
        <w:rPr>
          <w:color w:val="000000" w:themeColor="text1"/>
          <w:szCs w:val="24"/>
        </w:rPr>
        <w:t xml:space="preserve"> </w:t>
      </w:r>
      <w:r w:rsidRPr="005F2F6A">
        <w:rPr>
          <w:color w:val="000000" w:themeColor="text1"/>
          <w:szCs w:val="24"/>
        </w:rPr>
        <w:t>it</w:t>
      </w:r>
      <w:r w:rsidR="009A0847">
        <w:rPr>
          <w:color w:val="000000" w:themeColor="text1"/>
          <w:szCs w:val="24"/>
        </w:rPr>
        <w:t xml:space="preserve"> </w:t>
      </w:r>
      <w:r w:rsidR="003D5F31">
        <w:rPr>
          <w:color w:val="000000" w:themeColor="text1"/>
          <w:szCs w:val="24"/>
        </w:rPr>
        <w:t>can</w:t>
      </w:r>
      <w:r w:rsidR="009A0847">
        <w:rPr>
          <w:color w:val="000000" w:themeColor="text1"/>
          <w:szCs w:val="24"/>
        </w:rPr>
        <w:t xml:space="preserve"> </w:t>
      </w:r>
      <w:r w:rsidR="003D5F31">
        <w:rPr>
          <w:color w:val="000000" w:themeColor="text1"/>
          <w:szCs w:val="24"/>
        </w:rPr>
        <w:t>affect</w:t>
      </w:r>
      <w:r w:rsidR="009A0847">
        <w:rPr>
          <w:color w:val="000000" w:themeColor="text1"/>
          <w:szCs w:val="24"/>
        </w:rPr>
        <w:t xml:space="preserve"> </w:t>
      </w:r>
      <w:r w:rsidRPr="005F2F6A">
        <w:rPr>
          <w:color w:val="000000" w:themeColor="text1"/>
          <w:szCs w:val="24"/>
        </w:rPr>
        <w:t>two</w:t>
      </w:r>
      <w:r w:rsidR="009A0847">
        <w:rPr>
          <w:color w:val="000000" w:themeColor="text1"/>
          <w:szCs w:val="24"/>
        </w:rPr>
        <w:t xml:space="preserve"> </w:t>
      </w:r>
      <w:r w:rsidRPr="005F2F6A">
        <w:rPr>
          <w:color w:val="000000" w:themeColor="text1"/>
          <w:szCs w:val="24"/>
        </w:rPr>
        <w:t>of</w:t>
      </w:r>
      <w:r w:rsidR="009A0847">
        <w:rPr>
          <w:color w:val="000000" w:themeColor="text1"/>
          <w:szCs w:val="24"/>
        </w:rPr>
        <w:t xml:space="preserve"> </w:t>
      </w:r>
      <w:r w:rsidRPr="005F2F6A">
        <w:rPr>
          <w:color w:val="000000" w:themeColor="text1"/>
          <w:szCs w:val="24"/>
        </w:rPr>
        <w:t>their</w:t>
      </w:r>
      <w:r w:rsidR="009A0847">
        <w:rPr>
          <w:color w:val="000000" w:themeColor="text1"/>
          <w:szCs w:val="24"/>
        </w:rPr>
        <w:t xml:space="preserve"> </w:t>
      </w:r>
      <w:r w:rsidRPr="005F2F6A">
        <w:rPr>
          <w:color w:val="000000" w:themeColor="text1"/>
          <w:szCs w:val="24"/>
        </w:rPr>
        <w:t>core</w:t>
      </w:r>
      <w:r w:rsidR="009A0847">
        <w:rPr>
          <w:color w:val="000000" w:themeColor="text1"/>
          <w:szCs w:val="24"/>
        </w:rPr>
        <w:t xml:space="preserve"> </w:t>
      </w:r>
      <w:r w:rsidRPr="005F2F6A">
        <w:rPr>
          <w:color w:val="000000" w:themeColor="text1"/>
          <w:szCs w:val="24"/>
        </w:rPr>
        <w:t>responsibilities</w:t>
      </w:r>
      <w:r w:rsidR="00EA439B" w:rsidRPr="005F2F6A">
        <w:rPr>
          <w:color w:val="000000" w:themeColor="text1"/>
          <w:szCs w:val="24"/>
        </w:rPr>
        <w:t>:</w:t>
      </w:r>
      <w:r w:rsidR="009A0847">
        <w:rPr>
          <w:color w:val="000000" w:themeColor="text1"/>
          <w:szCs w:val="24"/>
        </w:rPr>
        <w:t xml:space="preserve"> </w:t>
      </w:r>
      <w:r w:rsidR="00EA439B" w:rsidRPr="005F2F6A">
        <w:rPr>
          <w:color w:val="000000" w:themeColor="text1"/>
          <w:szCs w:val="24"/>
        </w:rPr>
        <w:t>acting</w:t>
      </w:r>
      <w:r w:rsidR="009A0847">
        <w:rPr>
          <w:color w:val="000000" w:themeColor="text1"/>
          <w:szCs w:val="24"/>
        </w:rPr>
        <w:t xml:space="preserve"> </w:t>
      </w:r>
      <w:r w:rsidR="00EA439B" w:rsidRPr="005F2F6A">
        <w:rPr>
          <w:color w:val="000000" w:themeColor="text1"/>
          <w:szCs w:val="24"/>
        </w:rPr>
        <w:t>as</w:t>
      </w:r>
      <w:r w:rsidR="009A0847">
        <w:rPr>
          <w:color w:val="000000" w:themeColor="text1"/>
          <w:szCs w:val="24"/>
        </w:rPr>
        <w:t xml:space="preserve"> </w:t>
      </w:r>
      <w:r w:rsidR="00EA439B" w:rsidRPr="005F2F6A">
        <w:rPr>
          <w:color w:val="000000" w:themeColor="text1"/>
          <w:szCs w:val="24"/>
        </w:rPr>
        <w:t>a</w:t>
      </w:r>
      <w:r w:rsidR="009A0847">
        <w:rPr>
          <w:color w:val="000000" w:themeColor="text1"/>
          <w:szCs w:val="24"/>
        </w:rPr>
        <w:t xml:space="preserve"> </w:t>
      </w:r>
      <w:r w:rsidR="00EA439B" w:rsidRPr="005F2F6A">
        <w:rPr>
          <w:color w:val="000000" w:themeColor="text1"/>
          <w:szCs w:val="24"/>
        </w:rPr>
        <w:t>LoLR</w:t>
      </w:r>
      <w:r w:rsidR="009A0847">
        <w:rPr>
          <w:color w:val="000000" w:themeColor="text1"/>
          <w:szCs w:val="24"/>
        </w:rPr>
        <w:t xml:space="preserve"> </w:t>
      </w:r>
      <w:r w:rsidR="00EA439B" w:rsidRPr="005F2F6A">
        <w:rPr>
          <w:color w:val="000000" w:themeColor="text1"/>
          <w:szCs w:val="24"/>
        </w:rPr>
        <w:t>and</w:t>
      </w:r>
      <w:r w:rsidR="009A0847">
        <w:rPr>
          <w:color w:val="000000" w:themeColor="text1"/>
          <w:szCs w:val="24"/>
        </w:rPr>
        <w:t xml:space="preserve"> </w:t>
      </w:r>
      <w:r w:rsidR="00EA439B" w:rsidRPr="005F2F6A">
        <w:rPr>
          <w:color w:val="000000" w:themeColor="text1"/>
          <w:szCs w:val="24"/>
        </w:rPr>
        <w:t>implementing</w:t>
      </w:r>
      <w:r w:rsidR="009A0847">
        <w:rPr>
          <w:color w:val="000000" w:themeColor="text1"/>
          <w:szCs w:val="24"/>
        </w:rPr>
        <w:t xml:space="preserve"> </w:t>
      </w:r>
      <w:r w:rsidR="00EA439B" w:rsidRPr="005F2F6A">
        <w:rPr>
          <w:color w:val="000000" w:themeColor="text1"/>
          <w:szCs w:val="24"/>
        </w:rPr>
        <w:t>monetary</w:t>
      </w:r>
      <w:r w:rsidR="009A0847">
        <w:rPr>
          <w:color w:val="000000" w:themeColor="text1"/>
          <w:szCs w:val="24"/>
        </w:rPr>
        <w:t xml:space="preserve"> </w:t>
      </w:r>
      <w:r w:rsidR="00EA439B" w:rsidRPr="005F2F6A">
        <w:rPr>
          <w:color w:val="000000" w:themeColor="text1"/>
          <w:szCs w:val="24"/>
        </w:rPr>
        <w:t>policy.</w:t>
      </w:r>
      <w:r w:rsidR="009A0847">
        <w:rPr>
          <w:color w:val="000000" w:themeColor="text1"/>
          <w:szCs w:val="24"/>
        </w:rPr>
        <w:t xml:space="preserve"> </w:t>
      </w:r>
      <w:r w:rsidR="009B7D2D">
        <w:rPr>
          <w:color w:val="000000" w:themeColor="text1"/>
          <w:szCs w:val="24"/>
        </w:rPr>
        <w:t>A</w:t>
      </w:r>
      <w:r w:rsidR="009A0847">
        <w:rPr>
          <w:color w:val="000000" w:themeColor="text1"/>
          <w:szCs w:val="24"/>
        </w:rPr>
        <w:t xml:space="preserve"> </w:t>
      </w:r>
      <w:r w:rsidR="009B7D2D">
        <w:rPr>
          <w:color w:val="000000" w:themeColor="text1"/>
          <w:szCs w:val="24"/>
        </w:rPr>
        <w:t>central</w:t>
      </w:r>
      <w:r w:rsidR="009A0847">
        <w:rPr>
          <w:color w:val="000000" w:themeColor="text1"/>
          <w:szCs w:val="24"/>
        </w:rPr>
        <w:t xml:space="preserve"> </w:t>
      </w:r>
      <w:r w:rsidR="009B7D2D">
        <w:rPr>
          <w:color w:val="000000" w:themeColor="text1"/>
          <w:szCs w:val="24"/>
        </w:rPr>
        <w:t>bank</w:t>
      </w:r>
      <w:r w:rsidR="009A0847">
        <w:rPr>
          <w:color w:val="000000" w:themeColor="text1"/>
          <w:szCs w:val="24"/>
        </w:rPr>
        <w:t xml:space="preserve"> </w:t>
      </w:r>
      <w:r w:rsidR="00623445" w:rsidRPr="005F2F6A">
        <w:rPr>
          <w:color w:val="000000" w:themeColor="text1"/>
          <w:szCs w:val="24"/>
        </w:rPr>
        <w:t>can</w:t>
      </w:r>
      <w:r w:rsidR="009A0847">
        <w:rPr>
          <w:color w:val="000000" w:themeColor="text1"/>
          <w:szCs w:val="24"/>
        </w:rPr>
        <w:t xml:space="preserve"> </w:t>
      </w:r>
      <w:r w:rsidR="00623445" w:rsidRPr="005F2F6A">
        <w:rPr>
          <w:color w:val="000000" w:themeColor="text1"/>
          <w:szCs w:val="24"/>
        </w:rPr>
        <w:t>only</w:t>
      </w:r>
      <w:r w:rsidR="009A0847">
        <w:rPr>
          <w:color w:val="000000" w:themeColor="text1"/>
          <w:szCs w:val="24"/>
        </w:rPr>
        <w:t xml:space="preserve"> </w:t>
      </w:r>
      <w:r w:rsidR="00623445" w:rsidRPr="005F2F6A">
        <w:rPr>
          <w:color w:val="000000" w:themeColor="text1"/>
          <w:szCs w:val="24"/>
        </w:rPr>
        <w:t>fulfill</w:t>
      </w:r>
      <w:r w:rsidR="009A0847">
        <w:rPr>
          <w:color w:val="000000" w:themeColor="text1"/>
          <w:szCs w:val="24"/>
        </w:rPr>
        <w:t xml:space="preserve"> </w:t>
      </w:r>
      <w:r w:rsidR="00623445" w:rsidRPr="005F2F6A">
        <w:rPr>
          <w:color w:val="000000" w:themeColor="text1"/>
          <w:szCs w:val="24"/>
        </w:rPr>
        <w:t>its</w:t>
      </w:r>
      <w:r w:rsidR="009A0847">
        <w:rPr>
          <w:color w:val="000000" w:themeColor="text1"/>
          <w:szCs w:val="24"/>
        </w:rPr>
        <w:t xml:space="preserve"> </w:t>
      </w:r>
      <w:r w:rsidR="00623445" w:rsidRPr="005F2F6A">
        <w:rPr>
          <w:color w:val="000000" w:themeColor="text1"/>
          <w:szCs w:val="24"/>
        </w:rPr>
        <w:t>LoLR</w:t>
      </w:r>
      <w:r w:rsidR="009A0847">
        <w:rPr>
          <w:color w:val="000000" w:themeColor="text1"/>
          <w:szCs w:val="24"/>
        </w:rPr>
        <w:t xml:space="preserve"> </w:t>
      </w:r>
      <w:r w:rsidR="00623445" w:rsidRPr="005F2F6A">
        <w:rPr>
          <w:color w:val="000000" w:themeColor="text1"/>
          <w:szCs w:val="24"/>
        </w:rPr>
        <w:t>obligation</w:t>
      </w:r>
      <w:r w:rsidR="00A35BC0" w:rsidRPr="005F2F6A">
        <w:rPr>
          <w:color w:val="000000" w:themeColor="text1"/>
          <w:szCs w:val="24"/>
        </w:rPr>
        <w:t>s</w:t>
      </w:r>
      <w:r w:rsidR="009A0847">
        <w:rPr>
          <w:color w:val="000000" w:themeColor="text1"/>
          <w:szCs w:val="24"/>
        </w:rPr>
        <w:t xml:space="preserve"> </w:t>
      </w:r>
      <w:r w:rsidR="00623445" w:rsidRPr="005F2F6A">
        <w:rPr>
          <w:color w:val="000000" w:themeColor="text1"/>
          <w:szCs w:val="24"/>
        </w:rPr>
        <w:t>if</w:t>
      </w:r>
      <w:r w:rsidR="009A0847">
        <w:rPr>
          <w:color w:val="000000" w:themeColor="text1"/>
          <w:szCs w:val="24"/>
        </w:rPr>
        <w:t xml:space="preserve"> </w:t>
      </w:r>
      <w:r w:rsidR="00623445" w:rsidRPr="005F2F6A">
        <w:rPr>
          <w:color w:val="000000" w:themeColor="text1"/>
          <w:szCs w:val="24"/>
        </w:rPr>
        <w:t>financial</w:t>
      </w:r>
      <w:r w:rsidR="009A0847">
        <w:rPr>
          <w:color w:val="000000" w:themeColor="text1"/>
          <w:szCs w:val="24"/>
        </w:rPr>
        <w:t xml:space="preserve"> </w:t>
      </w:r>
      <w:r w:rsidR="00623445" w:rsidRPr="005F2F6A">
        <w:rPr>
          <w:color w:val="000000" w:themeColor="text1"/>
          <w:szCs w:val="24"/>
        </w:rPr>
        <w:t>institutions</w:t>
      </w:r>
      <w:r w:rsidR="009A0847">
        <w:rPr>
          <w:color w:val="000000" w:themeColor="text1"/>
          <w:szCs w:val="24"/>
        </w:rPr>
        <w:t xml:space="preserve"> </w:t>
      </w:r>
      <w:r w:rsidR="00623445" w:rsidRPr="005F2F6A">
        <w:rPr>
          <w:color w:val="000000" w:themeColor="text1"/>
          <w:szCs w:val="24"/>
        </w:rPr>
        <w:t>are</w:t>
      </w:r>
      <w:r w:rsidR="009A0847">
        <w:rPr>
          <w:color w:val="000000" w:themeColor="text1"/>
          <w:szCs w:val="24"/>
        </w:rPr>
        <w:t xml:space="preserve"> </w:t>
      </w:r>
      <w:r w:rsidR="00623445" w:rsidRPr="005F2F6A">
        <w:rPr>
          <w:color w:val="000000" w:themeColor="text1"/>
          <w:szCs w:val="24"/>
        </w:rPr>
        <w:t>willing</w:t>
      </w:r>
      <w:r w:rsidR="009A0847">
        <w:rPr>
          <w:color w:val="000000" w:themeColor="text1"/>
          <w:szCs w:val="24"/>
        </w:rPr>
        <w:t xml:space="preserve"> </w:t>
      </w:r>
      <w:r w:rsidR="00623445" w:rsidRPr="005F2F6A">
        <w:rPr>
          <w:color w:val="000000" w:themeColor="text1"/>
          <w:szCs w:val="24"/>
        </w:rPr>
        <w:t>to</w:t>
      </w:r>
      <w:r w:rsidR="009A0847">
        <w:rPr>
          <w:color w:val="000000" w:themeColor="text1"/>
          <w:szCs w:val="24"/>
        </w:rPr>
        <w:t xml:space="preserve"> </w:t>
      </w:r>
      <w:r w:rsidR="00623445" w:rsidRPr="005F2F6A">
        <w:rPr>
          <w:color w:val="000000" w:themeColor="text1"/>
          <w:szCs w:val="24"/>
        </w:rPr>
        <w:t>access</w:t>
      </w:r>
      <w:r w:rsidR="009A0847">
        <w:rPr>
          <w:color w:val="000000" w:themeColor="text1"/>
          <w:szCs w:val="24"/>
        </w:rPr>
        <w:t xml:space="preserve"> </w:t>
      </w:r>
      <w:r w:rsidR="00623445" w:rsidRPr="005F2F6A">
        <w:rPr>
          <w:color w:val="000000" w:themeColor="text1"/>
          <w:szCs w:val="24"/>
        </w:rPr>
        <w:t>the</w:t>
      </w:r>
      <w:r w:rsidR="009A0847">
        <w:rPr>
          <w:color w:val="000000" w:themeColor="text1"/>
          <w:szCs w:val="24"/>
        </w:rPr>
        <w:t xml:space="preserve"> </w:t>
      </w:r>
      <w:r w:rsidR="00623445" w:rsidRPr="005F2F6A">
        <w:rPr>
          <w:color w:val="000000" w:themeColor="text1"/>
          <w:szCs w:val="24"/>
        </w:rPr>
        <w:t>DW.</w:t>
      </w:r>
      <w:r w:rsidR="009A0847">
        <w:rPr>
          <w:color w:val="000000" w:themeColor="text1"/>
          <w:szCs w:val="24"/>
        </w:rPr>
        <w:t xml:space="preserve"> </w:t>
      </w:r>
      <w:r w:rsidR="00623445" w:rsidRPr="005F2F6A">
        <w:rPr>
          <w:color w:val="000000" w:themeColor="text1"/>
          <w:szCs w:val="24"/>
        </w:rPr>
        <w:t>As</w:t>
      </w:r>
      <w:r w:rsidR="009A0847">
        <w:rPr>
          <w:color w:val="000000" w:themeColor="text1"/>
          <w:szCs w:val="24"/>
        </w:rPr>
        <w:t xml:space="preserve"> </w:t>
      </w:r>
      <w:r w:rsidR="00E75D14" w:rsidRPr="005F2F6A">
        <w:rPr>
          <w:color w:val="000000" w:themeColor="text1"/>
          <w:szCs w:val="24"/>
        </w:rPr>
        <w:t>illustrated</w:t>
      </w:r>
      <w:r w:rsidR="009A0847">
        <w:rPr>
          <w:color w:val="000000" w:themeColor="text1"/>
          <w:szCs w:val="24"/>
        </w:rPr>
        <w:t xml:space="preserve"> </w:t>
      </w:r>
      <w:r w:rsidR="00E75D14" w:rsidRPr="005F2F6A">
        <w:rPr>
          <w:color w:val="000000" w:themeColor="text1"/>
          <w:szCs w:val="24"/>
        </w:rPr>
        <w:t>by</w:t>
      </w:r>
      <w:r w:rsidR="009A0847">
        <w:rPr>
          <w:color w:val="000000" w:themeColor="text1"/>
          <w:szCs w:val="24"/>
        </w:rPr>
        <w:t xml:space="preserve"> </w:t>
      </w:r>
      <w:r w:rsidR="001437CB" w:rsidRPr="005F2F6A">
        <w:rPr>
          <w:color w:val="000000" w:themeColor="text1"/>
          <w:szCs w:val="24"/>
        </w:rPr>
        <w:t>Governor</w:t>
      </w:r>
      <w:r w:rsidR="009A0847">
        <w:rPr>
          <w:color w:val="000000" w:themeColor="text1"/>
          <w:szCs w:val="24"/>
        </w:rPr>
        <w:t xml:space="preserve"> </w:t>
      </w:r>
      <w:r w:rsidR="001437CB" w:rsidRPr="005F2F6A">
        <w:rPr>
          <w:color w:val="000000" w:themeColor="text1"/>
          <w:szCs w:val="24"/>
        </w:rPr>
        <w:t>Duke</w:t>
      </w:r>
      <w:r w:rsidR="001101A9" w:rsidRPr="005F2F6A">
        <w:rPr>
          <w:color w:val="000000" w:themeColor="text1"/>
          <w:szCs w:val="24"/>
        </w:rPr>
        <w:t>’s</w:t>
      </w:r>
      <w:r w:rsidR="009A0847">
        <w:rPr>
          <w:color w:val="000000" w:themeColor="text1"/>
          <w:szCs w:val="24"/>
        </w:rPr>
        <w:t xml:space="preserve"> </w:t>
      </w:r>
      <w:r w:rsidR="001437CB" w:rsidRPr="005F2F6A">
        <w:rPr>
          <w:color w:val="000000" w:themeColor="text1"/>
          <w:szCs w:val="24"/>
        </w:rPr>
        <w:t>quote</w:t>
      </w:r>
      <w:r w:rsidR="009A0847">
        <w:rPr>
          <w:color w:val="000000" w:themeColor="text1"/>
          <w:szCs w:val="24"/>
        </w:rPr>
        <w:t xml:space="preserve"> </w:t>
      </w:r>
      <w:r w:rsidR="001437CB" w:rsidRPr="005F2F6A">
        <w:rPr>
          <w:color w:val="000000" w:themeColor="text1"/>
          <w:szCs w:val="24"/>
        </w:rPr>
        <w:t>above</w:t>
      </w:r>
      <w:r w:rsidR="00623445" w:rsidRPr="005F2F6A">
        <w:rPr>
          <w:color w:val="000000" w:themeColor="text1"/>
          <w:szCs w:val="24"/>
        </w:rPr>
        <w:t>,</w:t>
      </w:r>
      <w:r w:rsidR="009A0847">
        <w:rPr>
          <w:color w:val="000000" w:themeColor="text1"/>
          <w:szCs w:val="24"/>
        </w:rPr>
        <w:t xml:space="preserve"> </w:t>
      </w:r>
      <w:r w:rsidR="00623445" w:rsidRPr="005F2F6A">
        <w:rPr>
          <w:color w:val="000000" w:themeColor="text1"/>
          <w:szCs w:val="24"/>
        </w:rPr>
        <w:t>stigma</w:t>
      </w:r>
      <w:r w:rsidR="009A0847">
        <w:rPr>
          <w:color w:val="000000" w:themeColor="text1"/>
          <w:szCs w:val="24"/>
        </w:rPr>
        <w:t xml:space="preserve"> </w:t>
      </w:r>
      <w:r w:rsidR="00623445" w:rsidRPr="005F2F6A">
        <w:rPr>
          <w:color w:val="000000" w:themeColor="text1"/>
          <w:szCs w:val="24"/>
        </w:rPr>
        <w:t>inhibited</w:t>
      </w:r>
      <w:r w:rsidR="009A0847">
        <w:rPr>
          <w:color w:val="000000" w:themeColor="text1"/>
          <w:szCs w:val="24"/>
        </w:rPr>
        <w:t xml:space="preserve"> </w:t>
      </w:r>
      <w:r w:rsidR="008C1277" w:rsidRPr="005F2F6A">
        <w:rPr>
          <w:color w:val="000000" w:themeColor="text1"/>
          <w:szCs w:val="24"/>
        </w:rPr>
        <w:t>DW</w:t>
      </w:r>
      <w:r w:rsidR="009A0847">
        <w:rPr>
          <w:color w:val="000000" w:themeColor="text1"/>
          <w:szCs w:val="24"/>
        </w:rPr>
        <w:t xml:space="preserve"> </w:t>
      </w:r>
      <w:r w:rsidR="008C1277" w:rsidRPr="005F2F6A">
        <w:rPr>
          <w:color w:val="000000" w:themeColor="text1"/>
          <w:szCs w:val="24"/>
        </w:rPr>
        <w:t>borrowing</w:t>
      </w:r>
      <w:r w:rsidR="009A0847">
        <w:rPr>
          <w:color w:val="000000" w:themeColor="text1"/>
          <w:szCs w:val="24"/>
        </w:rPr>
        <w:t xml:space="preserve"> </w:t>
      </w:r>
      <w:r w:rsidR="001437CB" w:rsidRPr="005F2F6A">
        <w:rPr>
          <w:color w:val="000000" w:themeColor="text1"/>
          <w:szCs w:val="24"/>
        </w:rPr>
        <w:t>in</w:t>
      </w:r>
      <w:r w:rsidR="009A0847">
        <w:rPr>
          <w:color w:val="000000" w:themeColor="text1"/>
          <w:szCs w:val="24"/>
        </w:rPr>
        <w:t xml:space="preserve"> </w:t>
      </w:r>
      <w:r w:rsidR="001101A9" w:rsidRPr="005F2F6A">
        <w:rPr>
          <w:color w:val="000000" w:themeColor="text1"/>
          <w:szCs w:val="24"/>
        </w:rPr>
        <w:t>the</w:t>
      </w:r>
      <w:r w:rsidR="009A0847">
        <w:rPr>
          <w:color w:val="000000" w:themeColor="text1"/>
          <w:szCs w:val="24"/>
        </w:rPr>
        <w:t xml:space="preserve"> </w:t>
      </w:r>
      <w:r w:rsidR="001101A9" w:rsidRPr="005F2F6A">
        <w:rPr>
          <w:color w:val="000000" w:themeColor="text1"/>
          <w:szCs w:val="24"/>
        </w:rPr>
        <w:t>second</w:t>
      </w:r>
      <w:r w:rsidR="009A0847">
        <w:rPr>
          <w:color w:val="000000" w:themeColor="text1"/>
          <w:szCs w:val="24"/>
        </w:rPr>
        <w:t xml:space="preserve"> </w:t>
      </w:r>
      <w:r w:rsidR="001101A9" w:rsidRPr="005F2F6A">
        <w:rPr>
          <w:color w:val="000000" w:themeColor="text1"/>
          <w:szCs w:val="24"/>
        </w:rPr>
        <w:t>half</w:t>
      </w:r>
      <w:r w:rsidR="009A0847">
        <w:rPr>
          <w:color w:val="000000" w:themeColor="text1"/>
          <w:szCs w:val="24"/>
        </w:rPr>
        <w:t xml:space="preserve"> </w:t>
      </w:r>
      <w:r w:rsidR="001101A9" w:rsidRPr="005F2F6A">
        <w:rPr>
          <w:color w:val="000000" w:themeColor="text1"/>
          <w:szCs w:val="24"/>
        </w:rPr>
        <w:t>of</w:t>
      </w:r>
      <w:r w:rsidR="009A0847">
        <w:rPr>
          <w:color w:val="000000" w:themeColor="text1"/>
          <w:szCs w:val="24"/>
        </w:rPr>
        <w:t xml:space="preserve"> </w:t>
      </w:r>
      <w:r w:rsidR="001437CB" w:rsidRPr="005F2F6A">
        <w:rPr>
          <w:color w:val="000000" w:themeColor="text1"/>
          <w:szCs w:val="24"/>
        </w:rPr>
        <w:t>2007</w:t>
      </w:r>
      <w:r w:rsidR="003233AD">
        <w:rPr>
          <w:color w:val="000000" w:themeColor="text1"/>
          <w:szCs w:val="24"/>
        </w:rPr>
        <w:t>,</w:t>
      </w:r>
      <w:r w:rsidR="009A0847">
        <w:rPr>
          <w:color w:val="000000" w:themeColor="text1"/>
          <w:szCs w:val="24"/>
        </w:rPr>
        <w:t xml:space="preserve"> </w:t>
      </w:r>
      <w:r w:rsidR="006500CE" w:rsidRPr="005F2F6A">
        <w:rPr>
          <w:color w:val="000000" w:themeColor="text1"/>
          <w:szCs w:val="24"/>
        </w:rPr>
        <w:t>which</w:t>
      </w:r>
      <w:r w:rsidR="009A0847">
        <w:rPr>
          <w:color w:val="000000" w:themeColor="text1"/>
          <w:szCs w:val="24"/>
        </w:rPr>
        <w:t xml:space="preserve"> </w:t>
      </w:r>
      <w:r w:rsidR="006500CE" w:rsidRPr="005F2F6A">
        <w:rPr>
          <w:color w:val="000000" w:themeColor="text1"/>
          <w:szCs w:val="24"/>
        </w:rPr>
        <w:t>prevented</w:t>
      </w:r>
      <w:r w:rsidR="009A0847">
        <w:rPr>
          <w:color w:val="000000" w:themeColor="text1"/>
          <w:szCs w:val="24"/>
        </w:rPr>
        <w:t xml:space="preserve"> </w:t>
      </w:r>
      <w:r w:rsidR="006500CE" w:rsidRPr="005F2F6A">
        <w:rPr>
          <w:color w:val="000000" w:themeColor="text1"/>
          <w:szCs w:val="24"/>
        </w:rPr>
        <w:t>the</w:t>
      </w:r>
      <w:r w:rsidR="009A0847">
        <w:rPr>
          <w:color w:val="000000" w:themeColor="text1"/>
          <w:szCs w:val="24"/>
        </w:rPr>
        <w:t xml:space="preserve"> </w:t>
      </w:r>
      <w:r w:rsidR="006500CE" w:rsidRPr="005F2F6A">
        <w:rPr>
          <w:color w:val="000000" w:themeColor="text1"/>
          <w:szCs w:val="24"/>
        </w:rPr>
        <w:t>Fed</w:t>
      </w:r>
      <w:r w:rsidR="009A0847">
        <w:rPr>
          <w:color w:val="000000" w:themeColor="text1"/>
          <w:szCs w:val="24"/>
        </w:rPr>
        <w:t xml:space="preserve"> </w:t>
      </w:r>
      <w:r w:rsidR="006500CE" w:rsidRPr="005F2F6A">
        <w:rPr>
          <w:color w:val="000000" w:themeColor="text1"/>
          <w:szCs w:val="24"/>
        </w:rPr>
        <w:t>from</w:t>
      </w:r>
      <w:r w:rsidR="009A0847">
        <w:rPr>
          <w:color w:val="000000" w:themeColor="text1"/>
          <w:szCs w:val="24"/>
        </w:rPr>
        <w:t xml:space="preserve"> </w:t>
      </w:r>
      <w:r w:rsidR="006500CE" w:rsidRPr="005F2F6A">
        <w:rPr>
          <w:color w:val="000000" w:themeColor="text1"/>
          <w:szCs w:val="24"/>
        </w:rPr>
        <w:t>containing</w:t>
      </w:r>
      <w:r w:rsidR="009A0847">
        <w:rPr>
          <w:color w:val="000000" w:themeColor="text1"/>
          <w:szCs w:val="24"/>
        </w:rPr>
        <w:t xml:space="preserve"> </w:t>
      </w:r>
      <w:r w:rsidR="00623445" w:rsidRPr="005F2F6A">
        <w:rPr>
          <w:color w:val="000000" w:themeColor="text1"/>
          <w:szCs w:val="24"/>
        </w:rPr>
        <w:t>the</w:t>
      </w:r>
      <w:r w:rsidR="009A0847">
        <w:rPr>
          <w:color w:val="000000" w:themeColor="text1"/>
          <w:szCs w:val="24"/>
        </w:rPr>
        <w:t xml:space="preserve"> </w:t>
      </w:r>
      <w:r w:rsidR="001101A9" w:rsidRPr="005F2F6A">
        <w:rPr>
          <w:color w:val="000000" w:themeColor="text1"/>
          <w:szCs w:val="24"/>
        </w:rPr>
        <w:t>emerging</w:t>
      </w:r>
      <w:r w:rsidR="009A0847">
        <w:rPr>
          <w:color w:val="000000" w:themeColor="text1"/>
          <w:szCs w:val="24"/>
        </w:rPr>
        <w:t xml:space="preserve"> </w:t>
      </w:r>
      <w:r w:rsidR="00623445" w:rsidRPr="005F2F6A">
        <w:rPr>
          <w:color w:val="000000" w:themeColor="text1"/>
          <w:szCs w:val="24"/>
        </w:rPr>
        <w:t>crisis.</w:t>
      </w:r>
      <w:r w:rsidR="00DE67D9" w:rsidRPr="005F2F6A">
        <w:rPr>
          <w:rStyle w:val="FootnoteReference"/>
          <w:color w:val="000000" w:themeColor="text1"/>
          <w:szCs w:val="24"/>
        </w:rPr>
        <w:footnoteReference w:id="7"/>
      </w:r>
      <w:r w:rsidR="009A0847">
        <w:rPr>
          <w:color w:val="000000" w:themeColor="text1"/>
          <w:szCs w:val="24"/>
        </w:rPr>
        <w:t xml:space="preserve"> </w:t>
      </w:r>
      <w:r w:rsidR="002D3E93" w:rsidRPr="005F2F6A">
        <w:rPr>
          <w:color w:val="000000" w:themeColor="text1"/>
          <w:szCs w:val="24"/>
        </w:rPr>
        <w:t>In</w:t>
      </w:r>
      <w:r w:rsidR="009A0847">
        <w:rPr>
          <w:color w:val="000000" w:themeColor="text1"/>
          <w:szCs w:val="24"/>
        </w:rPr>
        <w:t xml:space="preserve"> </w:t>
      </w:r>
      <w:r w:rsidR="002D3E93" w:rsidRPr="005F2F6A">
        <w:rPr>
          <w:color w:val="000000" w:themeColor="text1"/>
          <w:szCs w:val="24"/>
        </w:rPr>
        <w:t>normal</w:t>
      </w:r>
      <w:r w:rsidR="009A0847">
        <w:rPr>
          <w:color w:val="000000" w:themeColor="text1"/>
          <w:szCs w:val="24"/>
        </w:rPr>
        <w:t xml:space="preserve"> </w:t>
      </w:r>
      <w:r w:rsidR="002D3E93" w:rsidRPr="005F2F6A">
        <w:rPr>
          <w:color w:val="000000" w:themeColor="text1"/>
          <w:szCs w:val="24"/>
        </w:rPr>
        <w:t>times,</w:t>
      </w:r>
      <w:r w:rsidR="009A0847">
        <w:rPr>
          <w:color w:val="000000" w:themeColor="text1"/>
          <w:szCs w:val="24"/>
        </w:rPr>
        <w:t xml:space="preserve"> </w:t>
      </w:r>
      <w:r w:rsidR="002D3E93" w:rsidRPr="005F2F6A">
        <w:rPr>
          <w:color w:val="000000" w:themeColor="text1"/>
        </w:rPr>
        <w:t>DW</w:t>
      </w:r>
      <w:r w:rsidR="009A0847">
        <w:rPr>
          <w:color w:val="000000" w:themeColor="text1"/>
        </w:rPr>
        <w:t xml:space="preserve"> </w:t>
      </w:r>
      <w:r w:rsidR="002D3E93" w:rsidRPr="005F2F6A">
        <w:rPr>
          <w:color w:val="000000" w:themeColor="text1"/>
        </w:rPr>
        <w:t>stigma</w:t>
      </w:r>
      <w:r w:rsidR="009A0847">
        <w:rPr>
          <w:color w:val="000000" w:themeColor="text1"/>
        </w:rPr>
        <w:t xml:space="preserve"> </w:t>
      </w:r>
      <w:r w:rsidR="002D3E93" w:rsidRPr="005F2F6A">
        <w:rPr>
          <w:color w:val="000000" w:themeColor="text1"/>
        </w:rPr>
        <w:t>can</w:t>
      </w:r>
      <w:r w:rsidR="009A0847">
        <w:rPr>
          <w:color w:val="000000" w:themeColor="text1"/>
        </w:rPr>
        <w:t xml:space="preserve"> </w:t>
      </w:r>
      <w:r w:rsidR="002D3E93" w:rsidRPr="005F2F6A">
        <w:rPr>
          <w:color w:val="000000" w:themeColor="text1"/>
        </w:rPr>
        <w:t>also</w:t>
      </w:r>
      <w:r w:rsidR="009A0847">
        <w:rPr>
          <w:color w:val="000000" w:themeColor="text1"/>
        </w:rPr>
        <w:t xml:space="preserve"> </w:t>
      </w:r>
      <w:r w:rsidR="002D3E93" w:rsidRPr="005F2F6A">
        <w:rPr>
          <w:color w:val="000000" w:themeColor="text1"/>
        </w:rPr>
        <w:t>impair</w:t>
      </w:r>
      <w:r w:rsidR="009A0847">
        <w:rPr>
          <w:color w:val="000000" w:themeColor="text1"/>
        </w:rPr>
        <w:t xml:space="preserve"> </w:t>
      </w:r>
      <w:r w:rsidR="002D3E93" w:rsidRPr="005F2F6A">
        <w:rPr>
          <w:color w:val="000000" w:themeColor="text1"/>
        </w:rPr>
        <w:t>the</w:t>
      </w:r>
      <w:r w:rsidR="009A0847">
        <w:rPr>
          <w:color w:val="000000" w:themeColor="text1"/>
        </w:rPr>
        <w:t xml:space="preserve"> </w:t>
      </w:r>
      <w:r w:rsidR="002D3E93" w:rsidRPr="005F2F6A">
        <w:rPr>
          <w:color w:val="000000" w:themeColor="text1"/>
        </w:rPr>
        <w:t>implementation</w:t>
      </w:r>
      <w:r w:rsidR="009A0847">
        <w:rPr>
          <w:color w:val="000000" w:themeColor="text1"/>
        </w:rPr>
        <w:t xml:space="preserve"> </w:t>
      </w:r>
      <w:r w:rsidR="002D3E93" w:rsidRPr="005F2F6A">
        <w:rPr>
          <w:color w:val="000000" w:themeColor="text1"/>
        </w:rPr>
        <w:t>of</w:t>
      </w:r>
      <w:r w:rsidR="009A0847">
        <w:rPr>
          <w:color w:val="000000" w:themeColor="text1"/>
        </w:rPr>
        <w:t xml:space="preserve"> </w:t>
      </w:r>
      <w:r w:rsidR="002D3E93" w:rsidRPr="005F2F6A">
        <w:rPr>
          <w:color w:val="000000" w:themeColor="text1"/>
        </w:rPr>
        <w:t>monetary</w:t>
      </w:r>
      <w:r w:rsidR="009A0847">
        <w:rPr>
          <w:color w:val="000000" w:themeColor="text1"/>
        </w:rPr>
        <w:t xml:space="preserve"> </w:t>
      </w:r>
      <w:r w:rsidR="002D3E93" w:rsidRPr="005F2F6A">
        <w:rPr>
          <w:color w:val="000000" w:themeColor="text1"/>
        </w:rPr>
        <w:t>policy.</w:t>
      </w:r>
      <w:r w:rsidR="009A0847">
        <w:rPr>
          <w:color w:val="000000" w:themeColor="text1"/>
        </w:rPr>
        <w:t xml:space="preserve"> </w:t>
      </w:r>
      <w:r w:rsidR="00A7691C">
        <w:rPr>
          <w:color w:val="000000" w:themeColor="text1"/>
        </w:rPr>
        <w:t>Since</w:t>
      </w:r>
      <w:r w:rsidR="009A0847">
        <w:rPr>
          <w:color w:val="000000" w:themeColor="text1"/>
        </w:rPr>
        <w:t xml:space="preserve"> </w:t>
      </w:r>
      <w:r w:rsidR="00A7691C">
        <w:rPr>
          <w:color w:val="000000" w:themeColor="text1"/>
        </w:rPr>
        <w:t>2008,</w:t>
      </w:r>
      <w:r w:rsidR="009A0847">
        <w:rPr>
          <w:color w:val="000000" w:themeColor="text1"/>
        </w:rPr>
        <w:t xml:space="preserve"> </w:t>
      </w:r>
      <w:r w:rsidR="00A7691C" w:rsidRPr="005F2F6A">
        <w:rPr>
          <w:color w:val="000000" w:themeColor="text1"/>
          <w:szCs w:val="24"/>
        </w:rPr>
        <w:t>the</w:t>
      </w:r>
      <w:r w:rsidR="009A0847">
        <w:rPr>
          <w:color w:val="000000" w:themeColor="text1"/>
          <w:szCs w:val="24"/>
        </w:rPr>
        <w:t xml:space="preserve"> </w:t>
      </w:r>
      <w:r w:rsidR="00A7691C" w:rsidRPr="005F2F6A">
        <w:rPr>
          <w:color w:val="000000" w:themeColor="text1"/>
          <w:szCs w:val="24"/>
        </w:rPr>
        <w:t>Fed</w:t>
      </w:r>
      <w:r w:rsidR="009A0847">
        <w:rPr>
          <w:color w:val="000000" w:themeColor="text1"/>
          <w:szCs w:val="24"/>
        </w:rPr>
        <w:t xml:space="preserve"> </w:t>
      </w:r>
      <w:r w:rsidR="00A7691C">
        <w:rPr>
          <w:color w:val="000000" w:themeColor="text1"/>
          <w:szCs w:val="24"/>
        </w:rPr>
        <w:t>has</w:t>
      </w:r>
      <w:r w:rsidR="009A0847">
        <w:rPr>
          <w:color w:val="000000" w:themeColor="text1"/>
          <w:szCs w:val="24"/>
        </w:rPr>
        <w:t xml:space="preserve"> </w:t>
      </w:r>
      <w:r w:rsidR="00A7691C">
        <w:rPr>
          <w:color w:val="000000" w:themeColor="text1"/>
          <w:szCs w:val="24"/>
        </w:rPr>
        <w:t>been</w:t>
      </w:r>
      <w:r w:rsidR="009A0847">
        <w:rPr>
          <w:color w:val="000000" w:themeColor="text1"/>
          <w:szCs w:val="24"/>
        </w:rPr>
        <w:t xml:space="preserve"> </w:t>
      </w:r>
      <w:r w:rsidR="00A7691C">
        <w:rPr>
          <w:color w:val="000000" w:themeColor="text1"/>
          <w:szCs w:val="24"/>
        </w:rPr>
        <w:t>using</w:t>
      </w:r>
      <w:r w:rsidR="009A0847">
        <w:rPr>
          <w:color w:val="000000" w:themeColor="text1"/>
          <w:szCs w:val="24"/>
        </w:rPr>
        <w:t xml:space="preserve"> </w:t>
      </w:r>
      <w:r w:rsidR="00A7691C" w:rsidRPr="005F2F6A">
        <w:rPr>
          <w:color w:val="000000" w:themeColor="text1"/>
          <w:szCs w:val="24"/>
        </w:rPr>
        <w:t>a</w:t>
      </w:r>
      <w:r w:rsidR="009A0847">
        <w:rPr>
          <w:color w:val="000000" w:themeColor="text1"/>
          <w:szCs w:val="24"/>
        </w:rPr>
        <w:t xml:space="preserve"> </w:t>
      </w:r>
      <w:r w:rsidR="00A7691C" w:rsidRPr="005F2F6A">
        <w:rPr>
          <w:color w:val="000000" w:themeColor="text1"/>
          <w:szCs w:val="24"/>
        </w:rPr>
        <w:t>“corridor</w:t>
      </w:r>
      <w:r w:rsidR="009A0847">
        <w:rPr>
          <w:color w:val="000000" w:themeColor="text1"/>
          <w:szCs w:val="24"/>
        </w:rPr>
        <w:t xml:space="preserve"> </w:t>
      </w:r>
      <w:r w:rsidR="00A7691C" w:rsidRPr="005F2F6A">
        <w:rPr>
          <w:color w:val="000000" w:themeColor="text1"/>
          <w:szCs w:val="24"/>
        </w:rPr>
        <w:t>syste</w:t>
      </w:r>
      <w:r w:rsidR="00A7691C">
        <w:rPr>
          <w:color w:val="000000" w:themeColor="text1"/>
          <w:szCs w:val="24"/>
        </w:rPr>
        <w:t>m</w:t>
      </w:r>
      <w:r w:rsidR="00A7691C" w:rsidRPr="005F2F6A">
        <w:rPr>
          <w:color w:val="000000" w:themeColor="text1"/>
          <w:szCs w:val="24"/>
        </w:rPr>
        <w:t>”</w:t>
      </w:r>
      <w:r w:rsidR="009A0847">
        <w:rPr>
          <w:color w:val="000000" w:themeColor="text1"/>
          <w:szCs w:val="24"/>
        </w:rPr>
        <w:t xml:space="preserve"> </w:t>
      </w:r>
      <w:r w:rsidR="00A7691C">
        <w:rPr>
          <w:color w:val="000000" w:themeColor="text1"/>
        </w:rPr>
        <w:t>t</w:t>
      </w:r>
      <w:r w:rsidR="001101A9" w:rsidRPr="005F2F6A">
        <w:rPr>
          <w:color w:val="000000" w:themeColor="text1"/>
        </w:rPr>
        <w:t>o</w:t>
      </w:r>
      <w:r w:rsidR="009A0847">
        <w:rPr>
          <w:color w:val="000000" w:themeColor="text1"/>
        </w:rPr>
        <w:t xml:space="preserve"> </w:t>
      </w:r>
      <w:r w:rsidR="001101A9" w:rsidRPr="005F2F6A">
        <w:rPr>
          <w:color w:val="000000" w:themeColor="text1"/>
        </w:rPr>
        <w:t>ensure</w:t>
      </w:r>
      <w:r w:rsidR="009A0847">
        <w:rPr>
          <w:color w:val="000000" w:themeColor="text1"/>
        </w:rPr>
        <w:t xml:space="preserve"> </w:t>
      </w:r>
      <w:r w:rsidR="001101A9" w:rsidRPr="005F2F6A">
        <w:rPr>
          <w:color w:val="000000" w:themeColor="text1"/>
        </w:rPr>
        <w:t>that</w:t>
      </w:r>
      <w:r w:rsidR="009A0847">
        <w:rPr>
          <w:color w:val="000000" w:themeColor="text1"/>
        </w:rPr>
        <w:t xml:space="preserve"> </w:t>
      </w:r>
      <w:r w:rsidR="001101A9" w:rsidRPr="005F2F6A">
        <w:rPr>
          <w:color w:val="000000" w:themeColor="text1"/>
          <w:szCs w:val="24"/>
        </w:rPr>
        <w:t>market</w:t>
      </w:r>
      <w:r w:rsidR="009A0847">
        <w:rPr>
          <w:color w:val="000000" w:themeColor="text1"/>
          <w:szCs w:val="24"/>
        </w:rPr>
        <w:t xml:space="preserve"> </w:t>
      </w:r>
      <w:r w:rsidR="001101A9" w:rsidRPr="005F2F6A">
        <w:rPr>
          <w:color w:val="000000" w:themeColor="text1"/>
          <w:szCs w:val="24"/>
        </w:rPr>
        <w:t>rates</w:t>
      </w:r>
      <w:r w:rsidR="009A0847">
        <w:rPr>
          <w:color w:val="000000" w:themeColor="text1"/>
          <w:szCs w:val="24"/>
        </w:rPr>
        <w:t xml:space="preserve"> </w:t>
      </w:r>
      <w:r w:rsidR="001101A9" w:rsidRPr="005F2F6A">
        <w:rPr>
          <w:color w:val="000000" w:themeColor="text1"/>
          <w:szCs w:val="24"/>
        </w:rPr>
        <w:t>are</w:t>
      </w:r>
      <w:r w:rsidR="009A0847">
        <w:rPr>
          <w:color w:val="000000" w:themeColor="text1"/>
          <w:szCs w:val="24"/>
        </w:rPr>
        <w:t xml:space="preserve"> </w:t>
      </w:r>
      <w:r w:rsidR="001101A9" w:rsidRPr="005F2F6A">
        <w:rPr>
          <w:color w:val="000000" w:themeColor="text1"/>
          <w:szCs w:val="24"/>
        </w:rPr>
        <w:t>close</w:t>
      </w:r>
      <w:r w:rsidR="009A0847">
        <w:rPr>
          <w:color w:val="000000" w:themeColor="text1"/>
          <w:szCs w:val="24"/>
        </w:rPr>
        <w:t xml:space="preserve"> </w:t>
      </w:r>
      <w:r w:rsidR="001101A9" w:rsidRPr="005F2F6A">
        <w:rPr>
          <w:color w:val="000000" w:themeColor="text1"/>
          <w:szCs w:val="24"/>
        </w:rPr>
        <w:t>to</w:t>
      </w:r>
      <w:r w:rsidR="009A0847">
        <w:rPr>
          <w:color w:val="000000" w:themeColor="text1"/>
          <w:szCs w:val="24"/>
        </w:rPr>
        <w:t xml:space="preserve"> </w:t>
      </w:r>
      <w:r w:rsidR="001101A9" w:rsidRPr="005F2F6A">
        <w:rPr>
          <w:color w:val="000000" w:themeColor="text1"/>
          <w:szCs w:val="24"/>
        </w:rPr>
        <w:t>its</w:t>
      </w:r>
      <w:r w:rsidR="009A0847">
        <w:rPr>
          <w:color w:val="000000" w:themeColor="text1"/>
          <w:szCs w:val="24"/>
        </w:rPr>
        <w:t xml:space="preserve"> </w:t>
      </w:r>
      <w:r w:rsidR="001101A9" w:rsidRPr="005F2F6A">
        <w:rPr>
          <w:color w:val="000000" w:themeColor="text1"/>
          <w:szCs w:val="24"/>
        </w:rPr>
        <w:t>target</w:t>
      </w:r>
      <w:r w:rsidR="00A7691C">
        <w:rPr>
          <w:color w:val="000000" w:themeColor="text1"/>
          <w:szCs w:val="24"/>
        </w:rPr>
        <w:t>.</w:t>
      </w:r>
      <w:r w:rsidR="00DE67D9" w:rsidRPr="005F2F6A">
        <w:rPr>
          <w:rStyle w:val="FootnoteReference"/>
          <w:color w:val="000000" w:themeColor="text1"/>
          <w:szCs w:val="24"/>
        </w:rPr>
        <w:footnoteReference w:id="8"/>
      </w:r>
      <w:r w:rsidR="009A0847">
        <w:rPr>
          <w:color w:val="000000" w:themeColor="text1"/>
          <w:szCs w:val="24"/>
        </w:rPr>
        <w:t xml:space="preserve"> </w:t>
      </w:r>
      <w:r w:rsidR="001101A9" w:rsidRPr="005F2F6A">
        <w:rPr>
          <w:color w:val="000000" w:themeColor="text1"/>
          <w:szCs w:val="24"/>
        </w:rPr>
        <w:t>The</w:t>
      </w:r>
      <w:r w:rsidR="009A0847">
        <w:rPr>
          <w:color w:val="000000" w:themeColor="text1"/>
          <w:szCs w:val="24"/>
        </w:rPr>
        <w:t xml:space="preserve"> </w:t>
      </w:r>
      <w:r w:rsidR="001101A9" w:rsidRPr="005F2F6A">
        <w:rPr>
          <w:color w:val="000000" w:themeColor="text1"/>
          <w:szCs w:val="24"/>
        </w:rPr>
        <w:t>floor</w:t>
      </w:r>
      <w:r w:rsidR="009A0847">
        <w:rPr>
          <w:color w:val="000000" w:themeColor="text1"/>
          <w:szCs w:val="24"/>
        </w:rPr>
        <w:t xml:space="preserve"> </w:t>
      </w:r>
      <w:r w:rsidR="001101A9" w:rsidRPr="005F2F6A">
        <w:rPr>
          <w:color w:val="000000" w:themeColor="text1"/>
          <w:szCs w:val="24"/>
        </w:rPr>
        <w:t>of</w:t>
      </w:r>
      <w:r w:rsidR="009A0847">
        <w:rPr>
          <w:color w:val="000000" w:themeColor="text1"/>
          <w:szCs w:val="24"/>
        </w:rPr>
        <w:t xml:space="preserve"> </w:t>
      </w:r>
      <w:r w:rsidR="001101A9" w:rsidRPr="005F2F6A">
        <w:rPr>
          <w:color w:val="000000" w:themeColor="text1"/>
          <w:szCs w:val="24"/>
        </w:rPr>
        <w:t>the</w:t>
      </w:r>
      <w:r w:rsidR="009A0847">
        <w:rPr>
          <w:color w:val="000000" w:themeColor="text1"/>
          <w:szCs w:val="24"/>
        </w:rPr>
        <w:t xml:space="preserve"> </w:t>
      </w:r>
      <w:r w:rsidR="001101A9" w:rsidRPr="005F2F6A">
        <w:rPr>
          <w:color w:val="000000" w:themeColor="text1"/>
          <w:szCs w:val="24"/>
        </w:rPr>
        <w:t>corridor</w:t>
      </w:r>
      <w:r w:rsidR="009A0847">
        <w:rPr>
          <w:color w:val="000000" w:themeColor="text1"/>
          <w:szCs w:val="24"/>
        </w:rPr>
        <w:t xml:space="preserve"> </w:t>
      </w:r>
      <w:r w:rsidR="001101A9" w:rsidRPr="005F2F6A">
        <w:rPr>
          <w:color w:val="000000" w:themeColor="text1"/>
          <w:szCs w:val="24"/>
        </w:rPr>
        <w:t>is</w:t>
      </w:r>
      <w:r w:rsidR="009A0847">
        <w:rPr>
          <w:color w:val="000000" w:themeColor="text1"/>
          <w:szCs w:val="24"/>
        </w:rPr>
        <w:t xml:space="preserve"> </w:t>
      </w:r>
      <w:r w:rsidR="001101A9" w:rsidRPr="005F2F6A">
        <w:rPr>
          <w:color w:val="000000" w:themeColor="text1"/>
          <w:szCs w:val="24"/>
        </w:rPr>
        <w:t>the</w:t>
      </w:r>
      <w:r w:rsidR="009A0847">
        <w:rPr>
          <w:color w:val="000000" w:themeColor="text1"/>
          <w:szCs w:val="24"/>
        </w:rPr>
        <w:t xml:space="preserve"> </w:t>
      </w:r>
      <w:r w:rsidR="001101A9" w:rsidRPr="005F2F6A">
        <w:rPr>
          <w:color w:val="000000" w:themeColor="text1"/>
          <w:szCs w:val="24"/>
        </w:rPr>
        <w:t>interest</w:t>
      </w:r>
      <w:r w:rsidR="009A0847">
        <w:rPr>
          <w:color w:val="000000" w:themeColor="text1"/>
          <w:szCs w:val="24"/>
        </w:rPr>
        <w:t xml:space="preserve"> </w:t>
      </w:r>
      <w:r w:rsidR="001101A9" w:rsidRPr="005F2F6A">
        <w:rPr>
          <w:color w:val="000000" w:themeColor="text1"/>
          <w:szCs w:val="24"/>
        </w:rPr>
        <w:t>paid</w:t>
      </w:r>
      <w:r w:rsidR="009A0847">
        <w:rPr>
          <w:color w:val="000000" w:themeColor="text1"/>
          <w:szCs w:val="24"/>
        </w:rPr>
        <w:t xml:space="preserve"> </w:t>
      </w:r>
      <w:r w:rsidR="001101A9" w:rsidRPr="005F2F6A">
        <w:rPr>
          <w:color w:val="000000" w:themeColor="text1"/>
          <w:szCs w:val="24"/>
        </w:rPr>
        <w:t>on</w:t>
      </w:r>
      <w:r w:rsidR="009A0847">
        <w:rPr>
          <w:color w:val="000000" w:themeColor="text1"/>
          <w:szCs w:val="24"/>
        </w:rPr>
        <w:t xml:space="preserve"> </w:t>
      </w:r>
      <w:r w:rsidR="001101A9" w:rsidRPr="005F2F6A">
        <w:rPr>
          <w:color w:val="000000" w:themeColor="text1"/>
          <w:szCs w:val="24"/>
        </w:rPr>
        <w:t>excess</w:t>
      </w:r>
      <w:r w:rsidR="009A0847">
        <w:rPr>
          <w:color w:val="000000" w:themeColor="text1"/>
          <w:szCs w:val="24"/>
        </w:rPr>
        <w:t xml:space="preserve"> </w:t>
      </w:r>
      <w:r w:rsidR="001101A9" w:rsidRPr="005F2F6A">
        <w:rPr>
          <w:color w:val="000000" w:themeColor="text1"/>
          <w:szCs w:val="24"/>
        </w:rPr>
        <w:t>reserves</w:t>
      </w:r>
      <w:r w:rsidR="006605C8">
        <w:rPr>
          <w:color w:val="000000" w:themeColor="text1"/>
          <w:szCs w:val="24"/>
        </w:rPr>
        <w:t>,</w:t>
      </w:r>
      <w:r w:rsidR="009A0847">
        <w:rPr>
          <w:color w:val="000000" w:themeColor="text1"/>
          <w:szCs w:val="24"/>
        </w:rPr>
        <w:t xml:space="preserve"> </w:t>
      </w:r>
      <w:r w:rsidR="001101A9" w:rsidRPr="005F2F6A">
        <w:rPr>
          <w:color w:val="000000" w:themeColor="text1"/>
          <w:szCs w:val="24"/>
        </w:rPr>
        <w:t>and</w:t>
      </w:r>
      <w:r w:rsidR="009A0847">
        <w:rPr>
          <w:color w:val="000000" w:themeColor="text1"/>
          <w:szCs w:val="24"/>
        </w:rPr>
        <w:t xml:space="preserve"> </w:t>
      </w:r>
      <w:r w:rsidR="001101A9" w:rsidRPr="005F2F6A">
        <w:rPr>
          <w:color w:val="000000" w:themeColor="text1"/>
          <w:szCs w:val="24"/>
        </w:rPr>
        <w:t>the</w:t>
      </w:r>
      <w:r w:rsidR="009A0847">
        <w:rPr>
          <w:color w:val="000000" w:themeColor="text1"/>
          <w:szCs w:val="24"/>
        </w:rPr>
        <w:t xml:space="preserve"> </w:t>
      </w:r>
      <w:r w:rsidR="001101A9" w:rsidRPr="005F2F6A">
        <w:rPr>
          <w:color w:val="000000" w:themeColor="text1"/>
          <w:szCs w:val="24"/>
        </w:rPr>
        <w:t>ceiling</w:t>
      </w:r>
      <w:r w:rsidR="009A0847">
        <w:rPr>
          <w:color w:val="000000" w:themeColor="text1"/>
          <w:szCs w:val="24"/>
        </w:rPr>
        <w:t xml:space="preserve"> </w:t>
      </w:r>
      <w:r w:rsidR="001101A9" w:rsidRPr="005F2F6A">
        <w:rPr>
          <w:color w:val="000000" w:themeColor="text1"/>
          <w:szCs w:val="24"/>
        </w:rPr>
        <w:t>is</w:t>
      </w:r>
      <w:r w:rsidR="009A0847">
        <w:rPr>
          <w:color w:val="000000" w:themeColor="text1"/>
          <w:szCs w:val="24"/>
        </w:rPr>
        <w:t xml:space="preserve"> </w:t>
      </w:r>
      <w:r w:rsidR="001101A9" w:rsidRPr="005F2F6A">
        <w:rPr>
          <w:color w:val="000000" w:themeColor="text1"/>
          <w:szCs w:val="24"/>
        </w:rPr>
        <w:t>the</w:t>
      </w:r>
      <w:r w:rsidR="009A0847">
        <w:rPr>
          <w:color w:val="000000" w:themeColor="text1"/>
          <w:szCs w:val="24"/>
        </w:rPr>
        <w:t xml:space="preserve"> </w:t>
      </w:r>
      <w:r w:rsidR="001101A9" w:rsidRPr="005F2F6A">
        <w:rPr>
          <w:color w:val="000000" w:themeColor="text1"/>
          <w:szCs w:val="24"/>
        </w:rPr>
        <w:t>DW</w:t>
      </w:r>
      <w:r w:rsidR="009A0847">
        <w:rPr>
          <w:color w:val="000000" w:themeColor="text1"/>
          <w:szCs w:val="24"/>
        </w:rPr>
        <w:t xml:space="preserve"> </w:t>
      </w:r>
      <w:r w:rsidR="001101A9" w:rsidRPr="005F2F6A">
        <w:rPr>
          <w:color w:val="000000" w:themeColor="text1"/>
          <w:szCs w:val="24"/>
        </w:rPr>
        <w:t>rate</w:t>
      </w:r>
      <w:r w:rsidR="009A0847">
        <w:rPr>
          <w:color w:val="000000" w:themeColor="text1"/>
          <w:szCs w:val="24"/>
        </w:rPr>
        <w:t xml:space="preserve"> </w:t>
      </w:r>
      <w:r w:rsidR="001101A9" w:rsidRPr="005F2F6A">
        <w:rPr>
          <w:color w:val="000000" w:themeColor="text1"/>
          <w:szCs w:val="24"/>
        </w:rPr>
        <w:t>(Keister</w:t>
      </w:r>
      <w:r w:rsidR="009A0847">
        <w:rPr>
          <w:color w:val="000000" w:themeColor="text1"/>
          <w:szCs w:val="24"/>
        </w:rPr>
        <w:t xml:space="preserve"> </w:t>
      </w:r>
      <w:r w:rsidR="001101A9" w:rsidRPr="005F2F6A">
        <w:rPr>
          <w:color w:val="000000" w:themeColor="text1"/>
          <w:szCs w:val="24"/>
        </w:rPr>
        <w:t>2012).</w:t>
      </w:r>
      <w:r w:rsidR="009A0847">
        <w:rPr>
          <w:color w:val="000000" w:themeColor="text1"/>
          <w:szCs w:val="24"/>
        </w:rPr>
        <w:t xml:space="preserve"> </w:t>
      </w:r>
      <w:r w:rsidR="001101A9" w:rsidRPr="005F2F6A">
        <w:rPr>
          <w:color w:val="000000" w:themeColor="text1"/>
          <w:szCs w:val="24"/>
        </w:rPr>
        <w:t>In</w:t>
      </w:r>
      <w:r w:rsidR="009A0847">
        <w:rPr>
          <w:color w:val="000000" w:themeColor="text1"/>
          <w:szCs w:val="24"/>
        </w:rPr>
        <w:t xml:space="preserve"> </w:t>
      </w:r>
      <w:r w:rsidR="001101A9" w:rsidRPr="005F2F6A">
        <w:rPr>
          <w:color w:val="000000" w:themeColor="text1"/>
          <w:szCs w:val="24"/>
        </w:rPr>
        <w:t>principle,</w:t>
      </w:r>
      <w:r w:rsidR="009A0847">
        <w:rPr>
          <w:color w:val="000000" w:themeColor="text1"/>
          <w:szCs w:val="24"/>
        </w:rPr>
        <w:t xml:space="preserve"> </w:t>
      </w:r>
      <w:r w:rsidR="001101A9" w:rsidRPr="005F2F6A">
        <w:rPr>
          <w:color w:val="000000" w:themeColor="text1"/>
          <w:szCs w:val="24"/>
        </w:rPr>
        <w:t>banks</w:t>
      </w:r>
      <w:r w:rsidR="009A0847">
        <w:rPr>
          <w:color w:val="000000" w:themeColor="text1"/>
          <w:szCs w:val="24"/>
        </w:rPr>
        <w:t xml:space="preserve"> </w:t>
      </w:r>
      <w:r w:rsidR="001101A9" w:rsidRPr="005F2F6A">
        <w:rPr>
          <w:color w:val="000000" w:themeColor="text1"/>
          <w:szCs w:val="24"/>
        </w:rPr>
        <w:t>have</w:t>
      </w:r>
      <w:r w:rsidR="009A0847">
        <w:rPr>
          <w:color w:val="000000" w:themeColor="text1"/>
          <w:szCs w:val="24"/>
        </w:rPr>
        <w:t xml:space="preserve"> </w:t>
      </w:r>
      <w:r w:rsidR="001101A9" w:rsidRPr="005F2F6A">
        <w:rPr>
          <w:color w:val="000000" w:themeColor="text1"/>
          <w:szCs w:val="24"/>
        </w:rPr>
        <w:t>no</w:t>
      </w:r>
      <w:r w:rsidR="009A0847">
        <w:rPr>
          <w:color w:val="000000" w:themeColor="text1"/>
          <w:szCs w:val="24"/>
        </w:rPr>
        <w:t xml:space="preserve"> </w:t>
      </w:r>
      <w:r w:rsidR="001101A9" w:rsidRPr="005F2F6A">
        <w:rPr>
          <w:color w:val="000000" w:themeColor="text1"/>
          <w:szCs w:val="24"/>
        </w:rPr>
        <w:t>incentives</w:t>
      </w:r>
      <w:r w:rsidR="009A0847">
        <w:rPr>
          <w:color w:val="000000" w:themeColor="text1"/>
          <w:szCs w:val="24"/>
        </w:rPr>
        <w:t xml:space="preserve"> </w:t>
      </w:r>
      <w:r w:rsidR="001101A9" w:rsidRPr="005F2F6A">
        <w:rPr>
          <w:color w:val="000000" w:themeColor="text1"/>
          <w:szCs w:val="24"/>
        </w:rPr>
        <w:t>to</w:t>
      </w:r>
      <w:r w:rsidR="009A0847">
        <w:rPr>
          <w:color w:val="000000" w:themeColor="text1"/>
          <w:szCs w:val="24"/>
        </w:rPr>
        <w:t xml:space="preserve"> </w:t>
      </w:r>
      <w:r w:rsidR="001101A9" w:rsidRPr="005F2F6A">
        <w:rPr>
          <w:color w:val="000000" w:themeColor="text1"/>
          <w:szCs w:val="24"/>
        </w:rPr>
        <w:t>borrow</w:t>
      </w:r>
      <w:r w:rsidR="009A0847">
        <w:rPr>
          <w:color w:val="000000" w:themeColor="text1"/>
          <w:szCs w:val="24"/>
        </w:rPr>
        <w:t xml:space="preserve"> </w:t>
      </w:r>
      <w:r w:rsidR="001101A9" w:rsidRPr="005F2F6A">
        <w:rPr>
          <w:color w:val="000000" w:themeColor="text1"/>
          <w:szCs w:val="24"/>
        </w:rPr>
        <w:t>above</w:t>
      </w:r>
      <w:r w:rsidR="009A0847">
        <w:rPr>
          <w:color w:val="000000" w:themeColor="text1"/>
          <w:szCs w:val="24"/>
        </w:rPr>
        <w:t xml:space="preserve"> </w:t>
      </w:r>
      <w:r w:rsidR="001101A9" w:rsidRPr="005F2F6A">
        <w:rPr>
          <w:color w:val="000000" w:themeColor="text1"/>
          <w:szCs w:val="24"/>
        </w:rPr>
        <w:t>the</w:t>
      </w:r>
      <w:r w:rsidR="009A0847">
        <w:rPr>
          <w:color w:val="000000" w:themeColor="text1"/>
          <w:szCs w:val="24"/>
        </w:rPr>
        <w:t xml:space="preserve"> </w:t>
      </w:r>
      <w:r w:rsidR="001101A9" w:rsidRPr="005F2F6A">
        <w:rPr>
          <w:color w:val="000000" w:themeColor="text1"/>
          <w:szCs w:val="24"/>
        </w:rPr>
        <w:t>ceiling</w:t>
      </w:r>
      <w:r w:rsidR="009A0847">
        <w:rPr>
          <w:color w:val="000000" w:themeColor="text1"/>
          <w:szCs w:val="24"/>
        </w:rPr>
        <w:t xml:space="preserve"> </w:t>
      </w:r>
      <w:r w:rsidR="001101A9" w:rsidRPr="005F2F6A">
        <w:rPr>
          <w:color w:val="000000" w:themeColor="text1"/>
          <w:szCs w:val="24"/>
        </w:rPr>
        <w:t>or</w:t>
      </w:r>
      <w:r w:rsidR="009A0847">
        <w:rPr>
          <w:color w:val="000000" w:themeColor="text1"/>
          <w:szCs w:val="24"/>
        </w:rPr>
        <w:t xml:space="preserve"> </w:t>
      </w:r>
      <w:r w:rsidR="001101A9" w:rsidRPr="005F2F6A">
        <w:rPr>
          <w:color w:val="000000" w:themeColor="text1"/>
          <w:szCs w:val="24"/>
        </w:rPr>
        <w:t>lend</w:t>
      </w:r>
      <w:r w:rsidR="009A0847">
        <w:rPr>
          <w:color w:val="000000" w:themeColor="text1"/>
          <w:szCs w:val="24"/>
        </w:rPr>
        <w:t xml:space="preserve"> </w:t>
      </w:r>
      <w:r w:rsidR="001101A9" w:rsidRPr="005F2F6A">
        <w:rPr>
          <w:color w:val="000000" w:themeColor="text1"/>
          <w:szCs w:val="24"/>
        </w:rPr>
        <w:t>below</w:t>
      </w:r>
      <w:r w:rsidR="009A0847">
        <w:rPr>
          <w:color w:val="000000" w:themeColor="text1"/>
          <w:szCs w:val="24"/>
        </w:rPr>
        <w:t xml:space="preserve"> </w:t>
      </w:r>
      <w:r w:rsidR="001101A9" w:rsidRPr="005F2F6A">
        <w:rPr>
          <w:color w:val="000000" w:themeColor="text1"/>
          <w:szCs w:val="24"/>
        </w:rPr>
        <w:t>the</w:t>
      </w:r>
      <w:r w:rsidR="009A0847">
        <w:rPr>
          <w:color w:val="000000" w:themeColor="text1"/>
          <w:szCs w:val="24"/>
        </w:rPr>
        <w:t xml:space="preserve"> </w:t>
      </w:r>
      <w:r w:rsidR="001101A9" w:rsidRPr="005F2F6A">
        <w:rPr>
          <w:color w:val="000000" w:themeColor="text1"/>
          <w:szCs w:val="24"/>
        </w:rPr>
        <w:t>floor.</w:t>
      </w:r>
      <w:r w:rsidR="009A0847">
        <w:rPr>
          <w:color w:val="000000" w:themeColor="text1"/>
          <w:szCs w:val="24"/>
        </w:rPr>
        <w:t xml:space="preserve"> </w:t>
      </w:r>
      <w:r w:rsidR="001101A9" w:rsidRPr="005F2F6A">
        <w:rPr>
          <w:color w:val="000000" w:themeColor="text1"/>
          <w:szCs w:val="24"/>
        </w:rPr>
        <w:t>When</w:t>
      </w:r>
      <w:r w:rsidR="009A0847">
        <w:rPr>
          <w:color w:val="000000" w:themeColor="text1"/>
          <w:szCs w:val="24"/>
        </w:rPr>
        <w:t xml:space="preserve"> </w:t>
      </w:r>
      <w:r w:rsidR="001101A9" w:rsidRPr="005F2F6A">
        <w:rPr>
          <w:color w:val="000000" w:themeColor="text1"/>
          <w:szCs w:val="24"/>
        </w:rPr>
        <w:t>stigma</w:t>
      </w:r>
      <w:r w:rsidR="009A0847">
        <w:rPr>
          <w:color w:val="000000" w:themeColor="text1"/>
          <w:szCs w:val="24"/>
        </w:rPr>
        <w:t xml:space="preserve"> </w:t>
      </w:r>
      <w:r w:rsidR="001101A9" w:rsidRPr="005F2F6A">
        <w:rPr>
          <w:color w:val="000000" w:themeColor="text1"/>
          <w:szCs w:val="24"/>
        </w:rPr>
        <w:t>drives</w:t>
      </w:r>
      <w:r w:rsidR="009A0847">
        <w:rPr>
          <w:color w:val="000000" w:themeColor="text1"/>
          <w:szCs w:val="24"/>
        </w:rPr>
        <w:t xml:space="preserve"> </w:t>
      </w:r>
      <w:r w:rsidR="001101A9" w:rsidRPr="005F2F6A">
        <w:rPr>
          <w:color w:val="000000" w:themeColor="text1"/>
          <w:szCs w:val="24"/>
        </w:rPr>
        <w:t>banks</w:t>
      </w:r>
      <w:r w:rsidR="009A0847">
        <w:rPr>
          <w:color w:val="000000" w:themeColor="text1"/>
          <w:szCs w:val="24"/>
        </w:rPr>
        <w:t xml:space="preserve"> </w:t>
      </w:r>
      <w:r w:rsidR="001101A9" w:rsidRPr="005F2F6A">
        <w:rPr>
          <w:color w:val="000000" w:themeColor="text1"/>
          <w:szCs w:val="24"/>
        </w:rPr>
        <w:t>to</w:t>
      </w:r>
      <w:r w:rsidR="009A0847">
        <w:rPr>
          <w:color w:val="000000" w:themeColor="text1"/>
          <w:szCs w:val="24"/>
        </w:rPr>
        <w:t xml:space="preserve"> </w:t>
      </w:r>
      <w:r w:rsidR="001101A9" w:rsidRPr="005F2F6A">
        <w:rPr>
          <w:color w:val="000000" w:themeColor="text1"/>
          <w:szCs w:val="24"/>
        </w:rPr>
        <w:t>borrow</w:t>
      </w:r>
      <w:r w:rsidR="009A0847">
        <w:rPr>
          <w:color w:val="000000" w:themeColor="text1"/>
          <w:szCs w:val="24"/>
        </w:rPr>
        <w:t xml:space="preserve"> </w:t>
      </w:r>
      <w:r w:rsidR="003233AD">
        <w:rPr>
          <w:color w:val="000000" w:themeColor="text1"/>
          <w:szCs w:val="24"/>
        </w:rPr>
        <w:lastRenderedPageBreak/>
        <w:t>on</w:t>
      </w:r>
      <w:r w:rsidR="009A0847">
        <w:rPr>
          <w:color w:val="000000" w:themeColor="text1"/>
          <w:szCs w:val="24"/>
        </w:rPr>
        <w:t xml:space="preserve"> </w:t>
      </w:r>
      <w:r w:rsidR="003233AD">
        <w:rPr>
          <w:color w:val="000000" w:themeColor="text1"/>
          <w:szCs w:val="24"/>
        </w:rPr>
        <w:t>the</w:t>
      </w:r>
      <w:r w:rsidR="009A0847">
        <w:rPr>
          <w:color w:val="000000" w:themeColor="text1"/>
          <w:szCs w:val="24"/>
        </w:rPr>
        <w:t xml:space="preserve"> </w:t>
      </w:r>
      <w:r w:rsidR="003233AD">
        <w:rPr>
          <w:color w:val="000000" w:themeColor="text1"/>
          <w:szCs w:val="24"/>
        </w:rPr>
        <w:t>interbank</w:t>
      </w:r>
      <w:r w:rsidR="009A0847">
        <w:rPr>
          <w:color w:val="000000" w:themeColor="text1"/>
          <w:szCs w:val="24"/>
        </w:rPr>
        <w:t xml:space="preserve"> </w:t>
      </w:r>
      <w:r w:rsidR="003233AD">
        <w:rPr>
          <w:color w:val="000000" w:themeColor="text1"/>
          <w:szCs w:val="24"/>
        </w:rPr>
        <w:t>market</w:t>
      </w:r>
      <w:r w:rsidR="009A0847">
        <w:rPr>
          <w:color w:val="000000" w:themeColor="text1"/>
          <w:szCs w:val="24"/>
        </w:rPr>
        <w:t xml:space="preserve"> </w:t>
      </w:r>
      <w:r w:rsidR="001101A9" w:rsidRPr="005F2F6A">
        <w:rPr>
          <w:color w:val="000000" w:themeColor="text1"/>
          <w:szCs w:val="24"/>
        </w:rPr>
        <w:t>above</w:t>
      </w:r>
      <w:r w:rsidR="009A0847">
        <w:rPr>
          <w:color w:val="000000" w:themeColor="text1"/>
          <w:szCs w:val="24"/>
        </w:rPr>
        <w:t xml:space="preserve"> </w:t>
      </w:r>
      <w:r w:rsidR="001101A9" w:rsidRPr="005F2F6A">
        <w:rPr>
          <w:color w:val="000000" w:themeColor="text1"/>
          <w:szCs w:val="24"/>
        </w:rPr>
        <w:t>the</w:t>
      </w:r>
      <w:r w:rsidR="009A0847">
        <w:rPr>
          <w:color w:val="000000" w:themeColor="text1"/>
          <w:szCs w:val="24"/>
        </w:rPr>
        <w:t xml:space="preserve"> </w:t>
      </w:r>
      <w:r w:rsidR="001101A9" w:rsidRPr="005F2F6A">
        <w:rPr>
          <w:color w:val="000000" w:themeColor="text1"/>
          <w:szCs w:val="24"/>
        </w:rPr>
        <w:t>DW</w:t>
      </w:r>
      <w:r w:rsidR="009A0847">
        <w:rPr>
          <w:color w:val="000000" w:themeColor="text1"/>
          <w:szCs w:val="24"/>
        </w:rPr>
        <w:t xml:space="preserve"> </w:t>
      </w:r>
      <w:r w:rsidR="001101A9" w:rsidRPr="005F2F6A">
        <w:rPr>
          <w:color w:val="000000" w:themeColor="text1"/>
          <w:szCs w:val="24"/>
        </w:rPr>
        <w:t>rate,</w:t>
      </w:r>
      <w:r w:rsidR="009A0847">
        <w:rPr>
          <w:color w:val="000000" w:themeColor="text1"/>
          <w:szCs w:val="24"/>
        </w:rPr>
        <w:t xml:space="preserve"> </w:t>
      </w:r>
      <w:r w:rsidR="001101A9" w:rsidRPr="005F2F6A">
        <w:rPr>
          <w:color w:val="000000" w:themeColor="text1"/>
          <w:szCs w:val="24"/>
        </w:rPr>
        <w:t>however,</w:t>
      </w:r>
      <w:r w:rsidR="009A0847">
        <w:rPr>
          <w:color w:val="000000" w:themeColor="text1"/>
          <w:szCs w:val="24"/>
        </w:rPr>
        <w:t xml:space="preserve"> </w:t>
      </w:r>
      <w:r w:rsidR="001101A9" w:rsidRPr="005F2F6A">
        <w:rPr>
          <w:color w:val="000000" w:themeColor="text1"/>
          <w:szCs w:val="24"/>
        </w:rPr>
        <w:t>the</w:t>
      </w:r>
      <w:r w:rsidR="009A0847">
        <w:rPr>
          <w:color w:val="000000" w:themeColor="text1"/>
          <w:szCs w:val="24"/>
        </w:rPr>
        <w:t xml:space="preserve"> </w:t>
      </w:r>
      <w:r w:rsidR="001101A9" w:rsidRPr="005F2F6A">
        <w:rPr>
          <w:color w:val="000000" w:themeColor="text1"/>
          <w:szCs w:val="24"/>
        </w:rPr>
        <w:t>ceiling</w:t>
      </w:r>
      <w:r w:rsidR="009A0847">
        <w:rPr>
          <w:color w:val="000000" w:themeColor="text1"/>
          <w:szCs w:val="24"/>
        </w:rPr>
        <w:t xml:space="preserve"> </w:t>
      </w:r>
      <w:r w:rsidR="001101A9" w:rsidRPr="005F2F6A">
        <w:rPr>
          <w:color w:val="000000" w:themeColor="text1"/>
          <w:szCs w:val="24"/>
        </w:rPr>
        <w:t>becomes</w:t>
      </w:r>
      <w:r w:rsidR="009A0847">
        <w:rPr>
          <w:color w:val="000000" w:themeColor="text1"/>
          <w:szCs w:val="24"/>
        </w:rPr>
        <w:t xml:space="preserve"> </w:t>
      </w:r>
      <w:r w:rsidR="001101A9" w:rsidRPr="005F2F6A">
        <w:rPr>
          <w:color w:val="000000" w:themeColor="text1"/>
          <w:szCs w:val="24"/>
        </w:rPr>
        <w:t>“leaky”</w:t>
      </w:r>
      <w:r w:rsidR="009A0847">
        <w:rPr>
          <w:color w:val="000000" w:themeColor="text1"/>
          <w:szCs w:val="24"/>
        </w:rPr>
        <w:t xml:space="preserve"> </w:t>
      </w:r>
      <w:r w:rsidR="001101A9" w:rsidRPr="005F2F6A">
        <w:rPr>
          <w:color w:val="000000" w:themeColor="text1"/>
          <w:szCs w:val="24"/>
        </w:rPr>
        <w:t>and</w:t>
      </w:r>
      <w:r w:rsidR="009A0847">
        <w:rPr>
          <w:color w:val="000000" w:themeColor="text1"/>
          <w:szCs w:val="24"/>
        </w:rPr>
        <w:t xml:space="preserve"> </w:t>
      </w:r>
      <w:r w:rsidR="001101A9" w:rsidRPr="005F2F6A">
        <w:rPr>
          <w:color w:val="000000" w:themeColor="text1"/>
          <w:szCs w:val="24"/>
        </w:rPr>
        <w:t>the</w:t>
      </w:r>
      <w:r w:rsidR="009A0847">
        <w:rPr>
          <w:color w:val="000000" w:themeColor="text1"/>
          <w:szCs w:val="24"/>
        </w:rPr>
        <w:t xml:space="preserve"> </w:t>
      </w:r>
      <w:r w:rsidR="001101A9" w:rsidRPr="005F2F6A">
        <w:rPr>
          <w:color w:val="000000" w:themeColor="text1"/>
          <w:szCs w:val="24"/>
        </w:rPr>
        <w:t>Fed</w:t>
      </w:r>
      <w:r w:rsidR="009A0847">
        <w:rPr>
          <w:color w:val="000000" w:themeColor="text1"/>
          <w:szCs w:val="24"/>
        </w:rPr>
        <w:t xml:space="preserve"> </w:t>
      </w:r>
      <w:r w:rsidR="001101A9" w:rsidRPr="005F2F6A">
        <w:rPr>
          <w:color w:val="000000" w:themeColor="text1"/>
          <w:szCs w:val="24"/>
        </w:rPr>
        <w:t>lo</w:t>
      </w:r>
      <w:r w:rsidR="002354D4" w:rsidRPr="005F2F6A">
        <w:rPr>
          <w:color w:val="000000" w:themeColor="text1"/>
          <w:szCs w:val="24"/>
        </w:rPr>
        <w:t>s</w:t>
      </w:r>
      <w:r w:rsidR="001101A9" w:rsidRPr="005F2F6A">
        <w:rPr>
          <w:color w:val="000000" w:themeColor="text1"/>
          <w:szCs w:val="24"/>
        </w:rPr>
        <w:t>es</w:t>
      </w:r>
      <w:r w:rsidR="009A0847">
        <w:rPr>
          <w:color w:val="000000" w:themeColor="text1"/>
          <w:szCs w:val="24"/>
        </w:rPr>
        <w:t xml:space="preserve"> </w:t>
      </w:r>
      <w:r w:rsidR="001101A9" w:rsidRPr="005F2F6A">
        <w:rPr>
          <w:color w:val="000000" w:themeColor="text1"/>
          <w:szCs w:val="24"/>
        </w:rPr>
        <w:t>its</w:t>
      </w:r>
      <w:r w:rsidR="009A0847">
        <w:rPr>
          <w:color w:val="000000" w:themeColor="text1"/>
          <w:szCs w:val="24"/>
        </w:rPr>
        <w:t xml:space="preserve"> </w:t>
      </w:r>
      <w:r w:rsidR="001101A9" w:rsidRPr="005F2F6A">
        <w:rPr>
          <w:color w:val="000000" w:themeColor="text1"/>
          <w:szCs w:val="24"/>
        </w:rPr>
        <w:t>ability</w:t>
      </w:r>
      <w:r w:rsidR="009A0847">
        <w:rPr>
          <w:color w:val="000000" w:themeColor="text1"/>
          <w:szCs w:val="24"/>
        </w:rPr>
        <w:t xml:space="preserve"> </w:t>
      </w:r>
      <w:r w:rsidR="001101A9" w:rsidRPr="005F2F6A">
        <w:rPr>
          <w:color w:val="000000" w:themeColor="text1"/>
          <w:szCs w:val="24"/>
        </w:rPr>
        <w:t>to</w:t>
      </w:r>
      <w:r w:rsidR="009A0847">
        <w:rPr>
          <w:color w:val="000000" w:themeColor="text1"/>
          <w:szCs w:val="24"/>
        </w:rPr>
        <w:t xml:space="preserve"> </w:t>
      </w:r>
      <w:r w:rsidR="007E6AD9" w:rsidRPr="005F2F6A">
        <w:rPr>
          <w:color w:val="000000" w:themeColor="text1"/>
          <w:szCs w:val="24"/>
        </w:rPr>
        <w:t>control</w:t>
      </w:r>
      <w:r w:rsidR="009A0847">
        <w:rPr>
          <w:color w:val="000000" w:themeColor="text1"/>
          <w:szCs w:val="24"/>
        </w:rPr>
        <w:t xml:space="preserve"> </w:t>
      </w:r>
      <w:r w:rsidR="001101A9" w:rsidRPr="005F2F6A">
        <w:rPr>
          <w:color w:val="000000" w:themeColor="text1"/>
          <w:szCs w:val="24"/>
        </w:rPr>
        <w:t>market</w:t>
      </w:r>
      <w:r w:rsidR="009A0847">
        <w:rPr>
          <w:color w:val="000000" w:themeColor="text1"/>
          <w:szCs w:val="24"/>
        </w:rPr>
        <w:t xml:space="preserve"> </w:t>
      </w:r>
      <w:r w:rsidR="001101A9" w:rsidRPr="005F2F6A">
        <w:rPr>
          <w:color w:val="000000" w:themeColor="text1"/>
          <w:szCs w:val="24"/>
        </w:rPr>
        <w:t>rates</w:t>
      </w:r>
      <w:r w:rsidR="009A0847">
        <w:rPr>
          <w:color w:val="000000" w:themeColor="text1"/>
          <w:szCs w:val="24"/>
        </w:rPr>
        <w:t xml:space="preserve"> </w:t>
      </w:r>
      <w:r w:rsidR="001101A9" w:rsidRPr="005F2F6A">
        <w:rPr>
          <w:color w:val="000000" w:themeColor="text1"/>
          <w:szCs w:val="24"/>
        </w:rPr>
        <w:t>fluctuations</w:t>
      </w:r>
      <w:r w:rsidR="009A0847">
        <w:rPr>
          <w:color w:val="000000" w:themeColor="text1"/>
          <w:szCs w:val="24"/>
        </w:rPr>
        <w:t xml:space="preserve"> </w:t>
      </w:r>
      <w:r w:rsidR="001101A9" w:rsidRPr="005F2F6A">
        <w:rPr>
          <w:color w:val="000000" w:themeColor="text1"/>
          <w:szCs w:val="24"/>
        </w:rPr>
        <w:t>(Kahn</w:t>
      </w:r>
      <w:r w:rsidR="009A0847">
        <w:rPr>
          <w:color w:val="000000" w:themeColor="text1"/>
          <w:szCs w:val="24"/>
        </w:rPr>
        <w:t xml:space="preserve"> </w:t>
      </w:r>
      <w:r w:rsidR="001101A9" w:rsidRPr="005F2F6A">
        <w:rPr>
          <w:color w:val="000000" w:themeColor="text1"/>
          <w:szCs w:val="24"/>
        </w:rPr>
        <w:t>2010).</w:t>
      </w:r>
      <w:r w:rsidR="009A0847">
        <w:rPr>
          <w:color w:val="000000" w:themeColor="text1"/>
          <w:szCs w:val="24"/>
        </w:rPr>
        <w:t xml:space="preserve"> </w:t>
      </w:r>
      <w:r w:rsidR="00EC57CF" w:rsidRPr="005F2F6A">
        <w:rPr>
          <w:color w:val="000000" w:themeColor="text1"/>
          <w:szCs w:val="24"/>
        </w:rPr>
        <w:t>It</w:t>
      </w:r>
      <w:r w:rsidR="009A0847">
        <w:rPr>
          <w:color w:val="000000" w:themeColor="text1"/>
          <w:szCs w:val="24"/>
        </w:rPr>
        <w:t xml:space="preserve"> </w:t>
      </w:r>
      <w:r w:rsidR="00EC57CF" w:rsidRPr="005F2F6A">
        <w:rPr>
          <w:color w:val="000000" w:themeColor="text1"/>
          <w:szCs w:val="24"/>
        </w:rPr>
        <w:t>is</w:t>
      </w:r>
      <w:r w:rsidR="009A0847">
        <w:rPr>
          <w:color w:val="000000" w:themeColor="text1"/>
          <w:szCs w:val="24"/>
        </w:rPr>
        <w:t xml:space="preserve"> </w:t>
      </w:r>
      <w:r w:rsidR="00EC57CF" w:rsidRPr="005F2F6A">
        <w:rPr>
          <w:color w:val="000000" w:themeColor="text1"/>
          <w:szCs w:val="24"/>
        </w:rPr>
        <w:t>well</w:t>
      </w:r>
      <w:r w:rsidR="009A0847">
        <w:rPr>
          <w:color w:val="000000" w:themeColor="text1"/>
          <w:szCs w:val="24"/>
        </w:rPr>
        <w:t xml:space="preserve"> </w:t>
      </w:r>
      <w:r w:rsidR="00EC57CF" w:rsidRPr="005F2F6A">
        <w:rPr>
          <w:color w:val="000000" w:themeColor="text1"/>
          <w:szCs w:val="24"/>
        </w:rPr>
        <w:t>documented</w:t>
      </w:r>
      <w:r w:rsidR="009A0847">
        <w:rPr>
          <w:color w:val="000000" w:themeColor="text1"/>
          <w:szCs w:val="24"/>
        </w:rPr>
        <w:t xml:space="preserve"> </w:t>
      </w:r>
      <w:r w:rsidR="00EC57CF" w:rsidRPr="005F2F6A">
        <w:rPr>
          <w:color w:val="000000" w:themeColor="text1"/>
          <w:szCs w:val="24"/>
        </w:rPr>
        <w:t>that</w:t>
      </w:r>
      <w:r w:rsidR="009A0847">
        <w:rPr>
          <w:color w:val="000000" w:themeColor="text1"/>
          <w:szCs w:val="24"/>
        </w:rPr>
        <w:t xml:space="preserve"> </w:t>
      </w:r>
      <w:r w:rsidR="00EC57CF" w:rsidRPr="005F2F6A">
        <w:rPr>
          <w:color w:val="000000" w:themeColor="text1"/>
          <w:szCs w:val="24"/>
        </w:rPr>
        <w:t>stigma</w:t>
      </w:r>
      <w:r w:rsidR="009A0847">
        <w:rPr>
          <w:color w:val="000000" w:themeColor="text1"/>
          <w:szCs w:val="24"/>
        </w:rPr>
        <w:t xml:space="preserve"> </w:t>
      </w:r>
      <w:r w:rsidR="00EC57CF" w:rsidRPr="005F2F6A">
        <w:rPr>
          <w:color w:val="000000" w:themeColor="text1"/>
          <w:szCs w:val="24"/>
        </w:rPr>
        <w:t>was</w:t>
      </w:r>
      <w:r w:rsidR="009A0847">
        <w:rPr>
          <w:color w:val="000000" w:themeColor="text1"/>
          <w:szCs w:val="24"/>
        </w:rPr>
        <w:t xml:space="preserve"> </w:t>
      </w:r>
      <w:r w:rsidR="00EC57CF" w:rsidRPr="005F2F6A">
        <w:rPr>
          <w:color w:val="000000" w:themeColor="text1"/>
          <w:szCs w:val="24"/>
        </w:rPr>
        <w:t>a</w:t>
      </w:r>
      <w:r w:rsidR="009A0847">
        <w:rPr>
          <w:color w:val="000000" w:themeColor="text1"/>
          <w:szCs w:val="24"/>
        </w:rPr>
        <w:t xml:space="preserve"> </w:t>
      </w:r>
      <w:r w:rsidR="00EC57CF" w:rsidRPr="005F2F6A">
        <w:rPr>
          <w:color w:val="000000" w:themeColor="text1"/>
          <w:szCs w:val="24"/>
        </w:rPr>
        <w:t>major</w:t>
      </w:r>
      <w:r w:rsidR="009A0847">
        <w:rPr>
          <w:color w:val="000000" w:themeColor="text1"/>
          <w:szCs w:val="24"/>
        </w:rPr>
        <w:t xml:space="preserve"> </w:t>
      </w:r>
      <w:r w:rsidR="00EC57CF" w:rsidRPr="005F2F6A">
        <w:rPr>
          <w:color w:val="000000" w:themeColor="text1"/>
          <w:szCs w:val="24"/>
        </w:rPr>
        <w:t>concern</w:t>
      </w:r>
      <w:r w:rsidR="009A0847">
        <w:rPr>
          <w:color w:val="000000" w:themeColor="text1"/>
          <w:szCs w:val="24"/>
        </w:rPr>
        <w:t xml:space="preserve"> </w:t>
      </w:r>
      <w:r w:rsidR="00EC57CF" w:rsidRPr="005F2F6A">
        <w:rPr>
          <w:color w:val="000000" w:themeColor="text1"/>
          <w:szCs w:val="24"/>
        </w:rPr>
        <w:t>in</w:t>
      </w:r>
      <w:r w:rsidR="009A0847">
        <w:rPr>
          <w:color w:val="000000" w:themeColor="text1"/>
          <w:szCs w:val="24"/>
        </w:rPr>
        <w:t xml:space="preserve"> </w:t>
      </w:r>
      <w:r w:rsidR="00EC57CF" w:rsidRPr="005F2F6A">
        <w:rPr>
          <w:color w:val="000000" w:themeColor="text1"/>
          <w:szCs w:val="24"/>
        </w:rPr>
        <w:t>the</w:t>
      </w:r>
      <w:r w:rsidR="009A0847">
        <w:rPr>
          <w:color w:val="000000" w:themeColor="text1"/>
          <w:szCs w:val="24"/>
        </w:rPr>
        <w:t xml:space="preserve"> </w:t>
      </w:r>
      <w:r w:rsidR="00EC57CF" w:rsidRPr="005F2F6A">
        <w:rPr>
          <w:color w:val="000000" w:themeColor="text1"/>
          <w:szCs w:val="24"/>
        </w:rPr>
        <w:t>design</w:t>
      </w:r>
      <w:r w:rsidR="009A0847">
        <w:rPr>
          <w:color w:val="000000" w:themeColor="text1"/>
          <w:szCs w:val="24"/>
        </w:rPr>
        <w:t xml:space="preserve"> </w:t>
      </w:r>
      <w:r w:rsidR="00EC57CF" w:rsidRPr="005F2F6A">
        <w:rPr>
          <w:color w:val="000000" w:themeColor="text1"/>
          <w:szCs w:val="24"/>
        </w:rPr>
        <w:t>of</w:t>
      </w:r>
      <w:r w:rsidR="009A0847">
        <w:rPr>
          <w:color w:val="000000" w:themeColor="text1"/>
          <w:szCs w:val="24"/>
        </w:rPr>
        <w:t xml:space="preserve"> </w:t>
      </w:r>
      <w:r w:rsidR="00EC57CF" w:rsidRPr="005F2F6A">
        <w:rPr>
          <w:color w:val="000000" w:themeColor="text1"/>
          <w:szCs w:val="24"/>
        </w:rPr>
        <w:t>the</w:t>
      </w:r>
      <w:r w:rsidR="009A0847">
        <w:rPr>
          <w:color w:val="000000" w:themeColor="text1"/>
          <w:szCs w:val="24"/>
        </w:rPr>
        <w:t xml:space="preserve"> </w:t>
      </w:r>
      <w:r w:rsidR="00EC57CF" w:rsidRPr="005F2F6A">
        <w:rPr>
          <w:color w:val="000000" w:themeColor="text1"/>
          <w:szCs w:val="24"/>
        </w:rPr>
        <w:t>policy</w:t>
      </w:r>
      <w:r w:rsidR="009A0847">
        <w:rPr>
          <w:color w:val="000000" w:themeColor="text1"/>
          <w:szCs w:val="24"/>
        </w:rPr>
        <w:t xml:space="preserve"> </w:t>
      </w:r>
      <w:r w:rsidR="00EC57CF" w:rsidRPr="005F2F6A">
        <w:rPr>
          <w:color w:val="000000" w:themeColor="text1"/>
          <w:szCs w:val="24"/>
        </w:rPr>
        <w:t>responses</w:t>
      </w:r>
      <w:r w:rsidR="009A0847">
        <w:rPr>
          <w:color w:val="000000" w:themeColor="text1"/>
          <w:szCs w:val="24"/>
        </w:rPr>
        <w:t xml:space="preserve"> </w:t>
      </w:r>
      <w:r w:rsidR="00EC57CF" w:rsidRPr="005F2F6A">
        <w:rPr>
          <w:color w:val="000000" w:themeColor="text1"/>
          <w:szCs w:val="24"/>
        </w:rPr>
        <w:t>during</w:t>
      </w:r>
      <w:r w:rsidR="009A0847">
        <w:rPr>
          <w:color w:val="000000" w:themeColor="text1"/>
          <w:szCs w:val="24"/>
        </w:rPr>
        <w:t xml:space="preserve"> </w:t>
      </w:r>
      <w:r w:rsidR="00EC57CF" w:rsidRPr="005F2F6A">
        <w:rPr>
          <w:color w:val="000000" w:themeColor="text1"/>
          <w:szCs w:val="24"/>
        </w:rPr>
        <w:t>the</w:t>
      </w:r>
      <w:r w:rsidR="009A0847">
        <w:rPr>
          <w:color w:val="000000" w:themeColor="text1"/>
          <w:szCs w:val="24"/>
        </w:rPr>
        <w:t xml:space="preserve"> </w:t>
      </w:r>
      <w:r w:rsidR="00EC57CF" w:rsidRPr="005F2F6A">
        <w:rPr>
          <w:color w:val="000000" w:themeColor="text1"/>
          <w:szCs w:val="24"/>
        </w:rPr>
        <w:t>latest</w:t>
      </w:r>
      <w:r w:rsidR="009A0847">
        <w:rPr>
          <w:color w:val="000000" w:themeColor="text1"/>
          <w:szCs w:val="24"/>
        </w:rPr>
        <w:t xml:space="preserve"> </w:t>
      </w:r>
      <w:r w:rsidR="00A35BC0" w:rsidRPr="005F2F6A">
        <w:rPr>
          <w:color w:val="000000" w:themeColor="text1"/>
          <w:szCs w:val="24"/>
        </w:rPr>
        <w:t>financial</w:t>
      </w:r>
      <w:r w:rsidR="009A0847">
        <w:rPr>
          <w:color w:val="000000" w:themeColor="text1"/>
          <w:szCs w:val="24"/>
        </w:rPr>
        <w:t xml:space="preserve"> </w:t>
      </w:r>
      <w:r w:rsidR="00EC57CF" w:rsidRPr="005F2F6A">
        <w:rPr>
          <w:color w:val="000000" w:themeColor="text1"/>
          <w:szCs w:val="24"/>
        </w:rPr>
        <w:t>crisis</w:t>
      </w:r>
      <w:r w:rsidR="009A0847">
        <w:rPr>
          <w:color w:val="000000" w:themeColor="text1"/>
          <w:szCs w:val="24"/>
        </w:rPr>
        <w:t xml:space="preserve"> </w:t>
      </w:r>
      <w:r w:rsidR="00EC57CF" w:rsidRPr="005F2F6A">
        <w:rPr>
          <w:color w:val="000000" w:themeColor="text1"/>
          <w:szCs w:val="24"/>
        </w:rPr>
        <w:t>(</w:t>
      </w:r>
      <w:r w:rsidR="00A35BC0" w:rsidRPr="005F2F6A">
        <w:rPr>
          <w:color w:val="000000" w:themeColor="text1"/>
          <w:szCs w:val="24"/>
        </w:rPr>
        <w:t>Geithner</w:t>
      </w:r>
      <w:r w:rsidR="009A0847">
        <w:rPr>
          <w:color w:val="000000" w:themeColor="text1"/>
          <w:szCs w:val="24"/>
        </w:rPr>
        <w:t xml:space="preserve"> </w:t>
      </w:r>
      <w:r w:rsidR="00A35BC0" w:rsidRPr="005F2F6A">
        <w:rPr>
          <w:color w:val="000000" w:themeColor="text1"/>
          <w:szCs w:val="24"/>
        </w:rPr>
        <w:t>2014,</w:t>
      </w:r>
      <w:r w:rsidR="009A0847">
        <w:rPr>
          <w:color w:val="000000" w:themeColor="text1"/>
          <w:szCs w:val="24"/>
        </w:rPr>
        <w:t xml:space="preserve"> </w:t>
      </w:r>
      <w:r w:rsidR="00EC57CF" w:rsidRPr="005F2F6A">
        <w:rPr>
          <w:color w:val="000000" w:themeColor="text1"/>
          <w:szCs w:val="24"/>
        </w:rPr>
        <w:t>Fischer</w:t>
      </w:r>
      <w:r w:rsidR="009A0847">
        <w:rPr>
          <w:color w:val="000000" w:themeColor="text1"/>
          <w:szCs w:val="24"/>
        </w:rPr>
        <w:t xml:space="preserve"> </w:t>
      </w:r>
      <w:r w:rsidR="00EC57CF" w:rsidRPr="005F2F6A">
        <w:rPr>
          <w:color w:val="000000" w:themeColor="text1"/>
          <w:szCs w:val="24"/>
        </w:rPr>
        <w:t>2016).</w:t>
      </w:r>
      <w:r w:rsidR="009B7D2D" w:rsidRPr="005F2F6A">
        <w:rPr>
          <w:rStyle w:val="FootnoteReference"/>
          <w:color w:val="000000" w:themeColor="text1"/>
          <w:szCs w:val="24"/>
        </w:rPr>
        <w:footnoteReference w:id="9"/>
      </w:r>
      <w:r w:rsidR="009A0847">
        <w:rPr>
          <w:color w:val="000000" w:themeColor="text1"/>
          <w:szCs w:val="24"/>
        </w:rPr>
        <w:t xml:space="preserve"> </w:t>
      </w:r>
      <w:r w:rsidR="007E6078" w:rsidRPr="005F2F6A">
        <w:rPr>
          <w:color w:val="000000" w:themeColor="text1"/>
          <w:szCs w:val="24"/>
        </w:rPr>
        <w:t>Since</w:t>
      </w:r>
      <w:r w:rsidR="009A0847">
        <w:rPr>
          <w:color w:val="000000" w:themeColor="text1"/>
          <w:szCs w:val="24"/>
        </w:rPr>
        <w:t xml:space="preserve"> </w:t>
      </w:r>
      <w:r w:rsidR="007E6078" w:rsidRPr="005F2F6A">
        <w:rPr>
          <w:color w:val="000000" w:themeColor="text1"/>
          <w:szCs w:val="24"/>
        </w:rPr>
        <w:t>then</w:t>
      </w:r>
      <w:r w:rsidR="00C0432B" w:rsidRPr="005F2F6A">
        <w:rPr>
          <w:color w:val="000000" w:themeColor="text1"/>
          <w:szCs w:val="24"/>
        </w:rPr>
        <w:t>,</w:t>
      </w:r>
      <w:r w:rsidR="009A0847">
        <w:rPr>
          <w:color w:val="000000" w:themeColor="text1"/>
          <w:szCs w:val="24"/>
        </w:rPr>
        <w:t xml:space="preserve"> </w:t>
      </w:r>
      <w:r w:rsidR="00DE67D9" w:rsidRPr="005F2F6A">
        <w:rPr>
          <w:rFonts w:ascii="&amp;®ÔˇøÂ'91Â'1" w:hAnsi="&amp;®ÔˇøÂ'91Â'1" w:cs="&amp;®ÔˇøÂ'91Â'1"/>
          <w:color w:val="000000" w:themeColor="text1"/>
        </w:rPr>
        <w:t>DW</w:t>
      </w:r>
      <w:r w:rsidR="009A0847">
        <w:rPr>
          <w:rFonts w:ascii="&amp;®ÔˇøÂ'91Â'1" w:hAnsi="&amp;®ÔˇøÂ'91Â'1" w:cs="&amp;®ÔˇøÂ'91Â'1"/>
          <w:color w:val="000000" w:themeColor="text1"/>
        </w:rPr>
        <w:t xml:space="preserve"> </w:t>
      </w:r>
      <w:r w:rsidR="00DE67D9" w:rsidRPr="005F2F6A">
        <w:rPr>
          <w:rFonts w:ascii="&amp;®ÔˇøÂ'91Â'1" w:hAnsi="&amp;®ÔˇøÂ'91Â'1" w:cs="&amp;®ÔˇøÂ'91Â'1"/>
          <w:color w:val="000000" w:themeColor="text1"/>
        </w:rPr>
        <w:t>stigma</w:t>
      </w:r>
      <w:r w:rsidR="009A0847">
        <w:rPr>
          <w:color w:val="000000" w:themeColor="text1"/>
          <w:szCs w:val="24"/>
        </w:rPr>
        <w:t xml:space="preserve"> </w:t>
      </w:r>
      <w:r w:rsidR="00DE67D9" w:rsidRPr="005F2F6A">
        <w:rPr>
          <w:color w:val="000000" w:themeColor="text1"/>
          <w:szCs w:val="24"/>
        </w:rPr>
        <w:t>has</w:t>
      </w:r>
      <w:r w:rsidR="009A0847">
        <w:rPr>
          <w:color w:val="000000" w:themeColor="text1"/>
          <w:szCs w:val="24"/>
        </w:rPr>
        <w:t xml:space="preserve"> </w:t>
      </w:r>
      <w:r w:rsidR="00DE67D9" w:rsidRPr="005F2F6A">
        <w:rPr>
          <w:color w:val="000000" w:themeColor="text1"/>
          <w:szCs w:val="24"/>
        </w:rPr>
        <w:t>been</w:t>
      </w:r>
      <w:r w:rsidR="009A0847">
        <w:rPr>
          <w:color w:val="000000" w:themeColor="text1"/>
          <w:szCs w:val="24"/>
        </w:rPr>
        <w:t xml:space="preserve"> </w:t>
      </w:r>
      <w:r w:rsidR="00DE67D9" w:rsidRPr="005F2F6A">
        <w:rPr>
          <w:color w:val="000000" w:themeColor="text1"/>
        </w:rPr>
        <w:t>ide</w:t>
      </w:r>
      <w:r w:rsidR="00DE67D9" w:rsidRPr="005F2F6A">
        <w:rPr>
          <w:rFonts w:ascii="&amp;®ÔˇøÂ'91Â'1" w:hAnsi="&amp;®ÔˇøÂ'91Â'1" w:cs="&amp;®ÔˇøÂ'91Â'1"/>
          <w:color w:val="000000" w:themeColor="text1"/>
        </w:rPr>
        <w:t>ntified</w:t>
      </w:r>
      <w:r w:rsidR="009A0847">
        <w:rPr>
          <w:rFonts w:ascii="&amp;®ÔˇøÂ'91Â'1" w:hAnsi="&amp;®ÔˇøÂ'91Â'1" w:cs="&amp;®ÔˇøÂ'91Â'1"/>
          <w:color w:val="000000" w:themeColor="text1"/>
        </w:rPr>
        <w:t xml:space="preserve"> </w:t>
      </w:r>
      <w:r w:rsidR="00DE67D9" w:rsidRPr="005F2F6A">
        <w:rPr>
          <w:color w:val="000000" w:themeColor="text1"/>
        </w:rPr>
        <w:t>as</w:t>
      </w:r>
      <w:r w:rsidR="009A0847">
        <w:rPr>
          <w:color w:val="000000" w:themeColor="text1"/>
        </w:rPr>
        <w:t xml:space="preserve"> </w:t>
      </w:r>
      <w:r w:rsidR="00DE67D9" w:rsidRPr="005F2F6A">
        <w:rPr>
          <w:color w:val="000000" w:themeColor="text1"/>
        </w:rPr>
        <w:t>a</w:t>
      </w:r>
      <w:r w:rsidR="009A0847">
        <w:rPr>
          <w:color w:val="000000" w:themeColor="text1"/>
        </w:rPr>
        <w:t xml:space="preserve"> </w:t>
      </w:r>
      <w:r w:rsidR="00DE67D9" w:rsidRPr="005F2F6A">
        <w:rPr>
          <w:color w:val="000000" w:themeColor="text1"/>
        </w:rPr>
        <w:t>significant</w:t>
      </w:r>
      <w:r w:rsidR="009A0847">
        <w:rPr>
          <w:color w:val="000000" w:themeColor="text1"/>
        </w:rPr>
        <w:t xml:space="preserve"> </w:t>
      </w:r>
      <w:r w:rsidR="00DE67D9" w:rsidRPr="005F2F6A">
        <w:rPr>
          <w:color w:val="000000" w:themeColor="text1"/>
        </w:rPr>
        <w:t>threat</w:t>
      </w:r>
      <w:r w:rsidR="009A0847">
        <w:rPr>
          <w:color w:val="000000" w:themeColor="text1"/>
        </w:rPr>
        <w:t xml:space="preserve"> </w:t>
      </w:r>
      <w:r w:rsidR="00DE67D9" w:rsidRPr="005F2F6A">
        <w:rPr>
          <w:color w:val="000000" w:themeColor="text1"/>
        </w:rPr>
        <w:t>to</w:t>
      </w:r>
      <w:r w:rsidR="009A0847">
        <w:rPr>
          <w:color w:val="000000" w:themeColor="text1"/>
        </w:rPr>
        <w:t xml:space="preserve"> </w:t>
      </w:r>
      <w:r w:rsidR="00DE67D9" w:rsidRPr="005F2F6A">
        <w:rPr>
          <w:color w:val="000000" w:themeColor="text1"/>
        </w:rPr>
        <w:t>financial</w:t>
      </w:r>
      <w:r w:rsidR="009A0847">
        <w:rPr>
          <w:color w:val="000000" w:themeColor="text1"/>
        </w:rPr>
        <w:t xml:space="preserve"> </w:t>
      </w:r>
      <w:r w:rsidR="00DE67D9" w:rsidRPr="005F2F6A">
        <w:rPr>
          <w:color w:val="000000" w:themeColor="text1"/>
        </w:rPr>
        <w:t>stability</w:t>
      </w:r>
      <w:r w:rsidR="009A0847">
        <w:rPr>
          <w:color w:val="000000" w:themeColor="text1"/>
        </w:rPr>
        <w:t xml:space="preserve"> </w:t>
      </w:r>
      <w:r w:rsidR="00414E06" w:rsidRPr="005F2F6A">
        <w:rPr>
          <w:color w:val="000000" w:themeColor="text1"/>
        </w:rPr>
        <w:t>(</w:t>
      </w:r>
      <w:r w:rsidR="00326618" w:rsidRPr="005F2F6A">
        <w:rPr>
          <w:color w:val="000000" w:themeColor="text1"/>
        </w:rPr>
        <w:t>Winters</w:t>
      </w:r>
      <w:r w:rsidR="009A0847">
        <w:rPr>
          <w:color w:val="000000" w:themeColor="text1"/>
        </w:rPr>
        <w:t xml:space="preserve"> </w:t>
      </w:r>
      <w:r w:rsidR="00326618" w:rsidRPr="005F2F6A">
        <w:rPr>
          <w:color w:val="000000" w:themeColor="text1"/>
        </w:rPr>
        <w:t>2012,</w:t>
      </w:r>
      <w:r w:rsidR="009A0847">
        <w:rPr>
          <w:color w:val="000000" w:themeColor="text1"/>
        </w:rPr>
        <w:t xml:space="preserve"> </w:t>
      </w:r>
      <w:r w:rsidR="00A35BC0" w:rsidRPr="005F2F6A">
        <w:rPr>
          <w:color w:val="000000" w:themeColor="text1"/>
        </w:rPr>
        <w:t>Domanski</w:t>
      </w:r>
      <w:r w:rsidR="009A0847">
        <w:rPr>
          <w:color w:val="000000" w:themeColor="text1"/>
        </w:rPr>
        <w:t xml:space="preserve"> </w:t>
      </w:r>
      <w:r w:rsidR="00A35BC0" w:rsidRPr="005F2F6A">
        <w:rPr>
          <w:color w:val="000000" w:themeColor="text1"/>
        </w:rPr>
        <w:t>and</w:t>
      </w:r>
      <w:r w:rsidR="009A0847">
        <w:rPr>
          <w:color w:val="000000" w:themeColor="text1"/>
        </w:rPr>
        <w:t xml:space="preserve"> </w:t>
      </w:r>
      <w:r w:rsidR="00A35BC0" w:rsidRPr="005F2F6A">
        <w:rPr>
          <w:color w:val="000000" w:themeColor="text1"/>
        </w:rPr>
        <w:t>Sushko</w:t>
      </w:r>
      <w:r w:rsidR="009A0847">
        <w:rPr>
          <w:color w:val="000000" w:themeColor="text1"/>
        </w:rPr>
        <w:t xml:space="preserve"> </w:t>
      </w:r>
      <w:r w:rsidR="00A35BC0" w:rsidRPr="005F2F6A">
        <w:rPr>
          <w:color w:val="000000" w:themeColor="text1"/>
        </w:rPr>
        <w:t>2014,</w:t>
      </w:r>
      <w:r w:rsidR="009A0847">
        <w:rPr>
          <w:color w:val="000000" w:themeColor="text1"/>
        </w:rPr>
        <w:t xml:space="preserve"> </w:t>
      </w:r>
      <w:r w:rsidR="00A35BC0" w:rsidRPr="005F2F6A">
        <w:rPr>
          <w:color w:val="000000" w:themeColor="text1"/>
        </w:rPr>
        <w:t>Duke</w:t>
      </w:r>
      <w:r w:rsidR="009A0847">
        <w:rPr>
          <w:color w:val="000000" w:themeColor="text1"/>
        </w:rPr>
        <w:t xml:space="preserve"> </w:t>
      </w:r>
      <w:r w:rsidR="00A35BC0" w:rsidRPr="005F2F6A">
        <w:rPr>
          <w:color w:val="000000" w:themeColor="text1"/>
        </w:rPr>
        <w:t>2016</w:t>
      </w:r>
      <w:r w:rsidR="00414E06" w:rsidRPr="005F2F6A">
        <w:rPr>
          <w:color w:val="000000" w:themeColor="text1"/>
        </w:rPr>
        <w:t>)</w:t>
      </w:r>
      <w:r w:rsidR="00DE67D9" w:rsidRPr="005F2F6A">
        <w:rPr>
          <w:color w:val="000000" w:themeColor="text1"/>
        </w:rPr>
        <w:t>.</w:t>
      </w:r>
      <w:r w:rsidR="009A0847">
        <w:rPr>
          <w:color w:val="000000" w:themeColor="text1"/>
          <w:szCs w:val="24"/>
        </w:rPr>
        <w:t xml:space="preserve"> </w:t>
      </w:r>
      <w:r w:rsidR="00EA556C" w:rsidRPr="005F2F6A">
        <w:rPr>
          <w:color w:val="000000" w:themeColor="text1"/>
          <w:szCs w:val="24"/>
        </w:rPr>
        <w:t>As</w:t>
      </w:r>
      <w:r w:rsidR="009A0847">
        <w:rPr>
          <w:color w:val="000000" w:themeColor="text1"/>
          <w:szCs w:val="24"/>
        </w:rPr>
        <w:t xml:space="preserve"> </w:t>
      </w:r>
      <w:r w:rsidR="00EA556C" w:rsidRPr="005F2F6A">
        <w:rPr>
          <w:color w:val="000000" w:themeColor="text1"/>
          <w:szCs w:val="24"/>
        </w:rPr>
        <w:t>a</w:t>
      </w:r>
      <w:r w:rsidR="009A0847">
        <w:rPr>
          <w:color w:val="000000" w:themeColor="text1"/>
          <w:szCs w:val="24"/>
        </w:rPr>
        <w:t xml:space="preserve"> </w:t>
      </w:r>
      <w:r w:rsidR="00EA556C" w:rsidRPr="005F2F6A">
        <w:rPr>
          <w:color w:val="000000" w:themeColor="text1"/>
          <w:szCs w:val="24"/>
        </w:rPr>
        <w:t>result</w:t>
      </w:r>
      <w:r w:rsidR="00EC57CF" w:rsidRPr="005F2F6A">
        <w:rPr>
          <w:color w:val="000000" w:themeColor="text1"/>
          <w:szCs w:val="24"/>
        </w:rPr>
        <w:t>,</w:t>
      </w:r>
      <w:r w:rsidR="009A0847">
        <w:rPr>
          <w:color w:val="000000" w:themeColor="text1"/>
          <w:szCs w:val="24"/>
        </w:rPr>
        <w:t xml:space="preserve"> </w:t>
      </w:r>
      <w:r w:rsidR="00C80A1D" w:rsidRPr="005F2F6A">
        <w:rPr>
          <w:color w:val="000000" w:themeColor="text1"/>
          <w:szCs w:val="24"/>
        </w:rPr>
        <w:t>some</w:t>
      </w:r>
      <w:r w:rsidR="009A0847">
        <w:rPr>
          <w:color w:val="000000" w:themeColor="text1"/>
          <w:szCs w:val="24"/>
        </w:rPr>
        <w:t xml:space="preserve"> </w:t>
      </w:r>
      <w:r w:rsidR="00C80A1D" w:rsidRPr="005F2F6A">
        <w:rPr>
          <w:color w:val="000000" w:themeColor="text1"/>
          <w:szCs w:val="24"/>
        </w:rPr>
        <w:t>central</w:t>
      </w:r>
      <w:r w:rsidR="009A0847">
        <w:rPr>
          <w:color w:val="000000" w:themeColor="text1"/>
          <w:szCs w:val="24"/>
        </w:rPr>
        <w:t xml:space="preserve"> </w:t>
      </w:r>
      <w:r w:rsidR="00C80A1D" w:rsidRPr="005F2F6A">
        <w:rPr>
          <w:color w:val="000000" w:themeColor="text1"/>
          <w:szCs w:val="24"/>
        </w:rPr>
        <w:t>banks</w:t>
      </w:r>
      <w:r w:rsidR="009A0847">
        <w:rPr>
          <w:color w:val="000000" w:themeColor="text1"/>
          <w:szCs w:val="24"/>
        </w:rPr>
        <w:t xml:space="preserve"> </w:t>
      </w:r>
      <w:r w:rsidR="00C80A1D" w:rsidRPr="005F2F6A">
        <w:rPr>
          <w:color w:val="000000" w:themeColor="text1"/>
          <w:szCs w:val="24"/>
        </w:rPr>
        <w:t>have</w:t>
      </w:r>
      <w:r w:rsidR="009A0847">
        <w:rPr>
          <w:color w:val="000000" w:themeColor="text1"/>
          <w:szCs w:val="24"/>
        </w:rPr>
        <w:t xml:space="preserve"> </w:t>
      </w:r>
      <w:r w:rsidR="00F512D9" w:rsidRPr="005F2F6A">
        <w:rPr>
          <w:color w:val="000000" w:themeColor="text1"/>
          <w:szCs w:val="24"/>
        </w:rPr>
        <w:t>recently</w:t>
      </w:r>
      <w:r w:rsidR="009A0847">
        <w:rPr>
          <w:color w:val="000000" w:themeColor="text1"/>
          <w:szCs w:val="24"/>
        </w:rPr>
        <w:t xml:space="preserve"> </w:t>
      </w:r>
      <w:r w:rsidR="00F512D9" w:rsidRPr="005F2F6A">
        <w:rPr>
          <w:color w:val="000000" w:themeColor="text1"/>
          <w:szCs w:val="24"/>
        </w:rPr>
        <w:t>revised</w:t>
      </w:r>
      <w:r w:rsidR="009A0847">
        <w:rPr>
          <w:color w:val="000000" w:themeColor="text1"/>
          <w:szCs w:val="24"/>
        </w:rPr>
        <w:t xml:space="preserve"> </w:t>
      </w:r>
      <w:r w:rsidR="00C80A1D" w:rsidRPr="005F2F6A">
        <w:rPr>
          <w:color w:val="000000" w:themeColor="text1"/>
          <w:szCs w:val="24"/>
        </w:rPr>
        <w:t>their</w:t>
      </w:r>
      <w:r w:rsidR="009A0847">
        <w:rPr>
          <w:color w:val="000000" w:themeColor="text1"/>
          <w:szCs w:val="24"/>
        </w:rPr>
        <w:t xml:space="preserve"> </w:t>
      </w:r>
      <w:r w:rsidR="00C80A1D" w:rsidRPr="005F2F6A">
        <w:rPr>
          <w:color w:val="000000" w:themeColor="text1"/>
          <w:szCs w:val="24"/>
        </w:rPr>
        <w:t>DW</w:t>
      </w:r>
      <w:r w:rsidR="009A0847">
        <w:rPr>
          <w:color w:val="000000" w:themeColor="text1"/>
          <w:szCs w:val="24"/>
        </w:rPr>
        <w:t xml:space="preserve"> </w:t>
      </w:r>
      <w:r w:rsidR="00C80A1D" w:rsidRPr="005F2F6A">
        <w:rPr>
          <w:color w:val="000000" w:themeColor="text1"/>
          <w:szCs w:val="24"/>
        </w:rPr>
        <w:t>policies</w:t>
      </w:r>
      <w:r w:rsidR="009A0847">
        <w:rPr>
          <w:color w:val="000000" w:themeColor="text1"/>
          <w:szCs w:val="24"/>
        </w:rPr>
        <w:t xml:space="preserve"> </w:t>
      </w:r>
      <w:r w:rsidR="00C80A1D" w:rsidRPr="005F2F6A">
        <w:rPr>
          <w:color w:val="000000" w:themeColor="text1"/>
          <w:szCs w:val="24"/>
        </w:rPr>
        <w:t>with</w:t>
      </w:r>
      <w:r w:rsidR="009A0847">
        <w:rPr>
          <w:color w:val="000000" w:themeColor="text1"/>
          <w:szCs w:val="24"/>
        </w:rPr>
        <w:t xml:space="preserve"> </w:t>
      </w:r>
      <w:r w:rsidR="00C80A1D" w:rsidRPr="005F2F6A">
        <w:rPr>
          <w:color w:val="000000" w:themeColor="text1"/>
          <w:szCs w:val="24"/>
        </w:rPr>
        <w:t>the</w:t>
      </w:r>
      <w:r w:rsidR="009A0847">
        <w:rPr>
          <w:color w:val="000000" w:themeColor="text1"/>
          <w:szCs w:val="24"/>
        </w:rPr>
        <w:t xml:space="preserve"> </w:t>
      </w:r>
      <w:r w:rsidR="00C80A1D" w:rsidRPr="005F2F6A">
        <w:rPr>
          <w:color w:val="000000" w:themeColor="text1"/>
          <w:szCs w:val="24"/>
        </w:rPr>
        <w:t>explicit</w:t>
      </w:r>
      <w:r w:rsidR="009A0847">
        <w:rPr>
          <w:color w:val="000000" w:themeColor="text1"/>
          <w:szCs w:val="24"/>
        </w:rPr>
        <w:t xml:space="preserve"> </w:t>
      </w:r>
      <w:r w:rsidR="0021144D" w:rsidRPr="005F2F6A">
        <w:rPr>
          <w:color w:val="000000" w:themeColor="text1"/>
          <w:szCs w:val="24"/>
        </w:rPr>
        <w:t>objective</w:t>
      </w:r>
      <w:r w:rsidR="009A0847">
        <w:rPr>
          <w:color w:val="000000" w:themeColor="text1"/>
          <w:szCs w:val="24"/>
        </w:rPr>
        <w:t xml:space="preserve"> </w:t>
      </w:r>
      <w:r w:rsidR="00C80A1D" w:rsidRPr="005F2F6A">
        <w:rPr>
          <w:color w:val="000000" w:themeColor="text1"/>
          <w:szCs w:val="24"/>
        </w:rPr>
        <w:t>of</w:t>
      </w:r>
      <w:r w:rsidR="009A0847">
        <w:rPr>
          <w:color w:val="000000" w:themeColor="text1"/>
          <w:szCs w:val="24"/>
        </w:rPr>
        <w:t xml:space="preserve"> </w:t>
      </w:r>
      <w:r w:rsidR="0021144D" w:rsidRPr="005F2F6A">
        <w:rPr>
          <w:color w:val="000000" w:themeColor="text1"/>
          <w:szCs w:val="24"/>
        </w:rPr>
        <w:t>mitigating</w:t>
      </w:r>
      <w:r w:rsidR="009A0847">
        <w:rPr>
          <w:color w:val="000000" w:themeColor="text1"/>
          <w:szCs w:val="24"/>
        </w:rPr>
        <w:t xml:space="preserve"> </w:t>
      </w:r>
      <w:r w:rsidR="00C80A1D" w:rsidRPr="005F2F6A">
        <w:rPr>
          <w:color w:val="000000" w:themeColor="text1"/>
          <w:szCs w:val="24"/>
        </w:rPr>
        <w:t>stigma</w:t>
      </w:r>
      <w:r w:rsidR="009A0847">
        <w:rPr>
          <w:color w:val="000000" w:themeColor="text1"/>
          <w:szCs w:val="24"/>
        </w:rPr>
        <w:t xml:space="preserve"> </w:t>
      </w:r>
      <w:r w:rsidR="00C80A1D" w:rsidRPr="005F2F6A">
        <w:rPr>
          <w:color w:val="000000" w:themeColor="text1"/>
          <w:szCs w:val="24"/>
        </w:rPr>
        <w:t>(e.g.</w:t>
      </w:r>
      <w:r w:rsidR="009A0847">
        <w:rPr>
          <w:color w:val="000000" w:themeColor="text1"/>
          <w:szCs w:val="24"/>
        </w:rPr>
        <w:t xml:space="preserve"> </w:t>
      </w:r>
      <w:r w:rsidR="0021144D" w:rsidRPr="005F2F6A">
        <w:rPr>
          <w:color w:val="000000" w:themeColor="text1"/>
          <w:szCs w:val="24"/>
        </w:rPr>
        <w:t>the</w:t>
      </w:r>
      <w:r w:rsidR="009A0847">
        <w:rPr>
          <w:color w:val="000000" w:themeColor="text1"/>
          <w:szCs w:val="24"/>
        </w:rPr>
        <w:t xml:space="preserve"> </w:t>
      </w:r>
      <w:r w:rsidR="00C80A1D" w:rsidRPr="005F2F6A">
        <w:rPr>
          <w:color w:val="000000" w:themeColor="text1"/>
          <w:szCs w:val="24"/>
        </w:rPr>
        <w:t>BoE</w:t>
      </w:r>
      <w:r w:rsidR="009A0847">
        <w:rPr>
          <w:color w:val="000000" w:themeColor="text1"/>
          <w:szCs w:val="24"/>
        </w:rPr>
        <w:t xml:space="preserve"> </w:t>
      </w:r>
      <w:r w:rsidR="00C80A1D" w:rsidRPr="005F2F6A">
        <w:rPr>
          <w:color w:val="000000" w:themeColor="text1"/>
          <w:szCs w:val="24"/>
        </w:rPr>
        <w:t>in</w:t>
      </w:r>
      <w:r w:rsidR="009A0847">
        <w:rPr>
          <w:color w:val="000000" w:themeColor="text1"/>
          <w:szCs w:val="24"/>
        </w:rPr>
        <w:t xml:space="preserve"> </w:t>
      </w:r>
      <w:r w:rsidR="0021144D" w:rsidRPr="005F2F6A">
        <w:rPr>
          <w:color w:val="000000" w:themeColor="text1"/>
          <w:szCs w:val="24"/>
        </w:rPr>
        <w:t>2015</w:t>
      </w:r>
      <w:r w:rsidR="00C80A1D" w:rsidRPr="005F2F6A">
        <w:rPr>
          <w:color w:val="000000" w:themeColor="text1"/>
          <w:szCs w:val="24"/>
        </w:rPr>
        <w:t>),</w:t>
      </w:r>
      <w:r w:rsidR="009A0847">
        <w:rPr>
          <w:color w:val="000000" w:themeColor="text1"/>
          <w:szCs w:val="24"/>
        </w:rPr>
        <w:t xml:space="preserve"> </w:t>
      </w:r>
      <w:r w:rsidR="00C80A1D" w:rsidRPr="005F2F6A">
        <w:rPr>
          <w:color w:val="000000" w:themeColor="text1"/>
          <w:szCs w:val="24"/>
        </w:rPr>
        <w:t>while</w:t>
      </w:r>
      <w:r w:rsidR="009A0847">
        <w:rPr>
          <w:color w:val="000000" w:themeColor="text1"/>
          <w:szCs w:val="24"/>
        </w:rPr>
        <w:t xml:space="preserve"> </w:t>
      </w:r>
      <w:r w:rsidR="00C80A1D" w:rsidRPr="005F2F6A">
        <w:rPr>
          <w:color w:val="000000" w:themeColor="text1"/>
          <w:szCs w:val="24"/>
        </w:rPr>
        <w:t>others</w:t>
      </w:r>
      <w:r w:rsidR="009A0847">
        <w:rPr>
          <w:color w:val="000000" w:themeColor="text1"/>
          <w:szCs w:val="24"/>
        </w:rPr>
        <w:t xml:space="preserve"> </w:t>
      </w:r>
      <w:r w:rsidR="00A7691C">
        <w:rPr>
          <w:color w:val="000000" w:themeColor="text1"/>
          <w:szCs w:val="24"/>
        </w:rPr>
        <w:t>are</w:t>
      </w:r>
      <w:r w:rsidR="009A0847">
        <w:rPr>
          <w:color w:val="000000" w:themeColor="text1"/>
          <w:szCs w:val="24"/>
        </w:rPr>
        <w:t xml:space="preserve"> </w:t>
      </w:r>
      <w:r w:rsidR="00A7691C">
        <w:rPr>
          <w:color w:val="000000" w:themeColor="text1"/>
          <w:szCs w:val="24"/>
        </w:rPr>
        <w:t>contemplating</w:t>
      </w:r>
      <w:r w:rsidR="009A0847">
        <w:rPr>
          <w:color w:val="000000" w:themeColor="text1"/>
          <w:szCs w:val="24"/>
        </w:rPr>
        <w:t xml:space="preserve"> </w:t>
      </w:r>
      <w:r w:rsidR="00A7691C">
        <w:rPr>
          <w:color w:val="000000" w:themeColor="text1"/>
          <w:szCs w:val="24"/>
        </w:rPr>
        <w:t>possible</w:t>
      </w:r>
      <w:r w:rsidR="009A0847">
        <w:rPr>
          <w:color w:val="000000" w:themeColor="text1"/>
          <w:szCs w:val="24"/>
        </w:rPr>
        <w:t xml:space="preserve"> </w:t>
      </w:r>
      <w:r w:rsidR="0021144D" w:rsidRPr="005F2F6A">
        <w:rPr>
          <w:color w:val="000000" w:themeColor="text1"/>
          <w:szCs w:val="24"/>
        </w:rPr>
        <w:t>reforms</w:t>
      </w:r>
      <w:r w:rsidR="00C80A1D" w:rsidRPr="005F2F6A">
        <w:rPr>
          <w:color w:val="000000" w:themeColor="text1"/>
          <w:szCs w:val="24"/>
        </w:rPr>
        <w:t>.</w:t>
      </w:r>
      <w:r w:rsidR="0021144D" w:rsidRPr="005F2F6A">
        <w:rPr>
          <w:rStyle w:val="FootnoteReference"/>
          <w:color w:val="000000" w:themeColor="text1"/>
          <w:szCs w:val="24"/>
        </w:rPr>
        <w:footnoteReference w:id="10"/>
      </w:r>
    </w:p>
    <w:p w14:paraId="1F8D7898" w14:textId="0E1FFC32" w:rsidR="006A6D23" w:rsidRDefault="00F512D9" w:rsidP="00A3292A">
      <w:pPr>
        <w:pStyle w:val="Olivier1"/>
        <w:widowControl w:val="0"/>
        <w:ind w:firstLine="360"/>
      </w:pPr>
      <w:r w:rsidRPr="005F2F6A">
        <w:rPr>
          <w:color w:val="000000" w:themeColor="text1"/>
        </w:rPr>
        <w:t>Despite</w:t>
      </w:r>
      <w:r w:rsidR="009A0847">
        <w:rPr>
          <w:color w:val="000000" w:themeColor="text1"/>
        </w:rPr>
        <w:t xml:space="preserve"> </w:t>
      </w:r>
      <w:r w:rsidRPr="005F2F6A">
        <w:rPr>
          <w:color w:val="000000" w:themeColor="text1"/>
        </w:rPr>
        <w:t>its</w:t>
      </w:r>
      <w:r w:rsidR="009A0847">
        <w:rPr>
          <w:color w:val="000000" w:themeColor="text1"/>
        </w:rPr>
        <w:t xml:space="preserve"> </w:t>
      </w:r>
      <w:r w:rsidRPr="005F2F6A">
        <w:rPr>
          <w:color w:val="000000" w:themeColor="text1"/>
        </w:rPr>
        <w:t>relevance,</w:t>
      </w:r>
      <w:r w:rsidR="009A0847">
        <w:rPr>
          <w:color w:val="000000" w:themeColor="text1"/>
        </w:rPr>
        <w:t xml:space="preserve"> </w:t>
      </w:r>
      <w:r w:rsidRPr="005F2F6A">
        <w:rPr>
          <w:color w:val="000000" w:themeColor="text1"/>
        </w:rPr>
        <w:t>DW</w:t>
      </w:r>
      <w:r w:rsidR="009A0847">
        <w:rPr>
          <w:color w:val="000000" w:themeColor="text1"/>
        </w:rPr>
        <w:t xml:space="preserve"> </w:t>
      </w:r>
      <w:r w:rsidRPr="005F2F6A">
        <w:rPr>
          <w:color w:val="000000" w:themeColor="text1"/>
        </w:rPr>
        <w:t>stigma</w:t>
      </w:r>
      <w:r w:rsidR="009A0847">
        <w:rPr>
          <w:color w:val="000000" w:themeColor="text1"/>
        </w:rPr>
        <w:t xml:space="preserve"> </w:t>
      </w:r>
      <w:r w:rsidRPr="005F2F6A">
        <w:rPr>
          <w:color w:val="000000" w:themeColor="text1"/>
        </w:rPr>
        <w:t>is</w:t>
      </w:r>
      <w:r w:rsidR="009A0847">
        <w:rPr>
          <w:color w:val="000000" w:themeColor="text1"/>
        </w:rPr>
        <w:t xml:space="preserve"> </w:t>
      </w:r>
      <w:r w:rsidRPr="005F2F6A">
        <w:rPr>
          <w:color w:val="000000" w:themeColor="text1"/>
        </w:rPr>
        <w:t>not</w:t>
      </w:r>
      <w:r w:rsidR="009A0847">
        <w:rPr>
          <w:color w:val="000000" w:themeColor="text1"/>
        </w:rPr>
        <w:t xml:space="preserve"> </w:t>
      </w:r>
      <w:r w:rsidRPr="005F2F6A">
        <w:rPr>
          <w:color w:val="000000" w:themeColor="text1"/>
        </w:rPr>
        <w:t>a</w:t>
      </w:r>
      <w:r w:rsidR="009A0847">
        <w:rPr>
          <w:color w:val="000000" w:themeColor="text1"/>
        </w:rPr>
        <w:t xml:space="preserve"> </w:t>
      </w:r>
      <w:r w:rsidRPr="005F2F6A">
        <w:rPr>
          <w:color w:val="000000" w:themeColor="text1"/>
        </w:rPr>
        <w:t>well-understood</w:t>
      </w:r>
      <w:r w:rsidR="009A0847">
        <w:rPr>
          <w:color w:val="000000" w:themeColor="text1"/>
        </w:rPr>
        <w:t xml:space="preserve"> </w:t>
      </w:r>
      <w:r w:rsidRPr="005F2F6A">
        <w:rPr>
          <w:color w:val="000000" w:themeColor="text1"/>
        </w:rPr>
        <w:t>phenomenon</w:t>
      </w:r>
      <w:r w:rsidR="00014B7C">
        <w:rPr>
          <w:color w:val="000000" w:themeColor="text1"/>
        </w:rPr>
        <w:t>,</w:t>
      </w:r>
      <w:r w:rsidR="009A0847">
        <w:rPr>
          <w:color w:val="000000" w:themeColor="text1"/>
        </w:rPr>
        <w:t xml:space="preserve"> </w:t>
      </w:r>
      <w:r w:rsidR="00014B7C">
        <w:rPr>
          <w:color w:val="000000" w:themeColor="text1"/>
        </w:rPr>
        <w:t>as</w:t>
      </w:r>
      <w:r w:rsidR="009A0847">
        <w:rPr>
          <w:color w:val="000000" w:themeColor="text1"/>
        </w:rPr>
        <w:t xml:space="preserve"> </w:t>
      </w:r>
      <w:r w:rsidR="00014B7C">
        <w:rPr>
          <w:color w:val="000000" w:themeColor="text1"/>
        </w:rPr>
        <w:t>illustrated</w:t>
      </w:r>
      <w:r w:rsidR="009A0847">
        <w:rPr>
          <w:color w:val="000000" w:themeColor="text1"/>
        </w:rPr>
        <w:t xml:space="preserve"> </w:t>
      </w:r>
      <w:r w:rsidR="00014B7C">
        <w:rPr>
          <w:color w:val="000000" w:themeColor="text1"/>
        </w:rPr>
        <w:t>by</w:t>
      </w:r>
      <w:r w:rsidR="009A0847">
        <w:rPr>
          <w:color w:val="000000" w:themeColor="text1"/>
        </w:rPr>
        <w:t xml:space="preserve"> </w:t>
      </w:r>
      <w:r w:rsidR="00014B7C">
        <w:rPr>
          <w:color w:val="000000" w:themeColor="text1"/>
        </w:rPr>
        <w:t>Governor</w:t>
      </w:r>
      <w:r w:rsidR="009A0847">
        <w:rPr>
          <w:color w:val="000000" w:themeColor="text1"/>
        </w:rPr>
        <w:t xml:space="preserve"> </w:t>
      </w:r>
      <w:r w:rsidR="00014B7C">
        <w:rPr>
          <w:color w:val="000000" w:themeColor="text1"/>
        </w:rPr>
        <w:t>King</w:t>
      </w:r>
      <w:r w:rsidR="00A7691C">
        <w:rPr>
          <w:color w:val="000000" w:themeColor="text1"/>
        </w:rPr>
        <w:t>’s</w:t>
      </w:r>
      <w:r w:rsidR="009A0847">
        <w:rPr>
          <w:color w:val="000000" w:themeColor="text1"/>
        </w:rPr>
        <w:t xml:space="preserve"> </w:t>
      </w:r>
      <w:r w:rsidR="00014B7C">
        <w:rPr>
          <w:color w:val="000000" w:themeColor="text1"/>
        </w:rPr>
        <w:t>quote</w:t>
      </w:r>
      <w:r w:rsidR="009A0847">
        <w:rPr>
          <w:color w:val="000000" w:themeColor="text1"/>
        </w:rPr>
        <w:t xml:space="preserve"> </w:t>
      </w:r>
      <w:r w:rsidR="00014B7C">
        <w:rPr>
          <w:color w:val="000000" w:themeColor="text1"/>
        </w:rPr>
        <w:t>above</w:t>
      </w:r>
      <w:r w:rsidRPr="005F2F6A">
        <w:rPr>
          <w:color w:val="000000" w:themeColor="text1"/>
        </w:rPr>
        <w:t>.</w:t>
      </w:r>
      <w:r w:rsidRPr="005F2F6A">
        <w:rPr>
          <w:rStyle w:val="FootnoteReference"/>
          <w:color w:val="000000" w:themeColor="text1"/>
        </w:rPr>
        <w:footnoteReference w:id="11"/>
      </w:r>
      <w:r w:rsidR="009A0847">
        <w:rPr>
          <w:color w:val="000000" w:themeColor="text1"/>
        </w:rPr>
        <w:t xml:space="preserve"> </w:t>
      </w:r>
      <w:r w:rsidR="009A23CE" w:rsidRPr="005F2F6A">
        <w:rPr>
          <w:color w:val="000000" w:themeColor="text1"/>
        </w:rPr>
        <w:t>Only</w:t>
      </w:r>
      <w:r w:rsidR="009A0847">
        <w:rPr>
          <w:color w:val="000000" w:themeColor="text1"/>
        </w:rPr>
        <w:t xml:space="preserve"> </w:t>
      </w:r>
      <w:r w:rsidR="006605C8">
        <w:rPr>
          <w:color w:val="000000" w:themeColor="text1"/>
        </w:rPr>
        <w:t>a</w:t>
      </w:r>
      <w:r w:rsidR="009A0847">
        <w:rPr>
          <w:color w:val="000000" w:themeColor="text1"/>
        </w:rPr>
        <w:t xml:space="preserve"> </w:t>
      </w:r>
      <w:r w:rsidR="009A23CE" w:rsidRPr="005F2F6A">
        <w:rPr>
          <w:color w:val="000000" w:themeColor="text1"/>
        </w:rPr>
        <w:t>few</w:t>
      </w:r>
      <w:r w:rsidR="009A0847">
        <w:rPr>
          <w:color w:val="000000" w:themeColor="text1"/>
        </w:rPr>
        <w:t xml:space="preserve"> </w:t>
      </w:r>
      <w:r w:rsidR="006605C8">
        <w:rPr>
          <w:color w:val="000000" w:themeColor="text1"/>
        </w:rPr>
        <w:t>theoretical</w:t>
      </w:r>
      <w:r w:rsidR="009A0847">
        <w:rPr>
          <w:color w:val="000000" w:themeColor="text1"/>
        </w:rPr>
        <w:t xml:space="preserve"> </w:t>
      </w:r>
      <w:r w:rsidR="009A23CE" w:rsidRPr="005F2F6A">
        <w:rPr>
          <w:color w:val="000000" w:themeColor="text1"/>
        </w:rPr>
        <w:t>models</w:t>
      </w:r>
      <w:r w:rsidR="009A0847">
        <w:rPr>
          <w:color w:val="000000" w:themeColor="text1"/>
        </w:rPr>
        <w:t xml:space="preserve"> </w:t>
      </w:r>
      <w:r w:rsidR="009A23CE" w:rsidRPr="005F2F6A">
        <w:rPr>
          <w:color w:val="000000" w:themeColor="text1"/>
        </w:rPr>
        <w:t>have</w:t>
      </w:r>
      <w:r w:rsidR="009A0847">
        <w:rPr>
          <w:color w:val="000000" w:themeColor="text1"/>
        </w:rPr>
        <w:t xml:space="preserve"> </w:t>
      </w:r>
      <w:r w:rsidR="009A23CE" w:rsidRPr="005F2F6A">
        <w:rPr>
          <w:color w:val="000000" w:themeColor="text1"/>
        </w:rPr>
        <w:t>been</w:t>
      </w:r>
      <w:r w:rsidR="009A0847">
        <w:rPr>
          <w:color w:val="000000" w:themeColor="text1"/>
        </w:rPr>
        <w:t xml:space="preserve"> </w:t>
      </w:r>
      <w:r w:rsidR="009A23CE" w:rsidRPr="005F2F6A">
        <w:rPr>
          <w:color w:val="000000" w:themeColor="text1"/>
        </w:rPr>
        <w:t>developed</w:t>
      </w:r>
      <w:r w:rsidR="009A0847">
        <w:rPr>
          <w:color w:val="000000" w:themeColor="text1"/>
        </w:rPr>
        <w:t xml:space="preserve"> </w:t>
      </w:r>
      <w:r w:rsidR="009A23CE" w:rsidRPr="005F2F6A">
        <w:rPr>
          <w:color w:val="000000" w:themeColor="text1"/>
        </w:rPr>
        <w:t>in</w:t>
      </w:r>
      <w:r w:rsidR="009A0847">
        <w:rPr>
          <w:color w:val="000000" w:themeColor="text1"/>
        </w:rPr>
        <w:t xml:space="preserve"> </w:t>
      </w:r>
      <w:r w:rsidR="009A23CE" w:rsidRPr="005F2F6A">
        <w:rPr>
          <w:color w:val="000000" w:themeColor="text1"/>
        </w:rPr>
        <w:t>which</w:t>
      </w:r>
      <w:r w:rsidR="009A0847">
        <w:rPr>
          <w:color w:val="000000" w:themeColor="text1"/>
        </w:rPr>
        <w:t xml:space="preserve"> </w:t>
      </w:r>
      <w:r w:rsidR="009A23CE" w:rsidRPr="005F2F6A">
        <w:rPr>
          <w:color w:val="000000" w:themeColor="text1"/>
        </w:rPr>
        <w:t>stigma</w:t>
      </w:r>
      <w:r w:rsidR="009A0847">
        <w:rPr>
          <w:color w:val="000000" w:themeColor="text1"/>
        </w:rPr>
        <w:t xml:space="preserve"> </w:t>
      </w:r>
      <w:r w:rsidR="009A23CE" w:rsidRPr="005F2F6A">
        <w:rPr>
          <w:color w:val="000000" w:themeColor="text1"/>
        </w:rPr>
        <w:t>emerges</w:t>
      </w:r>
      <w:r w:rsidR="009A0847">
        <w:rPr>
          <w:color w:val="000000" w:themeColor="text1"/>
        </w:rPr>
        <w:t xml:space="preserve"> </w:t>
      </w:r>
      <w:r w:rsidR="009A23CE" w:rsidRPr="005F2F6A">
        <w:rPr>
          <w:color w:val="000000" w:themeColor="text1"/>
        </w:rPr>
        <w:t>in</w:t>
      </w:r>
      <w:r w:rsidR="009A0847">
        <w:rPr>
          <w:color w:val="000000" w:themeColor="text1"/>
        </w:rPr>
        <w:t xml:space="preserve"> </w:t>
      </w:r>
      <w:r w:rsidR="009A23CE" w:rsidRPr="005F2F6A">
        <w:rPr>
          <w:color w:val="000000" w:themeColor="text1"/>
        </w:rPr>
        <w:t>equilibrium</w:t>
      </w:r>
      <w:r w:rsidR="009A0847">
        <w:rPr>
          <w:color w:val="000000" w:themeColor="text1"/>
        </w:rPr>
        <w:t xml:space="preserve"> </w:t>
      </w:r>
      <w:r w:rsidR="009A23CE" w:rsidRPr="005F2F6A">
        <w:rPr>
          <w:color w:val="000000" w:themeColor="text1"/>
        </w:rPr>
        <w:t>(Ennis</w:t>
      </w:r>
      <w:r w:rsidR="009A0847">
        <w:rPr>
          <w:color w:val="000000" w:themeColor="text1"/>
        </w:rPr>
        <w:t xml:space="preserve"> </w:t>
      </w:r>
      <w:r w:rsidR="009A23CE" w:rsidRPr="005F2F6A">
        <w:rPr>
          <w:color w:val="000000" w:themeColor="text1"/>
        </w:rPr>
        <w:t>and</w:t>
      </w:r>
      <w:r w:rsidR="009A0847">
        <w:rPr>
          <w:color w:val="000000" w:themeColor="text1"/>
        </w:rPr>
        <w:t xml:space="preserve"> </w:t>
      </w:r>
      <w:r w:rsidR="009A23CE" w:rsidRPr="005F2F6A">
        <w:rPr>
          <w:color w:val="000000" w:themeColor="text1"/>
        </w:rPr>
        <w:t>Weinberg</w:t>
      </w:r>
      <w:r w:rsidR="009A0847">
        <w:rPr>
          <w:color w:val="000000" w:themeColor="text1"/>
        </w:rPr>
        <w:t xml:space="preserve"> </w:t>
      </w:r>
      <w:r w:rsidR="009A23CE" w:rsidRPr="005F2F6A">
        <w:rPr>
          <w:color w:val="000000" w:themeColor="text1"/>
        </w:rPr>
        <w:t>2013,</w:t>
      </w:r>
      <w:r w:rsidR="009A0847">
        <w:rPr>
          <w:color w:val="000000" w:themeColor="text1"/>
        </w:rPr>
        <w:t xml:space="preserve"> </w:t>
      </w:r>
      <w:r w:rsidR="009A23CE" w:rsidRPr="005F2F6A">
        <w:rPr>
          <w:color w:val="000000" w:themeColor="text1"/>
        </w:rPr>
        <w:t>La’O</w:t>
      </w:r>
      <w:r w:rsidR="009A0847">
        <w:rPr>
          <w:color w:val="000000" w:themeColor="text1"/>
        </w:rPr>
        <w:t xml:space="preserve"> </w:t>
      </w:r>
      <w:r w:rsidR="009B7D2D">
        <w:rPr>
          <w:color w:val="000000" w:themeColor="text1"/>
        </w:rPr>
        <w:t>2014</w:t>
      </w:r>
      <w:r w:rsidR="009A23CE" w:rsidRPr="005F2F6A">
        <w:rPr>
          <w:color w:val="000000" w:themeColor="text1"/>
        </w:rPr>
        <w:t>,</w:t>
      </w:r>
      <w:r w:rsidR="009A0847">
        <w:rPr>
          <w:color w:val="000000" w:themeColor="text1"/>
        </w:rPr>
        <w:t xml:space="preserve"> </w:t>
      </w:r>
      <w:r w:rsidR="009A23CE" w:rsidRPr="005F2F6A">
        <w:rPr>
          <w:color w:val="000000" w:themeColor="text1"/>
        </w:rPr>
        <w:t>Gorton</w:t>
      </w:r>
      <w:r w:rsidR="009A0847">
        <w:rPr>
          <w:color w:val="000000" w:themeColor="text1"/>
        </w:rPr>
        <w:t xml:space="preserve"> </w:t>
      </w:r>
      <w:r w:rsidR="009A23CE" w:rsidRPr="005F2F6A">
        <w:rPr>
          <w:color w:val="000000" w:themeColor="text1"/>
        </w:rPr>
        <w:t>and</w:t>
      </w:r>
      <w:r w:rsidR="009A0847">
        <w:rPr>
          <w:color w:val="000000" w:themeColor="text1"/>
        </w:rPr>
        <w:t xml:space="preserve"> </w:t>
      </w:r>
      <w:r w:rsidR="009A23CE" w:rsidRPr="005F2F6A">
        <w:rPr>
          <w:color w:val="000000" w:themeColor="text1"/>
        </w:rPr>
        <w:t>Ordonez</w:t>
      </w:r>
      <w:r w:rsidR="009A0847">
        <w:rPr>
          <w:color w:val="000000" w:themeColor="text1"/>
        </w:rPr>
        <w:t xml:space="preserve"> </w:t>
      </w:r>
      <w:r w:rsidR="00FE38B2" w:rsidRPr="005F2F6A">
        <w:rPr>
          <w:color w:val="000000" w:themeColor="text1"/>
        </w:rPr>
        <w:t>2016</w:t>
      </w:r>
      <w:r w:rsidR="00E22987">
        <w:rPr>
          <w:color w:val="000000" w:themeColor="text1"/>
        </w:rPr>
        <w:t>,</w:t>
      </w:r>
      <w:r w:rsidR="009A0847">
        <w:rPr>
          <w:color w:val="000000" w:themeColor="text1"/>
        </w:rPr>
        <w:t xml:space="preserve"> </w:t>
      </w:r>
      <w:r w:rsidR="00E22987" w:rsidRPr="005F2F6A">
        <w:rPr>
          <w:color w:val="000000" w:themeColor="text1"/>
        </w:rPr>
        <w:t>Ennis</w:t>
      </w:r>
      <w:r w:rsidR="009A0847">
        <w:rPr>
          <w:color w:val="000000" w:themeColor="text1"/>
        </w:rPr>
        <w:t xml:space="preserve"> </w:t>
      </w:r>
      <w:r w:rsidR="00E22987" w:rsidRPr="005F2F6A">
        <w:rPr>
          <w:color w:val="000000" w:themeColor="text1"/>
        </w:rPr>
        <w:t>201</w:t>
      </w:r>
      <w:r w:rsidR="00E22987">
        <w:rPr>
          <w:color w:val="000000" w:themeColor="text1"/>
        </w:rPr>
        <w:t>7</w:t>
      </w:r>
      <w:r w:rsidR="009B7D2D">
        <w:rPr>
          <w:color w:val="000000" w:themeColor="text1"/>
        </w:rPr>
        <w:t>,</w:t>
      </w:r>
      <w:r w:rsidR="009A0847">
        <w:rPr>
          <w:color w:val="000000" w:themeColor="text1"/>
        </w:rPr>
        <w:t xml:space="preserve"> </w:t>
      </w:r>
      <w:r w:rsidR="009B7D2D">
        <w:rPr>
          <w:color w:val="000000" w:themeColor="text1"/>
        </w:rPr>
        <w:t>Che,</w:t>
      </w:r>
      <w:r w:rsidR="009A0847">
        <w:rPr>
          <w:color w:val="000000" w:themeColor="text1"/>
        </w:rPr>
        <w:t xml:space="preserve"> </w:t>
      </w:r>
      <w:r w:rsidR="009B7D2D">
        <w:rPr>
          <w:color w:val="000000" w:themeColor="text1"/>
        </w:rPr>
        <w:t>Choe</w:t>
      </w:r>
      <w:r w:rsidR="009A0847">
        <w:rPr>
          <w:color w:val="000000" w:themeColor="text1"/>
        </w:rPr>
        <w:t xml:space="preserve"> </w:t>
      </w:r>
      <w:r w:rsidR="009B7D2D">
        <w:rPr>
          <w:color w:val="000000" w:themeColor="text1"/>
        </w:rPr>
        <w:t>and</w:t>
      </w:r>
      <w:r w:rsidR="009A0847">
        <w:rPr>
          <w:color w:val="000000" w:themeColor="text1"/>
        </w:rPr>
        <w:t xml:space="preserve"> </w:t>
      </w:r>
      <w:r w:rsidR="009B7D2D">
        <w:rPr>
          <w:color w:val="000000" w:themeColor="text1"/>
        </w:rPr>
        <w:t>Rhee</w:t>
      </w:r>
      <w:r w:rsidR="009A0847">
        <w:rPr>
          <w:color w:val="000000" w:themeColor="text1"/>
        </w:rPr>
        <w:t xml:space="preserve"> </w:t>
      </w:r>
      <w:r w:rsidR="009B7D2D">
        <w:rPr>
          <w:color w:val="000000" w:themeColor="text1"/>
        </w:rPr>
        <w:t>2018</w:t>
      </w:r>
      <w:r w:rsidR="009A23CE" w:rsidRPr="005F2F6A">
        <w:rPr>
          <w:color w:val="000000" w:themeColor="text1"/>
        </w:rPr>
        <w:t>)</w:t>
      </w:r>
      <w:r w:rsidR="009A0847">
        <w:rPr>
          <w:color w:val="000000" w:themeColor="text1"/>
        </w:rPr>
        <w:t xml:space="preserve"> </w:t>
      </w:r>
      <w:r w:rsidR="009A23CE" w:rsidRPr="005F2F6A">
        <w:rPr>
          <w:color w:val="000000" w:themeColor="text1"/>
        </w:rPr>
        <w:t>and</w:t>
      </w:r>
      <w:r w:rsidR="009A0847">
        <w:rPr>
          <w:color w:val="000000" w:themeColor="text1"/>
        </w:rPr>
        <w:t xml:space="preserve"> </w:t>
      </w:r>
      <w:r w:rsidRPr="005F2F6A">
        <w:rPr>
          <w:color w:val="000000" w:themeColor="text1"/>
        </w:rPr>
        <w:t>empirica</w:t>
      </w:r>
      <w:r w:rsidR="00A7691C">
        <w:rPr>
          <w:color w:val="000000" w:themeColor="text1"/>
        </w:rPr>
        <w:t>l</w:t>
      </w:r>
      <w:r w:rsidR="009A0847">
        <w:rPr>
          <w:color w:val="000000" w:themeColor="text1"/>
        </w:rPr>
        <w:t xml:space="preserve"> </w:t>
      </w:r>
      <w:r w:rsidR="00A7691C">
        <w:rPr>
          <w:color w:val="000000" w:themeColor="text1"/>
        </w:rPr>
        <w:t>evidence</w:t>
      </w:r>
      <w:r w:rsidR="009A0847">
        <w:rPr>
          <w:color w:val="000000" w:themeColor="text1"/>
        </w:rPr>
        <w:t xml:space="preserve"> </w:t>
      </w:r>
      <w:r w:rsidR="00A7691C">
        <w:rPr>
          <w:color w:val="000000" w:themeColor="text1"/>
        </w:rPr>
        <w:t>has</w:t>
      </w:r>
      <w:r w:rsidR="009A0847">
        <w:rPr>
          <w:color w:val="000000" w:themeColor="text1"/>
        </w:rPr>
        <w:t xml:space="preserve"> </w:t>
      </w:r>
      <w:r w:rsidR="00A7691C">
        <w:rPr>
          <w:color w:val="000000" w:themeColor="text1"/>
        </w:rPr>
        <w:t>been</w:t>
      </w:r>
      <w:r w:rsidR="009A0847">
        <w:rPr>
          <w:color w:val="000000" w:themeColor="text1"/>
        </w:rPr>
        <w:t xml:space="preserve"> </w:t>
      </w:r>
      <w:r w:rsidR="00A7691C">
        <w:rPr>
          <w:color w:val="000000" w:themeColor="text1"/>
        </w:rPr>
        <w:t>scarce</w:t>
      </w:r>
      <w:r w:rsidR="009A0847">
        <w:rPr>
          <w:color w:val="000000" w:themeColor="text1"/>
        </w:rPr>
        <w:t xml:space="preserve"> </w:t>
      </w:r>
      <w:r w:rsidR="00A7691C">
        <w:rPr>
          <w:color w:val="000000" w:themeColor="text1"/>
        </w:rPr>
        <w:t>(</w:t>
      </w:r>
      <w:r w:rsidRPr="005F2F6A">
        <w:rPr>
          <w:color w:val="000000" w:themeColor="text1"/>
        </w:rPr>
        <w:t>Armantier</w:t>
      </w:r>
      <w:r w:rsidR="009A0847">
        <w:rPr>
          <w:color w:val="000000" w:themeColor="text1"/>
        </w:rPr>
        <w:t xml:space="preserve"> </w:t>
      </w:r>
      <w:r w:rsidRPr="005F2F6A">
        <w:rPr>
          <w:color w:val="000000" w:themeColor="text1"/>
        </w:rPr>
        <w:t>et</w:t>
      </w:r>
      <w:r w:rsidR="009A0847">
        <w:rPr>
          <w:color w:val="000000" w:themeColor="text1"/>
        </w:rPr>
        <w:t xml:space="preserve"> </w:t>
      </w:r>
      <w:r w:rsidRPr="005F2F6A">
        <w:rPr>
          <w:color w:val="000000" w:themeColor="text1"/>
        </w:rPr>
        <w:t>al.</w:t>
      </w:r>
      <w:r w:rsidR="009A0847">
        <w:rPr>
          <w:color w:val="000000" w:themeColor="text1"/>
        </w:rPr>
        <w:t xml:space="preserve"> </w:t>
      </w:r>
      <w:r w:rsidRPr="005F2F6A">
        <w:rPr>
          <w:color w:val="000000" w:themeColor="text1"/>
        </w:rPr>
        <w:t>2015).</w:t>
      </w:r>
      <w:r w:rsidR="009A0847">
        <w:rPr>
          <w:color w:val="000000" w:themeColor="text1"/>
        </w:rPr>
        <w:t xml:space="preserve"> </w:t>
      </w:r>
      <w:r w:rsidRPr="005F2F6A">
        <w:rPr>
          <w:color w:val="000000" w:themeColor="text1"/>
        </w:rPr>
        <w:t>The</w:t>
      </w:r>
      <w:r w:rsidR="009A0847">
        <w:rPr>
          <w:color w:val="000000" w:themeColor="text1"/>
        </w:rPr>
        <w:t xml:space="preserve"> </w:t>
      </w:r>
      <w:r w:rsidRPr="005F2F6A">
        <w:rPr>
          <w:color w:val="000000" w:themeColor="text1"/>
        </w:rPr>
        <w:t>major</w:t>
      </w:r>
      <w:r w:rsidR="009A0847">
        <w:rPr>
          <w:color w:val="000000" w:themeColor="text1"/>
        </w:rPr>
        <w:t xml:space="preserve"> </w:t>
      </w:r>
      <w:r w:rsidRPr="005F2F6A">
        <w:rPr>
          <w:color w:val="000000" w:themeColor="text1"/>
        </w:rPr>
        <w:t>challenge</w:t>
      </w:r>
      <w:r w:rsidR="009A0847">
        <w:rPr>
          <w:color w:val="000000" w:themeColor="text1"/>
        </w:rPr>
        <w:t xml:space="preserve"> </w:t>
      </w:r>
      <w:r w:rsidRPr="005F2F6A">
        <w:rPr>
          <w:color w:val="000000" w:themeColor="text1"/>
        </w:rPr>
        <w:t>is</w:t>
      </w:r>
      <w:r w:rsidR="009A0847">
        <w:rPr>
          <w:color w:val="000000" w:themeColor="text1"/>
        </w:rPr>
        <w:t xml:space="preserve"> </w:t>
      </w:r>
      <w:r w:rsidRPr="005F2F6A">
        <w:rPr>
          <w:color w:val="000000" w:themeColor="text1"/>
        </w:rPr>
        <w:t>the</w:t>
      </w:r>
      <w:r w:rsidR="009A0847">
        <w:rPr>
          <w:color w:val="000000" w:themeColor="text1"/>
        </w:rPr>
        <w:t xml:space="preserve"> </w:t>
      </w:r>
      <w:r w:rsidRPr="005F2F6A">
        <w:rPr>
          <w:color w:val="000000" w:themeColor="text1"/>
        </w:rPr>
        <w:t>lack</w:t>
      </w:r>
      <w:r w:rsidR="009A0847">
        <w:rPr>
          <w:color w:val="000000" w:themeColor="text1"/>
        </w:rPr>
        <w:t xml:space="preserve"> </w:t>
      </w:r>
      <w:r w:rsidRPr="005F2F6A">
        <w:rPr>
          <w:color w:val="000000" w:themeColor="text1"/>
        </w:rPr>
        <w:t>of</w:t>
      </w:r>
      <w:r w:rsidR="009A0847">
        <w:rPr>
          <w:color w:val="000000" w:themeColor="text1"/>
        </w:rPr>
        <w:t xml:space="preserve"> </w:t>
      </w:r>
      <w:r w:rsidRPr="005F2F6A">
        <w:rPr>
          <w:color w:val="000000" w:themeColor="text1"/>
        </w:rPr>
        <w:t>data:</w:t>
      </w:r>
      <w:r w:rsidR="009A0847">
        <w:rPr>
          <w:color w:val="000000" w:themeColor="text1"/>
        </w:rPr>
        <w:t xml:space="preserve"> </w:t>
      </w:r>
      <w:r w:rsidRPr="005F2F6A">
        <w:rPr>
          <w:color w:val="000000" w:themeColor="text1"/>
        </w:rPr>
        <w:t>If</w:t>
      </w:r>
      <w:r w:rsidR="009A0847">
        <w:rPr>
          <w:color w:val="000000" w:themeColor="text1"/>
        </w:rPr>
        <w:t xml:space="preserve"> </w:t>
      </w:r>
      <w:r w:rsidRPr="005F2F6A">
        <w:rPr>
          <w:color w:val="000000" w:themeColor="text1"/>
        </w:rPr>
        <w:t>financial</w:t>
      </w:r>
      <w:r w:rsidR="009A0847">
        <w:rPr>
          <w:color w:val="000000" w:themeColor="text1"/>
        </w:rPr>
        <w:t xml:space="preserve"> </w:t>
      </w:r>
      <w:r w:rsidRPr="005F2F6A">
        <w:rPr>
          <w:color w:val="000000" w:themeColor="text1"/>
        </w:rPr>
        <w:t>institutions</w:t>
      </w:r>
      <w:r w:rsidR="009A0847">
        <w:rPr>
          <w:color w:val="000000" w:themeColor="text1"/>
        </w:rPr>
        <w:t xml:space="preserve"> </w:t>
      </w:r>
      <w:r w:rsidR="00700BF8" w:rsidRPr="005F2F6A">
        <w:rPr>
          <w:color w:val="000000" w:themeColor="text1"/>
        </w:rPr>
        <w:t>avoid</w:t>
      </w:r>
      <w:r w:rsidR="009A0847">
        <w:rPr>
          <w:color w:val="000000" w:themeColor="text1"/>
        </w:rPr>
        <w:t xml:space="preserve"> </w:t>
      </w:r>
      <w:r w:rsidR="00700BF8" w:rsidRPr="005F2F6A">
        <w:rPr>
          <w:color w:val="000000" w:themeColor="text1"/>
        </w:rPr>
        <w:t>the</w:t>
      </w:r>
      <w:r w:rsidR="009A0847">
        <w:rPr>
          <w:color w:val="000000" w:themeColor="text1"/>
        </w:rPr>
        <w:t xml:space="preserve"> </w:t>
      </w:r>
      <w:r w:rsidRPr="005F2F6A">
        <w:rPr>
          <w:color w:val="000000" w:themeColor="text1"/>
        </w:rPr>
        <w:t>DW</w:t>
      </w:r>
      <w:r w:rsidR="009A0847">
        <w:rPr>
          <w:color w:val="000000" w:themeColor="text1"/>
        </w:rPr>
        <w:t xml:space="preserve"> </w:t>
      </w:r>
      <w:r w:rsidRPr="005F2F6A">
        <w:rPr>
          <w:color w:val="000000" w:themeColor="text1"/>
        </w:rPr>
        <w:t>regardless</w:t>
      </w:r>
      <w:r w:rsidR="009A0847">
        <w:rPr>
          <w:color w:val="000000" w:themeColor="text1"/>
        </w:rPr>
        <w:t xml:space="preserve"> </w:t>
      </w:r>
      <w:r w:rsidRPr="005F2F6A">
        <w:rPr>
          <w:color w:val="000000" w:themeColor="text1"/>
        </w:rPr>
        <w:t>of</w:t>
      </w:r>
      <w:r w:rsidR="009A0847">
        <w:rPr>
          <w:color w:val="000000" w:themeColor="text1"/>
        </w:rPr>
        <w:t xml:space="preserve"> </w:t>
      </w:r>
      <w:r w:rsidRPr="005F2F6A">
        <w:rPr>
          <w:color w:val="000000" w:themeColor="text1"/>
        </w:rPr>
        <w:t>the</w:t>
      </w:r>
      <w:r w:rsidR="009A0847">
        <w:rPr>
          <w:color w:val="000000" w:themeColor="text1"/>
        </w:rPr>
        <w:t xml:space="preserve"> </w:t>
      </w:r>
      <w:r w:rsidRPr="005F2F6A">
        <w:rPr>
          <w:color w:val="000000" w:themeColor="text1"/>
        </w:rPr>
        <w:t>environment,</w:t>
      </w:r>
      <w:r w:rsidR="009A0847">
        <w:rPr>
          <w:color w:val="000000" w:themeColor="text1"/>
        </w:rPr>
        <w:t xml:space="preserve"> </w:t>
      </w:r>
      <w:r w:rsidRPr="005F2F6A">
        <w:rPr>
          <w:color w:val="000000" w:themeColor="text1"/>
        </w:rPr>
        <w:t>then</w:t>
      </w:r>
      <w:r w:rsidR="009A0847">
        <w:rPr>
          <w:color w:val="000000" w:themeColor="text1"/>
        </w:rPr>
        <w:t xml:space="preserve"> </w:t>
      </w:r>
      <w:r w:rsidRPr="005F2F6A">
        <w:rPr>
          <w:color w:val="000000" w:themeColor="text1"/>
        </w:rPr>
        <w:t>analysts</w:t>
      </w:r>
      <w:r w:rsidR="009A0847">
        <w:rPr>
          <w:color w:val="000000" w:themeColor="text1"/>
        </w:rPr>
        <w:t xml:space="preserve"> </w:t>
      </w:r>
      <w:r w:rsidR="006605C8">
        <w:rPr>
          <w:color w:val="000000" w:themeColor="text1"/>
        </w:rPr>
        <w:t>do</w:t>
      </w:r>
      <w:r w:rsidR="009A0847">
        <w:rPr>
          <w:color w:val="000000" w:themeColor="text1"/>
        </w:rPr>
        <w:t xml:space="preserve"> </w:t>
      </w:r>
      <w:r w:rsidR="006605C8">
        <w:rPr>
          <w:color w:val="000000" w:themeColor="text1"/>
        </w:rPr>
        <w:t>not</w:t>
      </w:r>
      <w:r w:rsidR="009A0847">
        <w:rPr>
          <w:color w:val="000000" w:themeColor="text1"/>
        </w:rPr>
        <w:t xml:space="preserve"> </w:t>
      </w:r>
      <w:r w:rsidRPr="005F2F6A">
        <w:rPr>
          <w:color w:val="000000" w:themeColor="text1"/>
        </w:rPr>
        <w:t>have</w:t>
      </w:r>
      <w:r w:rsidR="009A0847">
        <w:rPr>
          <w:color w:val="000000" w:themeColor="text1"/>
        </w:rPr>
        <w:t xml:space="preserve"> </w:t>
      </w:r>
      <w:r w:rsidRPr="005F2F6A">
        <w:rPr>
          <w:color w:val="000000" w:themeColor="text1"/>
        </w:rPr>
        <w:t>data</w:t>
      </w:r>
      <w:r w:rsidR="009A0847">
        <w:rPr>
          <w:color w:val="000000" w:themeColor="text1"/>
        </w:rPr>
        <w:t xml:space="preserve"> </w:t>
      </w:r>
      <w:r w:rsidRPr="005F2F6A">
        <w:rPr>
          <w:color w:val="000000" w:themeColor="text1"/>
        </w:rPr>
        <w:t>to</w:t>
      </w:r>
      <w:r w:rsidR="009A0847">
        <w:rPr>
          <w:color w:val="000000" w:themeColor="text1"/>
        </w:rPr>
        <w:t xml:space="preserve"> </w:t>
      </w:r>
      <w:r w:rsidRPr="005F2F6A">
        <w:rPr>
          <w:color w:val="000000" w:themeColor="text1"/>
        </w:rPr>
        <w:t>study</w:t>
      </w:r>
      <w:r w:rsidR="009A0847">
        <w:rPr>
          <w:color w:val="000000" w:themeColor="text1"/>
        </w:rPr>
        <w:t xml:space="preserve"> </w:t>
      </w:r>
      <w:r w:rsidRPr="005F2F6A">
        <w:rPr>
          <w:color w:val="000000" w:themeColor="text1"/>
        </w:rPr>
        <w:t>the</w:t>
      </w:r>
      <w:r w:rsidR="009A0847">
        <w:rPr>
          <w:color w:val="000000" w:themeColor="text1"/>
        </w:rPr>
        <w:t xml:space="preserve"> </w:t>
      </w:r>
      <w:r w:rsidRPr="005F2F6A">
        <w:rPr>
          <w:color w:val="000000" w:themeColor="text1"/>
        </w:rPr>
        <w:t>phenomenon.</w:t>
      </w:r>
      <w:r w:rsidR="009A0847">
        <w:rPr>
          <w:color w:val="000000" w:themeColor="text1"/>
        </w:rPr>
        <w:t xml:space="preserve"> </w:t>
      </w:r>
      <w:r w:rsidR="009A23CE" w:rsidRPr="005F2F6A">
        <w:rPr>
          <w:color w:val="000000" w:themeColor="text1"/>
        </w:rPr>
        <w:t>In</w:t>
      </w:r>
      <w:r w:rsidR="009A0847">
        <w:rPr>
          <w:color w:val="000000" w:themeColor="text1"/>
        </w:rPr>
        <w:t xml:space="preserve"> </w:t>
      </w:r>
      <w:r w:rsidR="009A23CE" w:rsidRPr="005F2F6A">
        <w:rPr>
          <w:color w:val="000000" w:themeColor="text1"/>
        </w:rPr>
        <w:t>this</w:t>
      </w:r>
      <w:r w:rsidR="009A0847">
        <w:rPr>
          <w:color w:val="000000" w:themeColor="text1"/>
        </w:rPr>
        <w:t xml:space="preserve"> </w:t>
      </w:r>
      <w:r w:rsidR="009A23CE" w:rsidRPr="005F2F6A">
        <w:rPr>
          <w:color w:val="000000" w:themeColor="text1"/>
        </w:rPr>
        <w:t>context,</w:t>
      </w:r>
      <w:r w:rsidR="009A0847">
        <w:rPr>
          <w:color w:val="000000" w:themeColor="text1"/>
        </w:rPr>
        <w:t xml:space="preserve"> </w:t>
      </w:r>
      <w:r w:rsidR="009A23CE" w:rsidRPr="005F2F6A">
        <w:rPr>
          <w:color w:val="000000" w:themeColor="text1"/>
        </w:rPr>
        <w:t>experimental</w:t>
      </w:r>
      <w:r w:rsidR="009A0847">
        <w:rPr>
          <w:color w:val="000000" w:themeColor="text1"/>
        </w:rPr>
        <w:t xml:space="preserve"> </w:t>
      </w:r>
      <w:r w:rsidR="009A23CE" w:rsidRPr="005F2F6A">
        <w:rPr>
          <w:color w:val="000000" w:themeColor="text1"/>
        </w:rPr>
        <w:t>methods</w:t>
      </w:r>
      <w:r w:rsidR="009A0847">
        <w:rPr>
          <w:color w:val="000000" w:themeColor="text1"/>
        </w:rPr>
        <w:t xml:space="preserve"> </w:t>
      </w:r>
      <w:r w:rsidR="009A23CE" w:rsidRPr="005F2F6A">
        <w:rPr>
          <w:color w:val="000000" w:themeColor="text1"/>
        </w:rPr>
        <w:t>offer</w:t>
      </w:r>
      <w:r w:rsidR="009A0847">
        <w:rPr>
          <w:color w:val="000000" w:themeColor="text1"/>
        </w:rPr>
        <w:t xml:space="preserve"> </w:t>
      </w:r>
      <w:r w:rsidR="009A23CE" w:rsidRPr="005F2F6A">
        <w:rPr>
          <w:color w:val="000000" w:themeColor="text1"/>
        </w:rPr>
        <w:t>a</w:t>
      </w:r>
      <w:r w:rsidR="009A0847">
        <w:rPr>
          <w:color w:val="000000" w:themeColor="text1"/>
        </w:rPr>
        <w:t xml:space="preserve"> </w:t>
      </w:r>
      <w:r w:rsidR="009A23CE" w:rsidRPr="005F2F6A">
        <w:rPr>
          <w:color w:val="000000" w:themeColor="text1"/>
        </w:rPr>
        <w:t>unique</w:t>
      </w:r>
      <w:r w:rsidR="009A0847">
        <w:rPr>
          <w:color w:val="000000" w:themeColor="text1"/>
        </w:rPr>
        <w:t xml:space="preserve"> </w:t>
      </w:r>
      <w:r w:rsidR="009A23CE" w:rsidRPr="005F2F6A">
        <w:rPr>
          <w:color w:val="000000" w:themeColor="text1"/>
        </w:rPr>
        <w:t>opportunity</w:t>
      </w:r>
      <w:r w:rsidR="009A0847">
        <w:rPr>
          <w:color w:val="000000" w:themeColor="text1"/>
        </w:rPr>
        <w:t xml:space="preserve"> </w:t>
      </w:r>
      <w:r w:rsidR="009A23CE" w:rsidRPr="005F2F6A">
        <w:rPr>
          <w:color w:val="000000" w:themeColor="text1"/>
        </w:rPr>
        <w:t>to</w:t>
      </w:r>
      <w:r w:rsidR="009A0847">
        <w:rPr>
          <w:color w:val="000000" w:themeColor="text1"/>
        </w:rPr>
        <w:t xml:space="preserve"> </w:t>
      </w:r>
      <w:r w:rsidR="009A23CE" w:rsidRPr="005F2F6A">
        <w:rPr>
          <w:color w:val="000000" w:themeColor="text1"/>
        </w:rPr>
        <w:t>generate</w:t>
      </w:r>
      <w:r w:rsidR="009A0847">
        <w:rPr>
          <w:color w:val="000000" w:themeColor="text1"/>
        </w:rPr>
        <w:t xml:space="preserve"> </w:t>
      </w:r>
      <w:r w:rsidR="009A23CE" w:rsidRPr="005F2F6A">
        <w:rPr>
          <w:color w:val="000000" w:themeColor="text1"/>
        </w:rPr>
        <w:t>data</w:t>
      </w:r>
      <w:r w:rsidR="009A0847">
        <w:rPr>
          <w:color w:val="000000" w:themeColor="text1"/>
        </w:rPr>
        <w:t xml:space="preserve"> </w:t>
      </w:r>
      <w:r w:rsidR="00FE38B2" w:rsidRPr="005F2F6A">
        <w:rPr>
          <w:color w:val="000000" w:themeColor="text1"/>
        </w:rPr>
        <w:t>in</w:t>
      </w:r>
      <w:r w:rsidR="009A0847">
        <w:rPr>
          <w:color w:val="000000" w:themeColor="text1"/>
        </w:rPr>
        <w:t xml:space="preserve"> </w:t>
      </w:r>
      <w:r w:rsidR="00FE38B2" w:rsidRPr="005F2F6A">
        <w:rPr>
          <w:color w:val="000000" w:themeColor="text1"/>
        </w:rPr>
        <w:t>a</w:t>
      </w:r>
      <w:r w:rsidR="009A0847">
        <w:rPr>
          <w:color w:val="000000" w:themeColor="text1"/>
        </w:rPr>
        <w:t xml:space="preserve"> </w:t>
      </w:r>
      <w:r w:rsidR="00FE38B2" w:rsidRPr="005F2F6A">
        <w:rPr>
          <w:color w:val="000000" w:themeColor="text1"/>
        </w:rPr>
        <w:t>control</w:t>
      </w:r>
      <w:r w:rsidR="006605C8">
        <w:rPr>
          <w:color w:val="000000" w:themeColor="text1"/>
        </w:rPr>
        <w:t>led</w:t>
      </w:r>
      <w:r w:rsidR="009A0847">
        <w:rPr>
          <w:color w:val="000000" w:themeColor="text1"/>
        </w:rPr>
        <w:t xml:space="preserve"> </w:t>
      </w:r>
      <w:r w:rsidR="00FE38B2" w:rsidRPr="005F2F6A">
        <w:rPr>
          <w:color w:val="000000" w:themeColor="text1"/>
        </w:rPr>
        <w:t>environment</w:t>
      </w:r>
      <w:r w:rsidR="009A0847">
        <w:rPr>
          <w:color w:val="000000" w:themeColor="text1"/>
        </w:rPr>
        <w:t xml:space="preserve"> </w:t>
      </w:r>
      <w:r w:rsidR="00FE38B2" w:rsidRPr="005F2F6A">
        <w:rPr>
          <w:color w:val="000000" w:themeColor="text1"/>
        </w:rPr>
        <w:t>so</w:t>
      </w:r>
      <w:r w:rsidR="009A0847">
        <w:rPr>
          <w:color w:val="000000" w:themeColor="text1"/>
        </w:rPr>
        <w:t xml:space="preserve"> </w:t>
      </w:r>
      <w:r w:rsidR="00FE38B2" w:rsidRPr="005F2F6A">
        <w:rPr>
          <w:color w:val="000000" w:themeColor="text1"/>
        </w:rPr>
        <w:t>as</w:t>
      </w:r>
      <w:r w:rsidR="009A0847">
        <w:rPr>
          <w:color w:val="000000" w:themeColor="text1"/>
        </w:rPr>
        <w:t xml:space="preserve"> </w:t>
      </w:r>
      <w:r w:rsidR="00FE38B2" w:rsidRPr="005F2F6A">
        <w:rPr>
          <w:color w:val="000000" w:themeColor="text1"/>
        </w:rPr>
        <w:t>to</w:t>
      </w:r>
      <w:r w:rsidR="009A0847">
        <w:rPr>
          <w:color w:val="000000" w:themeColor="text1"/>
        </w:rPr>
        <w:t xml:space="preserve"> </w:t>
      </w:r>
      <w:r w:rsidR="009A23CE" w:rsidRPr="005F2F6A">
        <w:rPr>
          <w:color w:val="000000" w:themeColor="text1"/>
        </w:rPr>
        <w:t>better</w:t>
      </w:r>
      <w:r w:rsidR="009A0847">
        <w:rPr>
          <w:color w:val="000000" w:themeColor="text1"/>
        </w:rPr>
        <w:t xml:space="preserve"> </w:t>
      </w:r>
      <w:r w:rsidR="009A23CE" w:rsidRPr="005F2F6A">
        <w:rPr>
          <w:color w:val="000000" w:themeColor="text1"/>
        </w:rPr>
        <w:t>understand</w:t>
      </w:r>
      <w:r w:rsidR="009A0847">
        <w:rPr>
          <w:color w:val="000000" w:themeColor="text1"/>
        </w:rPr>
        <w:t xml:space="preserve"> </w:t>
      </w:r>
      <w:r w:rsidR="009A23CE" w:rsidRPr="005F2F6A">
        <w:rPr>
          <w:color w:val="000000" w:themeColor="text1"/>
        </w:rPr>
        <w:t>and</w:t>
      </w:r>
      <w:r w:rsidR="009A0847">
        <w:rPr>
          <w:color w:val="000000" w:themeColor="text1"/>
        </w:rPr>
        <w:t xml:space="preserve"> </w:t>
      </w:r>
      <w:r w:rsidR="009A23CE" w:rsidRPr="005F2F6A">
        <w:rPr>
          <w:color w:val="000000" w:themeColor="text1"/>
        </w:rPr>
        <w:t>mitigate</w:t>
      </w:r>
      <w:r w:rsidR="009A0847">
        <w:rPr>
          <w:color w:val="000000" w:themeColor="text1"/>
        </w:rPr>
        <w:t xml:space="preserve"> </w:t>
      </w:r>
      <w:r w:rsidR="006605C8" w:rsidRPr="005F2F6A">
        <w:rPr>
          <w:color w:val="000000" w:themeColor="text1"/>
        </w:rPr>
        <w:t>DW</w:t>
      </w:r>
      <w:r w:rsidR="009A0847">
        <w:rPr>
          <w:color w:val="000000" w:themeColor="text1"/>
        </w:rPr>
        <w:t xml:space="preserve"> </w:t>
      </w:r>
      <w:r w:rsidR="006605C8" w:rsidRPr="005F2F6A">
        <w:rPr>
          <w:color w:val="000000" w:themeColor="text1"/>
        </w:rPr>
        <w:t>stigma</w:t>
      </w:r>
      <w:r w:rsidR="009A23CE" w:rsidRPr="005F2F6A">
        <w:rPr>
          <w:color w:val="000000" w:themeColor="text1"/>
        </w:rPr>
        <w:t>.</w:t>
      </w:r>
      <w:r w:rsidR="009A0847">
        <w:rPr>
          <w:color w:val="000000" w:themeColor="text1"/>
        </w:rPr>
        <w:t xml:space="preserve"> </w:t>
      </w:r>
    </w:p>
    <w:p w14:paraId="5C97BBE2" w14:textId="566B2ED6" w:rsidR="006A6D23" w:rsidRPr="00C41565" w:rsidRDefault="00D93638" w:rsidP="00A3292A">
      <w:pPr>
        <w:pStyle w:val="Olivier1"/>
        <w:widowControl w:val="0"/>
        <w:ind w:firstLine="360"/>
        <w:rPr>
          <w:color w:val="000000" w:themeColor="text1"/>
        </w:rPr>
      </w:pPr>
      <w:r w:rsidRPr="005F2F6A">
        <w:rPr>
          <w:color w:val="000000" w:themeColor="text1"/>
        </w:rPr>
        <w:t>To</w:t>
      </w:r>
      <w:r w:rsidR="009A0847">
        <w:rPr>
          <w:color w:val="000000" w:themeColor="text1"/>
        </w:rPr>
        <w:t xml:space="preserve"> </w:t>
      </w:r>
      <w:r w:rsidRPr="005F2F6A">
        <w:rPr>
          <w:color w:val="000000" w:themeColor="text1"/>
        </w:rPr>
        <w:t>study</w:t>
      </w:r>
      <w:r w:rsidR="009A0847">
        <w:rPr>
          <w:color w:val="000000" w:themeColor="text1"/>
        </w:rPr>
        <w:t xml:space="preserve"> </w:t>
      </w:r>
      <w:r w:rsidRPr="005F2F6A">
        <w:rPr>
          <w:color w:val="000000" w:themeColor="text1"/>
        </w:rPr>
        <w:t>DW</w:t>
      </w:r>
      <w:r w:rsidR="009A0847">
        <w:rPr>
          <w:color w:val="000000" w:themeColor="text1"/>
        </w:rPr>
        <w:t xml:space="preserve"> </w:t>
      </w:r>
      <w:r w:rsidRPr="005F2F6A">
        <w:rPr>
          <w:color w:val="000000" w:themeColor="text1"/>
        </w:rPr>
        <w:t>stigma</w:t>
      </w:r>
      <w:r w:rsidR="009A0847">
        <w:rPr>
          <w:color w:val="000000" w:themeColor="text1"/>
        </w:rPr>
        <w:t xml:space="preserve"> </w:t>
      </w:r>
      <w:r w:rsidR="00700BF8" w:rsidRPr="005F2F6A">
        <w:rPr>
          <w:color w:val="000000" w:themeColor="text1"/>
        </w:rPr>
        <w:t>in</w:t>
      </w:r>
      <w:r w:rsidR="009A0847">
        <w:rPr>
          <w:color w:val="000000" w:themeColor="text1"/>
        </w:rPr>
        <w:t xml:space="preserve"> </w:t>
      </w:r>
      <w:r w:rsidR="00700BF8" w:rsidRPr="005F2F6A">
        <w:rPr>
          <w:color w:val="000000" w:themeColor="text1"/>
        </w:rPr>
        <w:t>the</w:t>
      </w:r>
      <w:r w:rsidR="009A0847">
        <w:rPr>
          <w:color w:val="000000" w:themeColor="text1"/>
        </w:rPr>
        <w:t xml:space="preserve"> </w:t>
      </w:r>
      <w:r w:rsidR="00700BF8" w:rsidRPr="005F2F6A">
        <w:rPr>
          <w:color w:val="000000" w:themeColor="text1"/>
        </w:rPr>
        <w:t>lab</w:t>
      </w:r>
      <w:r w:rsidR="006605C8">
        <w:rPr>
          <w:color w:val="000000" w:themeColor="text1"/>
        </w:rPr>
        <w:t>,</w:t>
      </w:r>
      <w:r w:rsidR="009A0847">
        <w:rPr>
          <w:color w:val="000000" w:themeColor="text1"/>
        </w:rPr>
        <w:t xml:space="preserve"> </w:t>
      </w:r>
      <w:r w:rsidRPr="005F2F6A">
        <w:rPr>
          <w:color w:val="000000" w:themeColor="text1"/>
        </w:rPr>
        <w:t>we</w:t>
      </w:r>
      <w:r w:rsidR="009A0847">
        <w:rPr>
          <w:color w:val="000000" w:themeColor="text1"/>
        </w:rPr>
        <w:t xml:space="preserve"> </w:t>
      </w:r>
      <w:r w:rsidRPr="005F2F6A">
        <w:rPr>
          <w:color w:val="000000" w:themeColor="text1"/>
        </w:rPr>
        <w:t>develop</w:t>
      </w:r>
      <w:r w:rsidR="009A0847">
        <w:rPr>
          <w:color w:val="000000" w:themeColor="text1"/>
        </w:rPr>
        <w:t xml:space="preserve"> </w:t>
      </w:r>
      <w:r w:rsidRPr="005F2F6A">
        <w:rPr>
          <w:color w:val="000000" w:themeColor="text1"/>
        </w:rPr>
        <w:t>a</w:t>
      </w:r>
      <w:r w:rsidR="009A0847">
        <w:rPr>
          <w:color w:val="000000" w:themeColor="text1"/>
        </w:rPr>
        <w:t xml:space="preserve"> </w:t>
      </w:r>
      <w:r w:rsidRPr="005F2F6A">
        <w:rPr>
          <w:color w:val="000000" w:themeColor="text1"/>
        </w:rPr>
        <w:t>coordination</w:t>
      </w:r>
      <w:r w:rsidR="009A0847">
        <w:rPr>
          <w:color w:val="000000" w:themeColor="text1"/>
        </w:rPr>
        <w:t xml:space="preserve"> </w:t>
      </w:r>
      <w:r w:rsidRPr="005F2F6A">
        <w:rPr>
          <w:color w:val="000000" w:themeColor="text1"/>
        </w:rPr>
        <w:t>game</w:t>
      </w:r>
      <w:r w:rsidR="009A0847">
        <w:rPr>
          <w:color w:val="000000" w:themeColor="text1"/>
        </w:rPr>
        <w:t xml:space="preserve"> </w:t>
      </w:r>
      <w:r w:rsidRPr="005F2F6A">
        <w:rPr>
          <w:color w:val="000000" w:themeColor="text1"/>
        </w:rPr>
        <w:t>with</w:t>
      </w:r>
      <w:r w:rsidR="009A0847">
        <w:rPr>
          <w:color w:val="000000" w:themeColor="text1"/>
        </w:rPr>
        <w:t xml:space="preserve"> </w:t>
      </w:r>
      <w:r w:rsidRPr="005F2F6A">
        <w:rPr>
          <w:color w:val="000000" w:themeColor="text1"/>
        </w:rPr>
        <w:t>adverse</w:t>
      </w:r>
      <w:r w:rsidR="009A0847">
        <w:rPr>
          <w:color w:val="000000" w:themeColor="text1"/>
        </w:rPr>
        <w:t xml:space="preserve"> </w:t>
      </w:r>
      <w:r w:rsidRPr="005F2F6A">
        <w:rPr>
          <w:color w:val="000000" w:themeColor="text1"/>
        </w:rPr>
        <w:t>selection.</w:t>
      </w:r>
      <w:r w:rsidR="009A0847">
        <w:rPr>
          <w:color w:val="000000" w:themeColor="text1"/>
        </w:rPr>
        <w:t xml:space="preserve"> </w:t>
      </w:r>
      <w:r w:rsidR="00A17B48">
        <w:rPr>
          <w:color w:val="000000" w:themeColor="text1"/>
        </w:rPr>
        <w:t>As</w:t>
      </w:r>
      <w:r w:rsidR="009A0847">
        <w:rPr>
          <w:color w:val="000000" w:themeColor="text1"/>
        </w:rPr>
        <w:t xml:space="preserve"> </w:t>
      </w:r>
      <w:r w:rsidR="00A17B48">
        <w:rPr>
          <w:color w:val="000000" w:themeColor="text1"/>
        </w:rPr>
        <w:t>explained</w:t>
      </w:r>
      <w:r w:rsidR="009A0847">
        <w:rPr>
          <w:color w:val="000000" w:themeColor="text1"/>
        </w:rPr>
        <w:t xml:space="preserve"> </w:t>
      </w:r>
      <w:r w:rsidR="00A17B48">
        <w:rPr>
          <w:color w:val="000000" w:themeColor="text1"/>
        </w:rPr>
        <w:t>in</w:t>
      </w:r>
      <w:r w:rsidR="009A0847">
        <w:rPr>
          <w:color w:val="000000" w:themeColor="text1"/>
        </w:rPr>
        <w:t xml:space="preserve"> </w:t>
      </w:r>
      <w:r w:rsidR="00A17B48">
        <w:rPr>
          <w:color w:val="000000" w:themeColor="text1"/>
        </w:rPr>
        <w:t>Section</w:t>
      </w:r>
      <w:r w:rsidR="009A0847">
        <w:rPr>
          <w:color w:val="000000" w:themeColor="text1"/>
        </w:rPr>
        <w:t xml:space="preserve"> </w:t>
      </w:r>
      <w:r w:rsidR="00A17B48">
        <w:rPr>
          <w:color w:val="000000" w:themeColor="text1"/>
        </w:rPr>
        <w:t>2</w:t>
      </w:r>
      <w:r w:rsidR="00010106" w:rsidRPr="005F2F6A">
        <w:rPr>
          <w:color w:val="000000" w:themeColor="text1"/>
        </w:rPr>
        <w:t>,</w:t>
      </w:r>
      <w:r w:rsidR="009A0847">
        <w:rPr>
          <w:color w:val="000000" w:themeColor="text1"/>
        </w:rPr>
        <w:t xml:space="preserve"> </w:t>
      </w:r>
      <w:r w:rsidR="00010106" w:rsidRPr="005F2F6A">
        <w:rPr>
          <w:color w:val="000000" w:themeColor="text1"/>
        </w:rPr>
        <w:t>there</w:t>
      </w:r>
      <w:r w:rsidR="009A0847">
        <w:rPr>
          <w:color w:val="000000" w:themeColor="text1"/>
        </w:rPr>
        <w:t xml:space="preserve"> </w:t>
      </w:r>
      <w:r w:rsidR="00010106" w:rsidRPr="005F2F6A">
        <w:rPr>
          <w:color w:val="000000" w:themeColor="text1"/>
        </w:rPr>
        <w:t>are</w:t>
      </w:r>
      <w:r w:rsidR="009A0847">
        <w:rPr>
          <w:color w:val="000000" w:themeColor="text1"/>
        </w:rPr>
        <w:t xml:space="preserve"> </w:t>
      </w:r>
      <w:r w:rsidR="00010106" w:rsidRPr="005F2F6A">
        <w:rPr>
          <w:color w:val="000000" w:themeColor="text1"/>
        </w:rPr>
        <w:t>two</w:t>
      </w:r>
      <w:r w:rsidR="009A0847">
        <w:rPr>
          <w:color w:val="000000" w:themeColor="text1"/>
        </w:rPr>
        <w:t xml:space="preserve"> </w:t>
      </w:r>
      <w:r w:rsidR="00010106" w:rsidRPr="005F2F6A">
        <w:rPr>
          <w:color w:val="000000" w:themeColor="text1"/>
        </w:rPr>
        <w:t>types</w:t>
      </w:r>
      <w:r w:rsidR="009A0847">
        <w:rPr>
          <w:color w:val="000000" w:themeColor="text1"/>
        </w:rPr>
        <w:t xml:space="preserve"> </w:t>
      </w:r>
      <w:r w:rsidR="00010106" w:rsidRPr="005F2F6A">
        <w:rPr>
          <w:color w:val="000000" w:themeColor="text1"/>
        </w:rPr>
        <w:t>of</w:t>
      </w:r>
      <w:r w:rsidR="009A0847">
        <w:rPr>
          <w:color w:val="000000" w:themeColor="text1"/>
        </w:rPr>
        <w:t xml:space="preserve"> </w:t>
      </w:r>
      <w:r w:rsidR="00010106" w:rsidRPr="005F2F6A">
        <w:rPr>
          <w:color w:val="000000" w:themeColor="text1"/>
        </w:rPr>
        <w:t>players,</w:t>
      </w:r>
      <w:r w:rsidR="009A0847">
        <w:rPr>
          <w:color w:val="000000" w:themeColor="text1"/>
        </w:rPr>
        <w:t xml:space="preserve"> </w:t>
      </w:r>
      <w:r w:rsidR="00010106" w:rsidRPr="005F2F6A">
        <w:rPr>
          <w:color w:val="000000" w:themeColor="text1"/>
        </w:rPr>
        <w:t>ba</w:t>
      </w:r>
      <w:r w:rsidR="000B3F08" w:rsidRPr="005F2F6A">
        <w:rPr>
          <w:color w:val="000000" w:themeColor="text1"/>
        </w:rPr>
        <w:t>nks</w:t>
      </w:r>
      <w:r w:rsidR="009A0847">
        <w:rPr>
          <w:color w:val="000000" w:themeColor="text1"/>
        </w:rPr>
        <w:t xml:space="preserve"> </w:t>
      </w:r>
      <w:r w:rsidR="000B3F08" w:rsidRPr="005F2F6A">
        <w:rPr>
          <w:color w:val="000000" w:themeColor="text1"/>
        </w:rPr>
        <w:t>and</w:t>
      </w:r>
      <w:r w:rsidR="009A0847">
        <w:rPr>
          <w:color w:val="000000" w:themeColor="text1"/>
        </w:rPr>
        <w:t xml:space="preserve"> </w:t>
      </w:r>
      <w:r w:rsidR="000B3F08" w:rsidRPr="005F2F6A">
        <w:rPr>
          <w:color w:val="000000" w:themeColor="text1"/>
        </w:rPr>
        <w:t>investors.</w:t>
      </w:r>
      <w:r w:rsidR="009A0847">
        <w:rPr>
          <w:color w:val="000000" w:themeColor="text1"/>
        </w:rPr>
        <w:t xml:space="preserve"> </w:t>
      </w:r>
      <w:r w:rsidR="000B3F08" w:rsidRPr="005F2F6A">
        <w:rPr>
          <w:color w:val="000000" w:themeColor="text1"/>
        </w:rPr>
        <w:t>The</w:t>
      </w:r>
      <w:r w:rsidR="009A0847">
        <w:rPr>
          <w:color w:val="000000" w:themeColor="text1"/>
        </w:rPr>
        <w:t xml:space="preserve"> </w:t>
      </w:r>
      <w:r w:rsidR="000B3F08" w:rsidRPr="005F2F6A">
        <w:rPr>
          <w:color w:val="000000" w:themeColor="text1"/>
        </w:rPr>
        <w:t>bank</w:t>
      </w:r>
      <w:r w:rsidR="009A0847">
        <w:rPr>
          <w:color w:val="000000" w:themeColor="text1"/>
        </w:rPr>
        <w:t xml:space="preserve"> </w:t>
      </w:r>
      <w:r w:rsidR="00010106" w:rsidRPr="005F2F6A">
        <w:rPr>
          <w:color w:val="000000" w:themeColor="text1"/>
        </w:rPr>
        <w:t>receive</w:t>
      </w:r>
      <w:r w:rsidR="000B3F08" w:rsidRPr="005F2F6A">
        <w:rPr>
          <w:color w:val="000000" w:themeColor="text1"/>
        </w:rPr>
        <w:t>s</w:t>
      </w:r>
      <w:r w:rsidR="009A0847">
        <w:rPr>
          <w:color w:val="000000" w:themeColor="text1"/>
        </w:rPr>
        <w:t xml:space="preserve"> </w:t>
      </w:r>
      <w:r w:rsidR="00ED0367">
        <w:rPr>
          <w:color w:val="000000" w:themeColor="text1"/>
        </w:rPr>
        <w:t>a</w:t>
      </w:r>
      <w:r w:rsidR="009A0847">
        <w:rPr>
          <w:color w:val="000000" w:themeColor="text1"/>
        </w:rPr>
        <w:t xml:space="preserve"> </w:t>
      </w:r>
      <w:r w:rsidR="006605C8">
        <w:rPr>
          <w:color w:val="000000" w:themeColor="text1"/>
        </w:rPr>
        <w:t>solvency</w:t>
      </w:r>
      <w:r w:rsidR="009A0847">
        <w:rPr>
          <w:color w:val="000000" w:themeColor="text1"/>
        </w:rPr>
        <w:t xml:space="preserve"> </w:t>
      </w:r>
      <w:r w:rsidR="00ED0367">
        <w:rPr>
          <w:color w:val="000000" w:themeColor="text1"/>
        </w:rPr>
        <w:t xml:space="preserve">shock </w:t>
      </w:r>
      <w:r w:rsidR="006605C8">
        <w:rPr>
          <w:color w:val="000000" w:themeColor="text1"/>
        </w:rPr>
        <w:t>and</w:t>
      </w:r>
      <w:r w:rsidR="009A0847">
        <w:rPr>
          <w:color w:val="000000" w:themeColor="text1"/>
        </w:rPr>
        <w:t xml:space="preserve"> </w:t>
      </w:r>
      <w:r w:rsidR="00ED0367">
        <w:rPr>
          <w:color w:val="000000" w:themeColor="text1"/>
        </w:rPr>
        <w:t xml:space="preserve">an </w:t>
      </w:r>
      <w:r w:rsidR="00010106" w:rsidRPr="005F2F6A">
        <w:rPr>
          <w:color w:val="000000" w:themeColor="text1"/>
        </w:rPr>
        <w:t>e</w:t>
      </w:r>
      <w:r w:rsidR="006605C8">
        <w:rPr>
          <w:color w:val="000000" w:themeColor="text1"/>
        </w:rPr>
        <w:t>nd-of-day</w:t>
      </w:r>
      <w:r w:rsidR="009A0847">
        <w:rPr>
          <w:color w:val="000000" w:themeColor="text1"/>
        </w:rPr>
        <w:t xml:space="preserve"> </w:t>
      </w:r>
      <w:r w:rsidR="006605C8">
        <w:rPr>
          <w:color w:val="000000" w:themeColor="text1"/>
        </w:rPr>
        <w:t>liquidity</w:t>
      </w:r>
      <w:r w:rsidR="009A0847">
        <w:rPr>
          <w:color w:val="000000" w:themeColor="text1"/>
        </w:rPr>
        <w:t xml:space="preserve"> </w:t>
      </w:r>
      <w:r w:rsidR="00ED0367">
        <w:rPr>
          <w:color w:val="000000" w:themeColor="text1"/>
        </w:rPr>
        <w:t>shock</w:t>
      </w:r>
      <w:r w:rsidR="009A0847">
        <w:rPr>
          <w:color w:val="000000" w:themeColor="text1"/>
        </w:rPr>
        <w:t xml:space="preserve"> </w:t>
      </w:r>
      <w:r w:rsidR="006605C8">
        <w:rPr>
          <w:color w:val="000000" w:themeColor="text1"/>
        </w:rPr>
        <w:t>that</w:t>
      </w:r>
      <w:r w:rsidR="009A0847">
        <w:rPr>
          <w:color w:val="000000" w:themeColor="text1"/>
        </w:rPr>
        <w:t xml:space="preserve"> </w:t>
      </w:r>
      <w:r w:rsidR="00010106" w:rsidRPr="005F2F6A">
        <w:rPr>
          <w:color w:val="000000" w:themeColor="text1"/>
        </w:rPr>
        <w:t>are</w:t>
      </w:r>
      <w:r w:rsidR="009A0847">
        <w:rPr>
          <w:color w:val="000000" w:themeColor="text1"/>
        </w:rPr>
        <w:t xml:space="preserve"> </w:t>
      </w:r>
      <w:r w:rsidR="00010106" w:rsidRPr="005F2F6A">
        <w:rPr>
          <w:color w:val="000000" w:themeColor="text1"/>
        </w:rPr>
        <w:t>private</w:t>
      </w:r>
      <w:r w:rsidR="009A0847">
        <w:rPr>
          <w:color w:val="000000" w:themeColor="text1"/>
        </w:rPr>
        <w:t xml:space="preserve"> </w:t>
      </w:r>
      <w:r w:rsidR="00010106" w:rsidRPr="005F2F6A">
        <w:rPr>
          <w:color w:val="000000" w:themeColor="text1"/>
        </w:rPr>
        <w:t>information.</w:t>
      </w:r>
      <w:r w:rsidR="009A0847">
        <w:rPr>
          <w:color w:val="000000" w:themeColor="text1"/>
        </w:rPr>
        <w:t xml:space="preserve"> </w:t>
      </w:r>
      <w:r w:rsidR="00010106" w:rsidRPr="005F2F6A">
        <w:rPr>
          <w:color w:val="000000" w:themeColor="text1"/>
        </w:rPr>
        <w:t>The</w:t>
      </w:r>
      <w:r w:rsidR="009A0847">
        <w:rPr>
          <w:color w:val="000000" w:themeColor="text1"/>
        </w:rPr>
        <w:t xml:space="preserve"> </w:t>
      </w:r>
      <w:r w:rsidRPr="005F2F6A">
        <w:rPr>
          <w:color w:val="000000" w:themeColor="text1"/>
        </w:rPr>
        <w:t>bank</w:t>
      </w:r>
      <w:r w:rsidR="009A0847">
        <w:rPr>
          <w:color w:val="000000" w:themeColor="text1"/>
        </w:rPr>
        <w:t xml:space="preserve"> </w:t>
      </w:r>
      <w:r w:rsidR="00010106" w:rsidRPr="005F2F6A">
        <w:rPr>
          <w:color w:val="000000" w:themeColor="text1"/>
        </w:rPr>
        <w:t>can</w:t>
      </w:r>
      <w:r w:rsidR="009A0847">
        <w:rPr>
          <w:color w:val="000000" w:themeColor="text1"/>
        </w:rPr>
        <w:t xml:space="preserve"> </w:t>
      </w:r>
      <w:r w:rsidR="00010106" w:rsidRPr="005F2F6A">
        <w:rPr>
          <w:color w:val="000000" w:themeColor="text1"/>
        </w:rPr>
        <w:t>address</w:t>
      </w:r>
      <w:r w:rsidR="009A0847">
        <w:rPr>
          <w:color w:val="000000" w:themeColor="text1"/>
        </w:rPr>
        <w:t xml:space="preserve"> </w:t>
      </w:r>
      <w:r w:rsidR="00010106" w:rsidRPr="005F2F6A">
        <w:rPr>
          <w:color w:val="000000" w:themeColor="text1"/>
        </w:rPr>
        <w:t>its</w:t>
      </w:r>
      <w:r w:rsidR="009A0847">
        <w:rPr>
          <w:color w:val="000000" w:themeColor="text1"/>
        </w:rPr>
        <w:t xml:space="preserve"> </w:t>
      </w:r>
      <w:r w:rsidR="00010106" w:rsidRPr="005F2F6A">
        <w:rPr>
          <w:color w:val="000000" w:themeColor="text1"/>
        </w:rPr>
        <w:t>liquidity</w:t>
      </w:r>
      <w:r w:rsidR="009A0847">
        <w:rPr>
          <w:color w:val="000000" w:themeColor="text1"/>
        </w:rPr>
        <w:t xml:space="preserve"> </w:t>
      </w:r>
      <w:r w:rsidR="00010106" w:rsidRPr="005F2F6A">
        <w:rPr>
          <w:color w:val="000000" w:themeColor="text1"/>
        </w:rPr>
        <w:t>shock</w:t>
      </w:r>
      <w:r w:rsidR="009A0847">
        <w:rPr>
          <w:color w:val="000000" w:themeColor="text1"/>
        </w:rPr>
        <w:t xml:space="preserve"> </w:t>
      </w:r>
      <w:r w:rsidR="00700BF8" w:rsidRPr="005F2F6A">
        <w:rPr>
          <w:color w:val="000000" w:themeColor="text1"/>
        </w:rPr>
        <w:t>either</w:t>
      </w:r>
      <w:r w:rsidR="009A0847">
        <w:rPr>
          <w:color w:val="000000" w:themeColor="text1"/>
        </w:rPr>
        <w:t xml:space="preserve"> </w:t>
      </w:r>
      <w:r w:rsidRPr="005F2F6A">
        <w:rPr>
          <w:color w:val="000000" w:themeColor="text1"/>
        </w:rPr>
        <w:t>at</w:t>
      </w:r>
      <w:r w:rsidR="009A0847">
        <w:rPr>
          <w:color w:val="000000" w:themeColor="text1"/>
        </w:rPr>
        <w:t xml:space="preserve"> </w:t>
      </w:r>
      <w:r w:rsidRPr="005F2F6A">
        <w:rPr>
          <w:color w:val="000000" w:themeColor="text1"/>
        </w:rPr>
        <w:t>the</w:t>
      </w:r>
      <w:r w:rsidR="009A0847">
        <w:rPr>
          <w:color w:val="000000" w:themeColor="text1"/>
        </w:rPr>
        <w:t xml:space="preserve"> </w:t>
      </w:r>
      <w:r w:rsidRPr="005F2F6A">
        <w:rPr>
          <w:color w:val="000000" w:themeColor="text1"/>
        </w:rPr>
        <w:t>DW</w:t>
      </w:r>
      <w:r w:rsidR="009A0847">
        <w:rPr>
          <w:color w:val="000000" w:themeColor="text1"/>
        </w:rPr>
        <w:t xml:space="preserve"> </w:t>
      </w:r>
      <w:r w:rsidRPr="005F2F6A">
        <w:rPr>
          <w:color w:val="000000" w:themeColor="text1"/>
        </w:rPr>
        <w:t>or</w:t>
      </w:r>
      <w:r w:rsidR="009A0847">
        <w:rPr>
          <w:color w:val="000000" w:themeColor="text1"/>
        </w:rPr>
        <w:t xml:space="preserve"> </w:t>
      </w:r>
      <w:r w:rsidR="00A7691C">
        <w:rPr>
          <w:color w:val="000000" w:themeColor="text1"/>
        </w:rPr>
        <w:t>with</w:t>
      </w:r>
      <w:r w:rsidR="009A0847">
        <w:rPr>
          <w:color w:val="000000" w:themeColor="text1"/>
        </w:rPr>
        <w:t xml:space="preserve"> </w:t>
      </w:r>
      <w:r w:rsidR="00A17B48">
        <w:rPr>
          <w:color w:val="000000" w:themeColor="text1"/>
        </w:rPr>
        <w:t>a</w:t>
      </w:r>
      <w:r w:rsidR="009A0847">
        <w:rPr>
          <w:color w:val="000000" w:themeColor="text1"/>
        </w:rPr>
        <w:t xml:space="preserve"> </w:t>
      </w:r>
      <w:r w:rsidR="003233AD">
        <w:rPr>
          <w:color w:val="000000" w:themeColor="text1"/>
        </w:rPr>
        <w:t>fire</w:t>
      </w:r>
      <w:r w:rsidR="009A0847">
        <w:rPr>
          <w:color w:val="000000" w:themeColor="text1"/>
        </w:rPr>
        <w:t xml:space="preserve"> </w:t>
      </w:r>
      <w:r w:rsidR="003233AD">
        <w:rPr>
          <w:color w:val="000000" w:themeColor="text1"/>
        </w:rPr>
        <w:t>sale</w:t>
      </w:r>
      <w:r w:rsidR="009A0847">
        <w:rPr>
          <w:color w:val="000000" w:themeColor="text1"/>
        </w:rPr>
        <w:t xml:space="preserve"> </w:t>
      </w:r>
      <w:r w:rsidR="006605C8">
        <w:rPr>
          <w:color w:val="000000" w:themeColor="text1"/>
        </w:rPr>
        <w:t>of</w:t>
      </w:r>
      <w:r w:rsidR="009A0847">
        <w:rPr>
          <w:color w:val="000000" w:themeColor="text1"/>
        </w:rPr>
        <w:t xml:space="preserve"> </w:t>
      </w:r>
      <w:r w:rsidR="006605C8">
        <w:rPr>
          <w:color w:val="000000" w:themeColor="text1"/>
        </w:rPr>
        <w:t>assets</w:t>
      </w:r>
      <w:r w:rsidR="00700BF8" w:rsidRPr="005F2F6A">
        <w:rPr>
          <w:color w:val="000000" w:themeColor="text1"/>
        </w:rPr>
        <w:t>.</w:t>
      </w:r>
      <w:r w:rsidR="009A0847">
        <w:rPr>
          <w:color w:val="000000" w:themeColor="text1"/>
        </w:rPr>
        <w:t xml:space="preserve"> </w:t>
      </w:r>
      <w:r w:rsidRPr="005F2F6A">
        <w:rPr>
          <w:color w:val="000000" w:themeColor="text1"/>
        </w:rPr>
        <w:t>DW</w:t>
      </w:r>
      <w:r w:rsidR="009A0847">
        <w:rPr>
          <w:color w:val="000000" w:themeColor="text1"/>
        </w:rPr>
        <w:t xml:space="preserve"> </w:t>
      </w:r>
      <w:r w:rsidR="00700BF8" w:rsidRPr="005F2F6A">
        <w:rPr>
          <w:color w:val="000000" w:themeColor="text1"/>
        </w:rPr>
        <w:t>borrowing</w:t>
      </w:r>
      <w:r w:rsidR="009A0847">
        <w:rPr>
          <w:color w:val="000000" w:themeColor="text1"/>
        </w:rPr>
        <w:t xml:space="preserve"> </w:t>
      </w:r>
      <w:r w:rsidR="00700BF8" w:rsidRPr="005F2F6A">
        <w:rPr>
          <w:color w:val="000000" w:themeColor="text1"/>
        </w:rPr>
        <w:t>is</w:t>
      </w:r>
      <w:r w:rsidR="009A0847">
        <w:rPr>
          <w:color w:val="000000" w:themeColor="text1"/>
        </w:rPr>
        <w:t xml:space="preserve"> </w:t>
      </w:r>
      <w:r w:rsidR="00700BF8" w:rsidRPr="005F2F6A">
        <w:rPr>
          <w:color w:val="000000" w:themeColor="text1"/>
        </w:rPr>
        <w:t>less</w:t>
      </w:r>
      <w:r w:rsidR="009A0847">
        <w:rPr>
          <w:color w:val="000000" w:themeColor="text1"/>
        </w:rPr>
        <w:t xml:space="preserve"> </w:t>
      </w:r>
      <w:r w:rsidR="00700BF8" w:rsidRPr="005F2F6A">
        <w:rPr>
          <w:color w:val="000000" w:themeColor="text1"/>
        </w:rPr>
        <w:t>costly</w:t>
      </w:r>
      <w:r w:rsidR="009A0847">
        <w:rPr>
          <w:color w:val="000000" w:themeColor="text1"/>
        </w:rPr>
        <w:t xml:space="preserve"> </w:t>
      </w:r>
      <w:r w:rsidRPr="005F2F6A">
        <w:rPr>
          <w:color w:val="000000" w:themeColor="text1"/>
        </w:rPr>
        <w:t>than</w:t>
      </w:r>
      <w:r w:rsidR="009A0847">
        <w:rPr>
          <w:color w:val="000000" w:themeColor="text1"/>
        </w:rPr>
        <w:t xml:space="preserve"> </w:t>
      </w:r>
      <w:r w:rsidRPr="005F2F6A">
        <w:rPr>
          <w:color w:val="000000" w:themeColor="text1"/>
        </w:rPr>
        <w:t>the</w:t>
      </w:r>
      <w:r w:rsidR="009A0847">
        <w:rPr>
          <w:color w:val="000000" w:themeColor="text1"/>
        </w:rPr>
        <w:t xml:space="preserve"> </w:t>
      </w:r>
      <w:r w:rsidRPr="005F2F6A">
        <w:rPr>
          <w:color w:val="000000" w:themeColor="text1"/>
        </w:rPr>
        <w:t>alternative</w:t>
      </w:r>
      <w:r w:rsidR="00700BF8" w:rsidRPr="005F2F6A">
        <w:rPr>
          <w:color w:val="000000" w:themeColor="text1"/>
        </w:rPr>
        <w:t>,</w:t>
      </w:r>
      <w:r w:rsidR="009A0847">
        <w:rPr>
          <w:color w:val="000000" w:themeColor="text1"/>
        </w:rPr>
        <w:t xml:space="preserve"> </w:t>
      </w:r>
      <w:r w:rsidR="00C142BD" w:rsidRPr="005F2F6A">
        <w:rPr>
          <w:color w:val="000000" w:themeColor="text1"/>
        </w:rPr>
        <w:t>but</w:t>
      </w:r>
      <w:r w:rsidR="009A0847">
        <w:rPr>
          <w:color w:val="000000" w:themeColor="text1"/>
        </w:rPr>
        <w:t xml:space="preserve"> </w:t>
      </w:r>
      <w:r w:rsidR="00C142BD" w:rsidRPr="005F2F6A">
        <w:rPr>
          <w:color w:val="000000" w:themeColor="text1"/>
        </w:rPr>
        <w:t>it</w:t>
      </w:r>
      <w:r w:rsidR="009A0847">
        <w:rPr>
          <w:color w:val="000000" w:themeColor="text1"/>
        </w:rPr>
        <w:t xml:space="preserve"> </w:t>
      </w:r>
      <w:r w:rsidR="00C41565">
        <w:rPr>
          <w:color w:val="000000" w:themeColor="text1"/>
        </w:rPr>
        <w:t>may</w:t>
      </w:r>
      <w:r w:rsidR="009A0847">
        <w:rPr>
          <w:color w:val="000000" w:themeColor="text1"/>
        </w:rPr>
        <w:t xml:space="preserve"> </w:t>
      </w:r>
      <w:r w:rsidR="00C41565">
        <w:rPr>
          <w:color w:val="000000" w:themeColor="text1"/>
        </w:rPr>
        <w:t>be</w:t>
      </w:r>
      <w:r w:rsidR="009A0847">
        <w:rPr>
          <w:color w:val="000000" w:themeColor="text1"/>
        </w:rPr>
        <w:t xml:space="preserve"> </w:t>
      </w:r>
      <w:r w:rsidR="00C41565">
        <w:rPr>
          <w:color w:val="000000" w:themeColor="text1"/>
        </w:rPr>
        <w:t>detected</w:t>
      </w:r>
      <w:r w:rsidR="009A0847">
        <w:rPr>
          <w:color w:val="000000" w:themeColor="text1"/>
        </w:rPr>
        <w:t xml:space="preserve"> </w:t>
      </w:r>
      <w:r w:rsidR="000B3F08" w:rsidRPr="005F2F6A">
        <w:rPr>
          <w:color w:val="000000" w:themeColor="text1"/>
        </w:rPr>
        <w:t>by</w:t>
      </w:r>
      <w:r w:rsidR="009A0847">
        <w:rPr>
          <w:color w:val="000000" w:themeColor="text1"/>
        </w:rPr>
        <w:t xml:space="preserve"> </w:t>
      </w:r>
      <w:r w:rsidR="000B3F08" w:rsidRPr="005F2F6A">
        <w:rPr>
          <w:color w:val="000000" w:themeColor="text1"/>
        </w:rPr>
        <w:t>the</w:t>
      </w:r>
      <w:r w:rsidR="009A0847">
        <w:rPr>
          <w:color w:val="000000" w:themeColor="text1"/>
        </w:rPr>
        <w:t xml:space="preserve"> </w:t>
      </w:r>
      <w:r w:rsidRPr="005F2F6A">
        <w:rPr>
          <w:color w:val="000000" w:themeColor="text1"/>
        </w:rPr>
        <w:t>investor</w:t>
      </w:r>
      <w:r w:rsidR="009A0847">
        <w:rPr>
          <w:color w:val="000000" w:themeColor="text1"/>
        </w:rPr>
        <w:t xml:space="preserve"> </w:t>
      </w:r>
      <w:r w:rsidR="00A7691C">
        <w:rPr>
          <w:color w:val="000000" w:themeColor="text1"/>
        </w:rPr>
        <w:t>who</w:t>
      </w:r>
      <w:r w:rsidR="009A0847">
        <w:rPr>
          <w:color w:val="000000" w:themeColor="text1"/>
        </w:rPr>
        <w:t xml:space="preserve"> </w:t>
      </w:r>
      <w:r w:rsidR="00A7691C">
        <w:rPr>
          <w:color w:val="000000" w:themeColor="text1"/>
        </w:rPr>
        <w:t>must</w:t>
      </w:r>
      <w:r w:rsidR="009A0847">
        <w:rPr>
          <w:color w:val="000000" w:themeColor="text1"/>
        </w:rPr>
        <w:t xml:space="preserve"> </w:t>
      </w:r>
      <w:r w:rsidR="00A7691C">
        <w:rPr>
          <w:color w:val="000000" w:themeColor="text1"/>
        </w:rPr>
        <w:t>decide</w:t>
      </w:r>
      <w:r w:rsidR="009A0847">
        <w:rPr>
          <w:color w:val="000000" w:themeColor="text1"/>
        </w:rPr>
        <w:t xml:space="preserve"> </w:t>
      </w:r>
      <w:r w:rsidR="00A7691C">
        <w:rPr>
          <w:color w:val="000000" w:themeColor="text1"/>
        </w:rPr>
        <w:t>whether</w:t>
      </w:r>
      <w:r w:rsidR="009A0847">
        <w:rPr>
          <w:color w:val="000000" w:themeColor="text1"/>
        </w:rPr>
        <w:t xml:space="preserve"> </w:t>
      </w:r>
      <w:r w:rsidR="00A7691C">
        <w:rPr>
          <w:color w:val="000000" w:themeColor="text1"/>
        </w:rPr>
        <w:t>or</w:t>
      </w:r>
      <w:r w:rsidR="009A0847">
        <w:rPr>
          <w:color w:val="000000" w:themeColor="text1"/>
        </w:rPr>
        <w:t xml:space="preserve"> </w:t>
      </w:r>
      <w:r w:rsidR="00A7691C">
        <w:rPr>
          <w:color w:val="000000" w:themeColor="text1"/>
        </w:rPr>
        <w:t>not</w:t>
      </w:r>
      <w:r w:rsidR="009A0847">
        <w:rPr>
          <w:color w:val="000000" w:themeColor="text1"/>
        </w:rPr>
        <w:t xml:space="preserve"> </w:t>
      </w:r>
      <w:r w:rsidR="00A7691C">
        <w:rPr>
          <w:color w:val="000000" w:themeColor="text1"/>
        </w:rPr>
        <w:t>to</w:t>
      </w:r>
      <w:r w:rsidR="009A0847">
        <w:rPr>
          <w:color w:val="000000" w:themeColor="text1"/>
        </w:rPr>
        <w:t xml:space="preserve"> </w:t>
      </w:r>
      <w:r w:rsidR="00113F65">
        <w:rPr>
          <w:color w:val="000000" w:themeColor="text1"/>
        </w:rPr>
        <w:t>fund</w:t>
      </w:r>
      <w:r w:rsidR="009A0847">
        <w:rPr>
          <w:color w:val="000000" w:themeColor="text1"/>
        </w:rPr>
        <w:t xml:space="preserve"> </w:t>
      </w:r>
      <w:r w:rsidR="00A7691C">
        <w:rPr>
          <w:color w:val="000000" w:themeColor="text1"/>
        </w:rPr>
        <w:t>the</w:t>
      </w:r>
      <w:r w:rsidR="009A0847">
        <w:rPr>
          <w:color w:val="000000" w:themeColor="text1"/>
        </w:rPr>
        <w:t xml:space="preserve"> </w:t>
      </w:r>
      <w:r w:rsidR="00A7691C">
        <w:rPr>
          <w:color w:val="000000" w:themeColor="text1"/>
        </w:rPr>
        <w:t>bank</w:t>
      </w:r>
      <w:r w:rsidRPr="005F2F6A">
        <w:rPr>
          <w:color w:val="000000" w:themeColor="text1"/>
        </w:rPr>
        <w:t>.</w:t>
      </w:r>
      <w:r w:rsidR="009A0847">
        <w:rPr>
          <w:color w:val="000000" w:themeColor="text1"/>
        </w:rPr>
        <w:t xml:space="preserve"> </w:t>
      </w:r>
      <w:r w:rsidR="00A62E16" w:rsidRPr="005F2F6A">
        <w:rPr>
          <w:color w:val="000000" w:themeColor="text1"/>
        </w:rPr>
        <w:t>Because</w:t>
      </w:r>
      <w:r w:rsidR="009A0847">
        <w:rPr>
          <w:color w:val="000000" w:themeColor="text1"/>
        </w:rPr>
        <w:t xml:space="preserve"> </w:t>
      </w:r>
      <w:r w:rsidR="00700BF8" w:rsidRPr="005F2F6A">
        <w:rPr>
          <w:color w:val="000000" w:themeColor="text1"/>
        </w:rPr>
        <w:t>liquidity</w:t>
      </w:r>
      <w:r w:rsidR="009A0847">
        <w:rPr>
          <w:color w:val="000000" w:themeColor="text1"/>
        </w:rPr>
        <w:t xml:space="preserve"> </w:t>
      </w:r>
      <w:r w:rsidR="00700BF8" w:rsidRPr="005F2F6A">
        <w:rPr>
          <w:color w:val="000000" w:themeColor="text1"/>
        </w:rPr>
        <w:t>is</w:t>
      </w:r>
      <w:r w:rsidR="009A0847">
        <w:rPr>
          <w:color w:val="000000" w:themeColor="text1"/>
        </w:rPr>
        <w:t xml:space="preserve"> </w:t>
      </w:r>
      <w:r w:rsidR="00700BF8" w:rsidRPr="005F2F6A">
        <w:rPr>
          <w:color w:val="000000" w:themeColor="text1"/>
        </w:rPr>
        <w:t>informative</w:t>
      </w:r>
      <w:r w:rsidR="009A0847">
        <w:rPr>
          <w:color w:val="000000" w:themeColor="text1"/>
        </w:rPr>
        <w:t xml:space="preserve"> </w:t>
      </w:r>
      <w:r w:rsidR="00700BF8" w:rsidRPr="005F2F6A">
        <w:rPr>
          <w:color w:val="000000" w:themeColor="text1"/>
        </w:rPr>
        <w:t>about</w:t>
      </w:r>
      <w:r w:rsidR="009A0847">
        <w:rPr>
          <w:color w:val="000000" w:themeColor="text1"/>
        </w:rPr>
        <w:t xml:space="preserve"> </w:t>
      </w:r>
      <w:r w:rsidR="00700BF8" w:rsidRPr="005F2F6A">
        <w:rPr>
          <w:color w:val="000000" w:themeColor="text1"/>
        </w:rPr>
        <w:t>solvency</w:t>
      </w:r>
      <w:r w:rsidR="00A62E16" w:rsidRPr="005F2F6A">
        <w:rPr>
          <w:color w:val="000000" w:themeColor="text1"/>
        </w:rPr>
        <w:t>,</w:t>
      </w:r>
      <w:r w:rsidR="009A0847">
        <w:rPr>
          <w:color w:val="000000" w:themeColor="text1"/>
        </w:rPr>
        <w:t xml:space="preserve"> </w:t>
      </w:r>
      <w:r w:rsidR="006605C8">
        <w:rPr>
          <w:color w:val="000000" w:themeColor="text1"/>
        </w:rPr>
        <w:t>the</w:t>
      </w:r>
      <w:r w:rsidR="009A0847">
        <w:rPr>
          <w:color w:val="000000" w:themeColor="text1"/>
        </w:rPr>
        <w:t xml:space="preserve"> </w:t>
      </w:r>
      <w:r w:rsidR="006605C8">
        <w:rPr>
          <w:color w:val="000000" w:themeColor="text1"/>
        </w:rPr>
        <w:t>investor</w:t>
      </w:r>
      <w:r w:rsidR="009A0847">
        <w:rPr>
          <w:color w:val="000000" w:themeColor="text1"/>
        </w:rPr>
        <w:t xml:space="preserve"> </w:t>
      </w:r>
      <w:r w:rsidR="006605C8">
        <w:rPr>
          <w:color w:val="000000" w:themeColor="text1"/>
        </w:rPr>
        <w:t>may</w:t>
      </w:r>
      <w:r w:rsidR="009A0847">
        <w:rPr>
          <w:color w:val="000000" w:themeColor="text1"/>
        </w:rPr>
        <w:t xml:space="preserve"> </w:t>
      </w:r>
      <w:r w:rsidR="00700BF8" w:rsidRPr="005F2F6A">
        <w:rPr>
          <w:color w:val="000000" w:themeColor="text1"/>
        </w:rPr>
        <w:t>decide</w:t>
      </w:r>
      <w:r w:rsidR="009A0847">
        <w:rPr>
          <w:color w:val="000000" w:themeColor="text1"/>
        </w:rPr>
        <w:t xml:space="preserve"> </w:t>
      </w:r>
      <w:r w:rsidR="00700BF8" w:rsidRPr="005F2F6A">
        <w:rPr>
          <w:color w:val="000000" w:themeColor="text1"/>
        </w:rPr>
        <w:t>not</w:t>
      </w:r>
      <w:r w:rsidR="009A0847">
        <w:rPr>
          <w:color w:val="000000" w:themeColor="text1"/>
        </w:rPr>
        <w:t xml:space="preserve"> </w:t>
      </w:r>
      <w:r w:rsidR="00700BF8" w:rsidRPr="005F2F6A">
        <w:rPr>
          <w:color w:val="000000" w:themeColor="text1"/>
        </w:rPr>
        <w:t>to</w:t>
      </w:r>
      <w:r w:rsidR="009A0847">
        <w:rPr>
          <w:color w:val="000000" w:themeColor="text1"/>
        </w:rPr>
        <w:t xml:space="preserve"> </w:t>
      </w:r>
      <w:r w:rsidR="00113F65">
        <w:rPr>
          <w:color w:val="000000" w:themeColor="text1"/>
        </w:rPr>
        <w:t>fund</w:t>
      </w:r>
      <w:r w:rsidR="009A0847">
        <w:rPr>
          <w:color w:val="000000" w:themeColor="text1"/>
        </w:rPr>
        <w:t xml:space="preserve"> </w:t>
      </w:r>
      <w:r w:rsidR="00A7691C">
        <w:rPr>
          <w:color w:val="000000" w:themeColor="text1"/>
        </w:rPr>
        <w:t>a</w:t>
      </w:r>
      <w:r w:rsidR="009A0847">
        <w:rPr>
          <w:color w:val="000000" w:themeColor="text1"/>
        </w:rPr>
        <w:t xml:space="preserve"> </w:t>
      </w:r>
      <w:r w:rsidR="00C41565">
        <w:rPr>
          <w:color w:val="000000" w:themeColor="text1"/>
        </w:rPr>
        <w:t>detected</w:t>
      </w:r>
      <w:r w:rsidR="009A0847">
        <w:rPr>
          <w:color w:val="000000" w:themeColor="text1"/>
        </w:rPr>
        <w:t xml:space="preserve"> </w:t>
      </w:r>
      <w:r w:rsidR="00700BF8" w:rsidRPr="005F2F6A">
        <w:rPr>
          <w:color w:val="000000" w:themeColor="text1"/>
        </w:rPr>
        <w:t>bank.</w:t>
      </w:r>
      <w:r w:rsidR="009A0847">
        <w:rPr>
          <w:color w:val="000000" w:themeColor="text1"/>
        </w:rPr>
        <w:t xml:space="preserve"> </w:t>
      </w:r>
      <w:r w:rsidR="00700BF8" w:rsidRPr="005F2F6A">
        <w:rPr>
          <w:color w:val="000000" w:themeColor="text1"/>
        </w:rPr>
        <w:t>This</w:t>
      </w:r>
      <w:r w:rsidR="009A0847">
        <w:rPr>
          <w:color w:val="000000" w:themeColor="text1"/>
        </w:rPr>
        <w:t xml:space="preserve"> </w:t>
      </w:r>
      <w:r w:rsidR="00700BF8" w:rsidRPr="005F2F6A">
        <w:rPr>
          <w:color w:val="000000" w:themeColor="text1"/>
        </w:rPr>
        <w:t>may</w:t>
      </w:r>
      <w:r w:rsidR="009A0847">
        <w:rPr>
          <w:color w:val="000000" w:themeColor="text1"/>
        </w:rPr>
        <w:t xml:space="preserve"> </w:t>
      </w:r>
      <w:r w:rsidR="00700BF8" w:rsidRPr="005F2F6A">
        <w:rPr>
          <w:color w:val="000000" w:themeColor="text1"/>
        </w:rPr>
        <w:t>produce</w:t>
      </w:r>
      <w:r w:rsidR="009A0847">
        <w:rPr>
          <w:color w:val="000000" w:themeColor="text1"/>
        </w:rPr>
        <w:t xml:space="preserve"> </w:t>
      </w:r>
      <w:r w:rsidR="00700BF8" w:rsidRPr="005F2F6A">
        <w:rPr>
          <w:color w:val="000000" w:themeColor="text1"/>
        </w:rPr>
        <w:t>DW</w:t>
      </w:r>
      <w:r w:rsidR="009A0847">
        <w:rPr>
          <w:color w:val="000000" w:themeColor="text1"/>
        </w:rPr>
        <w:t xml:space="preserve"> </w:t>
      </w:r>
      <w:r w:rsidR="00700BF8" w:rsidRPr="005F2F6A">
        <w:rPr>
          <w:color w:val="000000" w:themeColor="text1"/>
        </w:rPr>
        <w:t>stigma,</w:t>
      </w:r>
      <w:r w:rsidR="009A0847">
        <w:rPr>
          <w:color w:val="000000" w:themeColor="text1"/>
        </w:rPr>
        <w:t xml:space="preserve"> </w:t>
      </w:r>
      <w:r w:rsidR="00700BF8" w:rsidRPr="005F2F6A">
        <w:rPr>
          <w:color w:val="000000" w:themeColor="text1"/>
        </w:rPr>
        <w:t>as</w:t>
      </w:r>
      <w:r w:rsidR="009A0847">
        <w:rPr>
          <w:color w:val="000000" w:themeColor="text1"/>
        </w:rPr>
        <w:t xml:space="preserve"> </w:t>
      </w:r>
      <w:r w:rsidR="00700BF8" w:rsidRPr="005F2F6A">
        <w:rPr>
          <w:color w:val="000000" w:themeColor="text1"/>
        </w:rPr>
        <w:t>the</w:t>
      </w:r>
      <w:r w:rsidR="009A0847">
        <w:rPr>
          <w:color w:val="000000" w:themeColor="text1"/>
        </w:rPr>
        <w:t xml:space="preserve"> </w:t>
      </w:r>
      <w:r w:rsidR="00700BF8" w:rsidRPr="005F2F6A">
        <w:rPr>
          <w:color w:val="000000" w:themeColor="text1"/>
        </w:rPr>
        <w:t>bank</w:t>
      </w:r>
      <w:r w:rsidR="009A0847">
        <w:rPr>
          <w:color w:val="000000" w:themeColor="text1"/>
        </w:rPr>
        <w:t xml:space="preserve"> </w:t>
      </w:r>
      <w:r w:rsidR="00700BF8" w:rsidRPr="005F2F6A">
        <w:rPr>
          <w:color w:val="000000" w:themeColor="text1"/>
        </w:rPr>
        <w:t>may</w:t>
      </w:r>
      <w:r w:rsidR="009A0847">
        <w:rPr>
          <w:color w:val="000000" w:themeColor="text1"/>
        </w:rPr>
        <w:t xml:space="preserve"> </w:t>
      </w:r>
      <w:r w:rsidR="00700BF8" w:rsidRPr="005F2F6A">
        <w:rPr>
          <w:color w:val="000000" w:themeColor="text1"/>
        </w:rPr>
        <w:t>prefer</w:t>
      </w:r>
      <w:r w:rsidR="009A0847">
        <w:rPr>
          <w:color w:val="000000" w:themeColor="text1"/>
        </w:rPr>
        <w:t xml:space="preserve"> </w:t>
      </w:r>
      <w:r w:rsidR="00700BF8" w:rsidRPr="005F2F6A">
        <w:rPr>
          <w:color w:val="000000" w:themeColor="text1"/>
        </w:rPr>
        <w:t>to</w:t>
      </w:r>
      <w:r w:rsidR="009A0847">
        <w:rPr>
          <w:color w:val="000000" w:themeColor="text1"/>
        </w:rPr>
        <w:t xml:space="preserve"> </w:t>
      </w:r>
      <w:r w:rsidR="00700BF8" w:rsidRPr="005F2F6A">
        <w:rPr>
          <w:color w:val="000000" w:themeColor="text1"/>
        </w:rPr>
        <w:t>pay</w:t>
      </w:r>
      <w:r w:rsidR="009A0847">
        <w:rPr>
          <w:color w:val="000000" w:themeColor="text1"/>
        </w:rPr>
        <w:t xml:space="preserve"> </w:t>
      </w:r>
      <w:r w:rsidR="00700BF8" w:rsidRPr="005F2F6A">
        <w:rPr>
          <w:color w:val="000000" w:themeColor="text1"/>
        </w:rPr>
        <w:t>the</w:t>
      </w:r>
      <w:r w:rsidR="009A0847">
        <w:rPr>
          <w:color w:val="000000" w:themeColor="text1"/>
        </w:rPr>
        <w:t xml:space="preserve"> </w:t>
      </w:r>
      <w:r w:rsidR="00700BF8" w:rsidRPr="005F2F6A">
        <w:rPr>
          <w:color w:val="000000" w:themeColor="text1"/>
        </w:rPr>
        <w:t>higher</w:t>
      </w:r>
      <w:r w:rsidR="009A0847">
        <w:rPr>
          <w:color w:val="000000" w:themeColor="text1"/>
        </w:rPr>
        <w:t xml:space="preserve"> </w:t>
      </w:r>
      <w:r w:rsidR="00700BF8" w:rsidRPr="005F2F6A">
        <w:rPr>
          <w:color w:val="000000" w:themeColor="text1"/>
        </w:rPr>
        <w:t>cost</w:t>
      </w:r>
      <w:r w:rsidR="009A0847">
        <w:rPr>
          <w:color w:val="000000" w:themeColor="text1"/>
        </w:rPr>
        <w:t xml:space="preserve"> </w:t>
      </w:r>
      <w:r w:rsidR="00A17B48">
        <w:rPr>
          <w:color w:val="000000" w:themeColor="text1"/>
        </w:rPr>
        <w:t>of</w:t>
      </w:r>
      <w:r w:rsidR="009A0847">
        <w:rPr>
          <w:color w:val="000000" w:themeColor="text1"/>
        </w:rPr>
        <w:t xml:space="preserve"> </w:t>
      </w:r>
      <w:r w:rsidR="00A17B48">
        <w:rPr>
          <w:color w:val="000000" w:themeColor="text1"/>
        </w:rPr>
        <w:t>a</w:t>
      </w:r>
      <w:r w:rsidR="009A0847">
        <w:rPr>
          <w:color w:val="000000" w:themeColor="text1"/>
        </w:rPr>
        <w:t xml:space="preserve"> </w:t>
      </w:r>
      <w:r w:rsidR="003233AD">
        <w:rPr>
          <w:color w:val="000000" w:themeColor="text1"/>
        </w:rPr>
        <w:t>fire</w:t>
      </w:r>
      <w:r w:rsidR="009A0847">
        <w:rPr>
          <w:color w:val="000000" w:themeColor="text1"/>
        </w:rPr>
        <w:t xml:space="preserve"> </w:t>
      </w:r>
      <w:r w:rsidR="003233AD">
        <w:rPr>
          <w:color w:val="000000" w:themeColor="text1"/>
        </w:rPr>
        <w:t>sale</w:t>
      </w:r>
      <w:r w:rsidR="009A0847">
        <w:rPr>
          <w:color w:val="000000" w:themeColor="text1"/>
        </w:rPr>
        <w:t xml:space="preserve"> </w:t>
      </w:r>
      <w:r w:rsidR="00700BF8" w:rsidRPr="005F2F6A">
        <w:rPr>
          <w:color w:val="000000" w:themeColor="text1"/>
        </w:rPr>
        <w:t>to</w:t>
      </w:r>
      <w:r w:rsidR="009A0847">
        <w:rPr>
          <w:color w:val="000000" w:themeColor="text1"/>
        </w:rPr>
        <w:t xml:space="preserve"> </w:t>
      </w:r>
      <w:r w:rsidR="00113F65">
        <w:rPr>
          <w:color w:val="000000" w:themeColor="text1"/>
        </w:rPr>
        <w:t xml:space="preserve">remain undetected and </w:t>
      </w:r>
      <w:r w:rsidR="00C142BD" w:rsidRPr="005F2F6A">
        <w:rPr>
          <w:color w:val="000000" w:themeColor="text1"/>
        </w:rPr>
        <w:t>improve</w:t>
      </w:r>
      <w:r w:rsidR="009A0847">
        <w:rPr>
          <w:color w:val="000000" w:themeColor="text1"/>
        </w:rPr>
        <w:t xml:space="preserve"> </w:t>
      </w:r>
      <w:r w:rsidR="00C142BD" w:rsidRPr="005F2F6A">
        <w:rPr>
          <w:color w:val="000000" w:themeColor="text1"/>
        </w:rPr>
        <w:t>its</w:t>
      </w:r>
      <w:r w:rsidR="009A0847">
        <w:rPr>
          <w:color w:val="000000" w:themeColor="text1"/>
        </w:rPr>
        <w:t xml:space="preserve"> </w:t>
      </w:r>
      <w:r w:rsidR="00C142BD" w:rsidRPr="005F2F6A">
        <w:rPr>
          <w:color w:val="000000" w:themeColor="text1"/>
        </w:rPr>
        <w:t>chances</w:t>
      </w:r>
      <w:r w:rsidR="009A0847">
        <w:rPr>
          <w:color w:val="000000" w:themeColor="text1"/>
        </w:rPr>
        <w:t xml:space="preserve"> </w:t>
      </w:r>
      <w:r w:rsidR="00C142BD" w:rsidRPr="005F2F6A">
        <w:rPr>
          <w:color w:val="000000" w:themeColor="text1"/>
        </w:rPr>
        <w:t>of</w:t>
      </w:r>
      <w:r w:rsidR="009A0847">
        <w:rPr>
          <w:color w:val="000000" w:themeColor="text1"/>
        </w:rPr>
        <w:t xml:space="preserve"> </w:t>
      </w:r>
      <w:r w:rsidR="00C142BD" w:rsidRPr="005F2F6A">
        <w:rPr>
          <w:color w:val="000000" w:themeColor="text1"/>
        </w:rPr>
        <w:t>being</w:t>
      </w:r>
      <w:r w:rsidR="009A0847">
        <w:rPr>
          <w:color w:val="000000" w:themeColor="text1"/>
        </w:rPr>
        <w:t xml:space="preserve"> </w:t>
      </w:r>
      <w:r w:rsidR="00700BF8" w:rsidRPr="005F2F6A">
        <w:rPr>
          <w:color w:val="000000" w:themeColor="text1"/>
        </w:rPr>
        <w:t>funded.</w:t>
      </w:r>
      <w:r w:rsidR="009A0847">
        <w:rPr>
          <w:color w:val="000000" w:themeColor="text1"/>
        </w:rPr>
        <w:t xml:space="preserve"> </w:t>
      </w:r>
      <w:r w:rsidR="00C41565">
        <w:rPr>
          <w:color w:val="000000" w:themeColor="text1"/>
        </w:rPr>
        <w:t>An</w:t>
      </w:r>
      <w:r w:rsidR="009A0847">
        <w:rPr>
          <w:color w:val="000000" w:themeColor="text1"/>
        </w:rPr>
        <w:t xml:space="preserve"> </w:t>
      </w:r>
      <w:r w:rsidR="00C41565">
        <w:rPr>
          <w:color w:val="000000" w:themeColor="text1"/>
        </w:rPr>
        <w:t>original</w:t>
      </w:r>
      <w:r w:rsidR="009A0847">
        <w:rPr>
          <w:color w:val="000000" w:themeColor="text1"/>
        </w:rPr>
        <w:t xml:space="preserve"> </w:t>
      </w:r>
      <w:r w:rsidR="00C41565">
        <w:rPr>
          <w:color w:val="000000" w:themeColor="text1"/>
        </w:rPr>
        <w:t>feature</w:t>
      </w:r>
      <w:r w:rsidR="009A0847">
        <w:rPr>
          <w:color w:val="000000" w:themeColor="text1"/>
        </w:rPr>
        <w:t xml:space="preserve"> </w:t>
      </w:r>
      <w:r w:rsidR="00C41565">
        <w:rPr>
          <w:color w:val="000000" w:themeColor="text1"/>
        </w:rPr>
        <w:t>of</w:t>
      </w:r>
      <w:r w:rsidR="009A0847">
        <w:rPr>
          <w:color w:val="000000" w:themeColor="text1"/>
        </w:rPr>
        <w:t xml:space="preserve"> </w:t>
      </w:r>
      <w:r w:rsidR="00C41565">
        <w:rPr>
          <w:color w:val="000000" w:themeColor="text1"/>
        </w:rPr>
        <w:t>the</w:t>
      </w:r>
      <w:r w:rsidR="009A0847">
        <w:rPr>
          <w:color w:val="000000" w:themeColor="text1"/>
        </w:rPr>
        <w:t xml:space="preserve"> </w:t>
      </w:r>
      <w:r w:rsidR="00C142BD" w:rsidRPr="005F2F6A">
        <w:rPr>
          <w:color w:val="000000" w:themeColor="text1"/>
        </w:rPr>
        <w:t>model</w:t>
      </w:r>
      <w:r w:rsidR="009A0847">
        <w:rPr>
          <w:color w:val="000000" w:themeColor="text1"/>
        </w:rPr>
        <w:t xml:space="preserve"> </w:t>
      </w:r>
      <w:r w:rsidR="00C142BD" w:rsidRPr="005F2F6A">
        <w:rPr>
          <w:color w:val="000000" w:themeColor="text1"/>
        </w:rPr>
        <w:t>is</w:t>
      </w:r>
      <w:r w:rsidR="009A0847">
        <w:rPr>
          <w:color w:val="000000" w:themeColor="text1"/>
        </w:rPr>
        <w:t xml:space="preserve"> </w:t>
      </w:r>
      <w:r w:rsidR="00C142BD" w:rsidRPr="005F2F6A">
        <w:rPr>
          <w:color w:val="000000" w:themeColor="text1"/>
        </w:rPr>
        <w:t>that,</w:t>
      </w:r>
      <w:r w:rsidR="009A0847">
        <w:rPr>
          <w:color w:val="000000" w:themeColor="text1"/>
        </w:rPr>
        <w:t xml:space="preserve"> </w:t>
      </w:r>
      <w:r w:rsidR="00C142BD" w:rsidRPr="005F2F6A">
        <w:rPr>
          <w:color w:val="000000" w:themeColor="text1"/>
        </w:rPr>
        <w:t>consistent</w:t>
      </w:r>
      <w:r w:rsidR="009A0847">
        <w:rPr>
          <w:color w:val="000000" w:themeColor="text1"/>
        </w:rPr>
        <w:t xml:space="preserve"> </w:t>
      </w:r>
      <w:r w:rsidR="00C142BD" w:rsidRPr="005F2F6A">
        <w:rPr>
          <w:color w:val="000000" w:themeColor="text1"/>
        </w:rPr>
        <w:t>with</w:t>
      </w:r>
      <w:r w:rsidR="009A0847">
        <w:rPr>
          <w:color w:val="000000" w:themeColor="text1"/>
        </w:rPr>
        <w:t xml:space="preserve"> </w:t>
      </w:r>
      <w:r w:rsidR="00C142BD" w:rsidRPr="005F2F6A">
        <w:rPr>
          <w:color w:val="000000" w:themeColor="text1"/>
        </w:rPr>
        <w:t>practitioners’</w:t>
      </w:r>
      <w:r w:rsidR="009A0847">
        <w:rPr>
          <w:color w:val="000000" w:themeColor="text1"/>
        </w:rPr>
        <w:t xml:space="preserve"> </w:t>
      </w:r>
      <w:r w:rsidR="00C142BD" w:rsidRPr="005F2F6A">
        <w:rPr>
          <w:color w:val="000000" w:themeColor="text1"/>
        </w:rPr>
        <w:t>beliefs</w:t>
      </w:r>
      <w:r w:rsidR="009A0847">
        <w:rPr>
          <w:color w:val="000000" w:themeColor="text1"/>
        </w:rPr>
        <w:t xml:space="preserve"> </w:t>
      </w:r>
      <w:r w:rsidR="00A17B48">
        <w:rPr>
          <w:color w:val="000000" w:themeColor="text1"/>
        </w:rPr>
        <w:t>(</w:t>
      </w:r>
      <w:r w:rsidR="006605C8">
        <w:rPr>
          <w:color w:val="000000" w:themeColor="text1"/>
        </w:rPr>
        <w:t>Moore</w:t>
      </w:r>
      <w:r w:rsidR="009A0847">
        <w:rPr>
          <w:color w:val="000000" w:themeColor="text1"/>
        </w:rPr>
        <w:t xml:space="preserve"> </w:t>
      </w:r>
      <w:r w:rsidR="006605C8">
        <w:rPr>
          <w:color w:val="000000" w:themeColor="text1"/>
        </w:rPr>
        <w:t>2017</w:t>
      </w:r>
      <w:r w:rsidR="00A17B48">
        <w:rPr>
          <w:color w:val="000000" w:themeColor="text1"/>
        </w:rPr>
        <w:t>)</w:t>
      </w:r>
      <w:r w:rsidR="00C142BD" w:rsidRPr="005F2F6A">
        <w:rPr>
          <w:color w:val="000000" w:themeColor="text1"/>
        </w:rPr>
        <w:t>,</w:t>
      </w:r>
      <w:r w:rsidR="009A0847">
        <w:rPr>
          <w:color w:val="000000" w:themeColor="text1"/>
        </w:rPr>
        <w:t xml:space="preserve"> </w:t>
      </w:r>
      <w:r w:rsidR="00C41565">
        <w:rPr>
          <w:color w:val="000000" w:themeColor="text1"/>
        </w:rPr>
        <w:t>the</w:t>
      </w:r>
      <w:r w:rsidR="009A0847">
        <w:rPr>
          <w:color w:val="000000" w:themeColor="text1"/>
        </w:rPr>
        <w:t xml:space="preserve"> </w:t>
      </w:r>
      <w:r w:rsidR="00C142BD" w:rsidRPr="005F2F6A">
        <w:rPr>
          <w:color w:val="000000" w:themeColor="text1"/>
        </w:rPr>
        <w:t>detection</w:t>
      </w:r>
      <w:r w:rsidR="009A0847">
        <w:rPr>
          <w:color w:val="000000" w:themeColor="text1"/>
        </w:rPr>
        <w:t xml:space="preserve"> </w:t>
      </w:r>
      <w:r w:rsidR="00C142BD" w:rsidRPr="005F2F6A">
        <w:rPr>
          <w:color w:val="000000" w:themeColor="text1"/>
        </w:rPr>
        <w:t>probability</w:t>
      </w:r>
      <w:r w:rsidR="009A0847">
        <w:rPr>
          <w:color w:val="000000" w:themeColor="text1"/>
        </w:rPr>
        <w:t xml:space="preserve"> </w:t>
      </w:r>
      <w:r w:rsidR="00C142BD" w:rsidRPr="005F2F6A">
        <w:rPr>
          <w:color w:val="000000" w:themeColor="text1"/>
        </w:rPr>
        <w:t>decreas</w:t>
      </w:r>
      <w:r w:rsidR="00D13289">
        <w:rPr>
          <w:color w:val="000000" w:themeColor="text1"/>
        </w:rPr>
        <w:t>es</w:t>
      </w:r>
      <w:r w:rsidR="009A0847">
        <w:rPr>
          <w:color w:val="000000" w:themeColor="text1"/>
        </w:rPr>
        <w:t xml:space="preserve"> </w:t>
      </w:r>
      <w:r w:rsidR="00D13289">
        <w:rPr>
          <w:color w:val="000000" w:themeColor="text1"/>
        </w:rPr>
        <w:t>with</w:t>
      </w:r>
      <w:r w:rsidR="009A0847">
        <w:rPr>
          <w:color w:val="000000" w:themeColor="text1"/>
        </w:rPr>
        <w:t xml:space="preserve"> </w:t>
      </w:r>
      <w:r w:rsidR="00C142BD" w:rsidRPr="005F2F6A">
        <w:rPr>
          <w:color w:val="000000" w:themeColor="text1"/>
        </w:rPr>
        <w:t>the</w:t>
      </w:r>
      <w:r w:rsidR="009A0847">
        <w:rPr>
          <w:color w:val="000000" w:themeColor="text1"/>
        </w:rPr>
        <w:t xml:space="preserve"> </w:t>
      </w:r>
      <w:r w:rsidR="00C142BD" w:rsidRPr="005F2F6A">
        <w:rPr>
          <w:color w:val="000000" w:themeColor="text1"/>
        </w:rPr>
        <w:t>number</w:t>
      </w:r>
      <w:r w:rsidR="009A0847">
        <w:rPr>
          <w:color w:val="000000" w:themeColor="text1"/>
        </w:rPr>
        <w:t xml:space="preserve"> </w:t>
      </w:r>
      <w:r w:rsidR="00C142BD" w:rsidRPr="005F2F6A">
        <w:rPr>
          <w:color w:val="000000" w:themeColor="text1"/>
        </w:rPr>
        <w:t>of</w:t>
      </w:r>
      <w:r w:rsidR="009A0847">
        <w:rPr>
          <w:color w:val="000000" w:themeColor="text1"/>
        </w:rPr>
        <w:t xml:space="preserve"> </w:t>
      </w:r>
      <w:r w:rsidR="00C142BD" w:rsidRPr="005F2F6A">
        <w:rPr>
          <w:color w:val="000000" w:themeColor="text1"/>
        </w:rPr>
        <w:t>DW</w:t>
      </w:r>
      <w:r w:rsidR="009A0847">
        <w:rPr>
          <w:color w:val="000000" w:themeColor="text1"/>
        </w:rPr>
        <w:t xml:space="preserve"> </w:t>
      </w:r>
      <w:r w:rsidR="00113F65">
        <w:rPr>
          <w:color w:val="000000" w:themeColor="text1"/>
        </w:rPr>
        <w:t>borrowers</w:t>
      </w:r>
      <w:r w:rsidR="00C142BD" w:rsidRPr="005F2F6A">
        <w:rPr>
          <w:color w:val="000000" w:themeColor="text1"/>
        </w:rPr>
        <w:t>.</w:t>
      </w:r>
      <w:r w:rsidR="009A0847">
        <w:rPr>
          <w:color w:val="000000" w:themeColor="text1"/>
        </w:rPr>
        <w:t xml:space="preserve"> </w:t>
      </w:r>
      <w:r w:rsidR="00D13289">
        <w:rPr>
          <w:color w:val="000000" w:themeColor="text1"/>
        </w:rPr>
        <w:t>This</w:t>
      </w:r>
      <w:r w:rsidR="009A0847">
        <w:rPr>
          <w:color w:val="000000" w:themeColor="text1"/>
        </w:rPr>
        <w:t xml:space="preserve"> </w:t>
      </w:r>
      <w:r w:rsidR="00D13289">
        <w:rPr>
          <w:color w:val="000000" w:themeColor="text1"/>
        </w:rPr>
        <w:t>creates</w:t>
      </w:r>
      <w:r w:rsidR="009A0847">
        <w:rPr>
          <w:color w:val="000000" w:themeColor="text1"/>
        </w:rPr>
        <w:t xml:space="preserve"> </w:t>
      </w:r>
      <w:r w:rsidR="00D13289">
        <w:rPr>
          <w:color w:val="000000" w:themeColor="text1"/>
        </w:rPr>
        <w:t>a</w:t>
      </w:r>
      <w:r w:rsidR="009A0847">
        <w:rPr>
          <w:color w:val="000000" w:themeColor="text1"/>
        </w:rPr>
        <w:t xml:space="preserve"> </w:t>
      </w:r>
      <w:r w:rsidR="00D13289">
        <w:rPr>
          <w:color w:val="000000" w:themeColor="text1"/>
        </w:rPr>
        <w:t>coordination</w:t>
      </w:r>
      <w:r w:rsidR="009A0847">
        <w:rPr>
          <w:color w:val="000000" w:themeColor="text1"/>
        </w:rPr>
        <w:t xml:space="preserve"> </w:t>
      </w:r>
      <w:r w:rsidR="00D13289">
        <w:rPr>
          <w:color w:val="000000" w:themeColor="text1"/>
        </w:rPr>
        <w:t>problem</w:t>
      </w:r>
      <w:r w:rsidR="009A0847">
        <w:rPr>
          <w:color w:val="000000" w:themeColor="text1"/>
        </w:rPr>
        <w:t xml:space="preserve"> </w:t>
      </w:r>
      <w:r w:rsidR="00D13289">
        <w:rPr>
          <w:color w:val="000000" w:themeColor="text1"/>
        </w:rPr>
        <w:t>for</w:t>
      </w:r>
      <w:r w:rsidR="009A0847">
        <w:rPr>
          <w:color w:val="000000" w:themeColor="text1"/>
        </w:rPr>
        <w:t xml:space="preserve"> </w:t>
      </w:r>
      <w:r w:rsidR="000B3F08" w:rsidRPr="005F2F6A">
        <w:rPr>
          <w:color w:val="000000" w:themeColor="text1"/>
        </w:rPr>
        <w:t>banks</w:t>
      </w:r>
      <w:r w:rsidR="009A0847">
        <w:rPr>
          <w:color w:val="000000" w:themeColor="text1"/>
        </w:rPr>
        <w:t xml:space="preserve"> </w:t>
      </w:r>
      <w:r w:rsidR="000B3F08" w:rsidRPr="005F2F6A">
        <w:rPr>
          <w:color w:val="000000" w:themeColor="text1"/>
        </w:rPr>
        <w:t>and</w:t>
      </w:r>
      <w:r w:rsidR="009A0847">
        <w:rPr>
          <w:color w:val="000000" w:themeColor="text1"/>
        </w:rPr>
        <w:t xml:space="preserve"> </w:t>
      </w:r>
      <w:r w:rsidR="00C142BD" w:rsidRPr="005F2F6A">
        <w:rPr>
          <w:color w:val="000000" w:themeColor="text1"/>
        </w:rPr>
        <w:t>two</w:t>
      </w:r>
      <w:r w:rsidR="009A0847">
        <w:rPr>
          <w:color w:val="000000" w:themeColor="text1"/>
        </w:rPr>
        <w:t xml:space="preserve"> </w:t>
      </w:r>
      <w:r w:rsidR="00C142BD" w:rsidRPr="005F2F6A">
        <w:rPr>
          <w:color w:val="000000" w:themeColor="text1"/>
        </w:rPr>
        <w:t>pure</w:t>
      </w:r>
      <w:r w:rsidR="009A0847">
        <w:rPr>
          <w:color w:val="000000" w:themeColor="text1"/>
        </w:rPr>
        <w:t xml:space="preserve"> </w:t>
      </w:r>
      <w:r w:rsidR="00C142BD" w:rsidRPr="005F2F6A">
        <w:rPr>
          <w:color w:val="000000" w:themeColor="text1"/>
        </w:rPr>
        <w:t>strategy</w:t>
      </w:r>
      <w:r w:rsidR="009A0847">
        <w:rPr>
          <w:color w:val="000000" w:themeColor="text1"/>
        </w:rPr>
        <w:t xml:space="preserve"> </w:t>
      </w:r>
      <w:r w:rsidR="00C142BD" w:rsidRPr="005F2F6A">
        <w:rPr>
          <w:color w:val="000000" w:themeColor="text1"/>
        </w:rPr>
        <w:t>equilib</w:t>
      </w:r>
      <w:r w:rsidR="00B85F98" w:rsidRPr="005F2F6A">
        <w:rPr>
          <w:color w:val="000000" w:themeColor="text1"/>
        </w:rPr>
        <w:t>ria:</w:t>
      </w:r>
      <w:r w:rsidR="009A0847">
        <w:rPr>
          <w:color w:val="000000" w:themeColor="text1"/>
        </w:rPr>
        <w:t xml:space="preserve"> </w:t>
      </w:r>
      <w:r w:rsidR="00B85F98" w:rsidRPr="005F2F6A">
        <w:rPr>
          <w:color w:val="000000" w:themeColor="text1"/>
        </w:rPr>
        <w:t>a</w:t>
      </w:r>
      <w:r w:rsidR="009A0847">
        <w:rPr>
          <w:color w:val="000000" w:themeColor="text1"/>
        </w:rPr>
        <w:t xml:space="preserve"> </w:t>
      </w:r>
      <w:r w:rsidR="00D13289">
        <w:rPr>
          <w:color w:val="000000" w:themeColor="text1"/>
        </w:rPr>
        <w:t>stigma-</w:t>
      </w:r>
      <w:r w:rsidR="00C142BD" w:rsidRPr="005F2F6A">
        <w:rPr>
          <w:color w:val="000000" w:themeColor="text1"/>
        </w:rPr>
        <w:t>free</w:t>
      </w:r>
      <w:r w:rsidR="009A0847">
        <w:rPr>
          <w:color w:val="000000" w:themeColor="text1"/>
        </w:rPr>
        <w:t xml:space="preserve"> </w:t>
      </w:r>
      <w:r w:rsidR="00C142BD" w:rsidRPr="005F2F6A">
        <w:rPr>
          <w:color w:val="000000" w:themeColor="text1"/>
        </w:rPr>
        <w:t>equ</w:t>
      </w:r>
      <w:r w:rsidR="00FA6855" w:rsidRPr="005F2F6A">
        <w:rPr>
          <w:color w:val="000000" w:themeColor="text1"/>
        </w:rPr>
        <w:t>i</w:t>
      </w:r>
      <w:r w:rsidR="0071159B" w:rsidRPr="005F2F6A">
        <w:rPr>
          <w:color w:val="000000" w:themeColor="text1"/>
        </w:rPr>
        <w:t>librium</w:t>
      </w:r>
      <w:r w:rsidR="009A0847">
        <w:rPr>
          <w:color w:val="000000" w:themeColor="text1"/>
        </w:rPr>
        <w:t xml:space="preserve"> </w:t>
      </w:r>
      <w:r w:rsidR="00B85F98" w:rsidRPr="005F2F6A">
        <w:rPr>
          <w:color w:val="000000" w:themeColor="text1"/>
        </w:rPr>
        <w:t>under</w:t>
      </w:r>
      <w:r w:rsidR="009A0847">
        <w:rPr>
          <w:color w:val="000000" w:themeColor="text1"/>
        </w:rPr>
        <w:t xml:space="preserve"> </w:t>
      </w:r>
      <w:r w:rsidR="00B85F98" w:rsidRPr="005F2F6A">
        <w:rPr>
          <w:color w:val="000000" w:themeColor="text1"/>
        </w:rPr>
        <w:t>which</w:t>
      </w:r>
      <w:r w:rsidR="009A0847">
        <w:rPr>
          <w:color w:val="000000" w:themeColor="text1"/>
        </w:rPr>
        <w:t xml:space="preserve"> </w:t>
      </w:r>
      <w:r w:rsidR="00B85F98" w:rsidRPr="005F2F6A">
        <w:rPr>
          <w:color w:val="000000" w:themeColor="text1"/>
        </w:rPr>
        <w:t>every</w:t>
      </w:r>
      <w:r w:rsidR="009A0847">
        <w:rPr>
          <w:color w:val="000000" w:themeColor="text1"/>
        </w:rPr>
        <w:t xml:space="preserve"> </w:t>
      </w:r>
      <w:r w:rsidR="00B85F98" w:rsidRPr="005F2F6A">
        <w:rPr>
          <w:color w:val="000000" w:themeColor="text1"/>
        </w:rPr>
        <w:t>illiquid</w:t>
      </w:r>
      <w:r w:rsidR="009A0847">
        <w:rPr>
          <w:color w:val="000000" w:themeColor="text1"/>
        </w:rPr>
        <w:t xml:space="preserve"> </w:t>
      </w:r>
      <w:r w:rsidR="00B85F98" w:rsidRPr="005F2F6A">
        <w:rPr>
          <w:color w:val="000000" w:themeColor="text1"/>
        </w:rPr>
        <w:t>bank</w:t>
      </w:r>
      <w:r w:rsidR="009A0847">
        <w:rPr>
          <w:color w:val="000000" w:themeColor="text1"/>
        </w:rPr>
        <w:t xml:space="preserve"> </w:t>
      </w:r>
      <w:r w:rsidR="00C142BD" w:rsidRPr="005F2F6A">
        <w:rPr>
          <w:color w:val="000000" w:themeColor="text1"/>
        </w:rPr>
        <w:t>borrow</w:t>
      </w:r>
      <w:r w:rsidR="00B85F98" w:rsidRPr="005F2F6A">
        <w:rPr>
          <w:color w:val="000000" w:themeColor="text1"/>
        </w:rPr>
        <w:t>s</w:t>
      </w:r>
      <w:r w:rsidR="009A0847">
        <w:rPr>
          <w:color w:val="000000" w:themeColor="text1"/>
        </w:rPr>
        <w:t xml:space="preserve"> </w:t>
      </w:r>
      <w:r w:rsidR="00C142BD" w:rsidRPr="005F2F6A">
        <w:rPr>
          <w:color w:val="000000" w:themeColor="text1"/>
        </w:rPr>
        <w:t>at</w:t>
      </w:r>
      <w:r w:rsidR="009A0847">
        <w:rPr>
          <w:color w:val="000000" w:themeColor="text1"/>
        </w:rPr>
        <w:t xml:space="preserve"> </w:t>
      </w:r>
      <w:r w:rsidR="00C142BD" w:rsidRPr="005F2F6A">
        <w:rPr>
          <w:color w:val="000000" w:themeColor="text1"/>
        </w:rPr>
        <w:t>the</w:t>
      </w:r>
      <w:r w:rsidR="009A0847">
        <w:rPr>
          <w:color w:val="000000" w:themeColor="text1"/>
        </w:rPr>
        <w:t xml:space="preserve"> </w:t>
      </w:r>
      <w:r w:rsidR="00C142BD" w:rsidRPr="005F2F6A">
        <w:rPr>
          <w:color w:val="000000" w:themeColor="text1"/>
        </w:rPr>
        <w:t>DW</w:t>
      </w:r>
      <w:r w:rsidR="009A0847">
        <w:rPr>
          <w:color w:val="000000" w:themeColor="text1"/>
        </w:rPr>
        <w:t xml:space="preserve"> </w:t>
      </w:r>
      <w:r w:rsidR="00B85F98" w:rsidRPr="005F2F6A">
        <w:rPr>
          <w:color w:val="000000" w:themeColor="text1"/>
        </w:rPr>
        <w:t>and</w:t>
      </w:r>
      <w:r w:rsidR="009A0847">
        <w:rPr>
          <w:color w:val="000000" w:themeColor="text1"/>
        </w:rPr>
        <w:t xml:space="preserve"> </w:t>
      </w:r>
      <w:r w:rsidR="00B85F98" w:rsidRPr="005F2F6A">
        <w:rPr>
          <w:color w:val="000000" w:themeColor="text1"/>
        </w:rPr>
        <w:t>a</w:t>
      </w:r>
      <w:r w:rsidR="009A0847">
        <w:rPr>
          <w:color w:val="000000" w:themeColor="text1"/>
        </w:rPr>
        <w:t xml:space="preserve"> </w:t>
      </w:r>
      <w:r w:rsidR="00C142BD" w:rsidRPr="005F2F6A">
        <w:rPr>
          <w:color w:val="000000" w:themeColor="text1"/>
        </w:rPr>
        <w:t>st</w:t>
      </w:r>
      <w:r w:rsidR="00D13289">
        <w:rPr>
          <w:color w:val="000000" w:themeColor="text1"/>
        </w:rPr>
        <w:t>igma</w:t>
      </w:r>
      <w:r w:rsidR="009A0847">
        <w:rPr>
          <w:color w:val="000000" w:themeColor="text1"/>
        </w:rPr>
        <w:t xml:space="preserve"> </w:t>
      </w:r>
      <w:r w:rsidR="00D13289">
        <w:rPr>
          <w:color w:val="000000" w:themeColor="text1"/>
        </w:rPr>
        <w:t>equilibrium</w:t>
      </w:r>
      <w:r w:rsidR="009A0847">
        <w:rPr>
          <w:color w:val="000000" w:themeColor="text1"/>
        </w:rPr>
        <w:t xml:space="preserve"> </w:t>
      </w:r>
      <w:r w:rsidR="00D13289">
        <w:rPr>
          <w:color w:val="000000" w:themeColor="text1"/>
        </w:rPr>
        <w:t>under</w:t>
      </w:r>
      <w:r w:rsidR="009A0847">
        <w:rPr>
          <w:color w:val="000000" w:themeColor="text1"/>
        </w:rPr>
        <w:t xml:space="preserve"> </w:t>
      </w:r>
      <w:r w:rsidR="00D13289">
        <w:rPr>
          <w:color w:val="000000" w:themeColor="text1"/>
        </w:rPr>
        <w:t>which</w:t>
      </w:r>
      <w:r w:rsidR="009A0847">
        <w:rPr>
          <w:color w:val="000000" w:themeColor="text1"/>
        </w:rPr>
        <w:t xml:space="preserve"> </w:t>
      </w:r>
      <w:r w:rsidR="00C142BD" w:rsidRPr="00C41565">
        <w:rPr>
          <w:color w:val="000000" w:themeColor="text1"/>
        </w:rPr>
        <w:t>the</w:t>
      </w:r>
      <w:r w:rsidR="009A0847">
        <w:rPr>
          <w:color w:val="000000" w:themeColor="text1"/>
        </w:rPr>
        <w:t xml:space="preserve"> </w:t>
      </w:r>
      <w:r w:rsidR="00C142BD" w:rsidRPr="00C41565">
        <w:rPr>
          <w:color w:val="000000" w:themeColor="text1"/>
        </w:rPr>
        <w:t>DW</w:t>
      </w:r>
      <w:r w:rsidR="00ED0367">
        <w:rPr>
          <w:color w:val="000000" w:themeColor="text1"/>
        </w:rPr>
        <w:t xml:space="preserve"> is never accessed</w:t>
      </w:r>
      <w:r w:rsidR="00C142BD" w:rsidRPr="00C41565">
        <w:rPr>
          <w:color w:val="000000" w:themeColor="text1"/>
        </w:rPr>
        <w:t>.</w:t>
      </w:r>
      <w:r w:rsidR="009A0847">
        <w:rPr>
          <w:color w:val="000000" w:themeColor="text1"/>
        </w:rPr>
        <w:t xml:space="preserve"> </w:t>
      </w:r>
    </w:p>
    <w:p w14:paraId="0ED74E34" w14:textId="6BEDA8F4" w:rsidR="006A6D23" w:rsidRDefault="00A62E16" w:rsidP="00A3292A">
      <w:pPr>
        <w:pStyle w:val="Olivier1"/>
        <w:widowControl w:val="0"/>
        <w:ind w:firstLine="360"/>
      </w:pPr>
      <w:r w:rsidRPr="005F2F6A">
        <w:rPr>
          <w:color w:val="000000" w:themeColor="text1"/>
        </w:rPr>
        <w:t>In</w:t>
      </w:r>
      <w:r w:rsidR="009A0847">
        <w:rPr>
          <w:color w:val="000000" w:themeColor="text1"/>
        </w:rPr>
        <w:t xml:space="preserve"> </w:t>
      </w:r>
      <w:r w:rsidRPr="005F2F6A">
        <w:rPr>
          <w:color w:val="000000" w:themeColor="text1"/>
        </w:rPr>
        <w:t>addition</w:t>
      </w:r>
      <w:r w:rsidR="009A0847">
        <w:rPr>
          <w:color w:val="000000" w:themeColor="text1"/>
        </w:rPr>
        <w:t xml:space="preserve"> </w:t>
      </w:r>
      <w:r w:rsidRPr="005F2F6A">
        <w:rPr>
          <w:color w:val="000000" w:themeColor="text1"/>
        </w:rPr>
        <w:t>to</w:t>
      </w:r>
      <w:r w:rsidR="009A0847">
        <w:rPr>
          <w:color w:val="000000" w:themeColor="text1"/>
        </w:rPr>
        <w:t xml:space="preserve"> </w:t>
      </w:r>
      <w:r w:rsidR="00A7691C">
        <w:rPr>
          <w:color w:val="000000" w:themeColor="text1"/>
        </w:rPr>
        <w:t>a</w:t>
      </w:r>
      <w:r w:rsidR="009A0847">
        <w:rPr>
          <w:color w:val="000000" w:themeColor="text1"/>
        </w:rPr>
        <w:t xml:space="preserve"> </w:t>
      </w:r>
      <w:r w:rsidRPr="005F2F6A">
        <w:rPr>
          <w:color w:val="000000" w:themeColor="text1"/>
        </w:rPr>
        <w:t>control</w:t>
      </w:r>
      <w:r w:rsidR="009A0847">
        <w:rPr>
          <w:color w:val="000000" w:themeColor="text1"/>
        </w:rPr>
        <w:t xml:space="preserve"> </w:t>
      </w:r>
      <w:r w:rsidRPr="005F2F6A">
        <w:rPr>
          <w:color w:val="000000" w:themeColor="text1"/>
        </w:rPr>
        <w:t>treatment,</w:t>
      </w:r>
      <w:r w:rsidR="009A0847">
        <w:rPr>
          <w:color w:val="000000" w:themeColor="text1"/>
        </w:rPr>
        <w:t xml:space="preserve"> </w:t>
      </w:r>
      <w:r w:rsidRPr="005F2F6A">
        <w:rPr>
          <w:color w:val="000000" w:themeColor="text1"/>
        </w:rPr>
        <w:t>we</w:t>
      </w:r>
      <w:r w:rsidR="009A0847">
        <w:rPr>
          <w:color w:val="000000" w:themeColor="text1"/>
        </w:rPr>
        <w:t xml:space="preserve"> </w:t>
      </w:r>
      <w:r w:rsidRPr="005F2F6A">
        <w:rPr>
          <w:color w:val="000000" w:themeColor="text1"/>
        </w:rPr>
        <w:t>conduct</w:t>
      </w:r>
      <w:r w:rsidR="009A0847">
        <w:rPr>
          <w:color w:val="000000" w:themeColor="text1"/>
        </w:rPr>
        <w:t xml:space="preserve"> </w:t>
      </w:r>
      <w:r w:rsidR="0071159B" w:rsidRPr="005F2F6A">
        <w:rPr>
          <w:color w:val="000000" w:themeColor="text1"/>
        </w:rPr>
        <w:t>three</w:t>
      </w:r>
      <w:r w:rsidR="009A0847">
        <w:rPr>
          <w:color w:val="000000" w:themeColor="text1"/>
        </w:rPr>
        <w:t xml:space="preserve"> </w:t>
      </w:r>
      <w:r w:rsidRPr="005F2F6A">
        <w:rPr>
          <w:color w:val="000000" w:themeColor="text1"/>
        </w:rPr>
        <w:t>treatments</w:t>
      </w:r>
      <w:r w:rsidR="009A0847">
        <w:rPr>
          <w:color w:val="000000" w:themeColor="text1"/>
        </w:rPr>
        <w:t xml:space="preserve"> </w:t>
      </w:r>
      <w:r w:rsidRPr="005F2F6A">
        <w:rPr>
          <w:color w:val="000000" w:themeColor="text1"/>
        </w:rPr>
        <w:t>aimed</w:t>
      </w:r>
      <w:r w:rsidR="009A0847">
        <w:rPr>
          <w:color w:val="000000" w:themeColor="text1"/>
        </w:rPr>
        <w:t xml:space="preserve"> </w:t>
      </w:r>
      <w:r w:rsidRPr="005F2F6A">
        <w:rPr>
          <w:color w:val="000000" w:themeColor="text1"/>
        </w:rPr>
        <w:t>at</w:t>
      </w:r>
      <w:r w:rsidR="009A0847">
        <w:rPr>
          <w:color w:val="000000" w:themeColor="text1"/>
        </w:rPr>
        <w:t xml:space="preserve"> </w:t>
      </w:r>
      <w:r w:rsidRPr="005F2F6A">
        <w:rPr>
          <w:color w:val="000000" w:themeColor="text1"/>
        </w:rPr>
        <w:t>evaluating</w:t>
      </w:r>
      <w:r w:rsidR="009A0847">
        <w:rPr>
          <w:color w:val="000000" w:themeColor="text1"/>
        </w:rPr>
        <w:t xml:space="preserve"> </w:t>
      </w:r>
      <w:r w:rsidRPr="005F2F6A">
        <w:rPr>
          <w:color w:val="000000" w:themeColor="text1"/>
        </w:rPr>
        <w:t>policies</w:t>
      </w:r>
      <w:r w:rsidR="009A0847">
        <w:rPr>
          <w:color w:val="000000" w:themeColor="text1"/>
        </w:rPr>
        <w:t xml:space="preserve"> </w:t>
      </w:r>
      <w:r w:rsidRPr="005F2F6A">
        <w:rPr>
          <w:color w:val="000000" w:themeColor="text1"/>
        </w:rPr>
        <w:t>that</w:t>
      </w:r>
      <w:r w:rsidR="009A0847">
        <w:rPr>
          <w:color w:val="000000" w:themeColor="text1"/>
        </w:rPr>
        <w:t xml:space="preserve"> </w:t>
      </w:r>
      <w:r w:rsidRPr="005F2F6A">
        <w:rPr>
          <w:color w:val="000000" w:themeColor="text1"/>
        </w:rPr>
        <w:t>have</w:t>
      </w:r>
      <w:r w:rsidR="009A0847">
        <w:rPr>
          <w:color w:val="000000" w:themeColor="text1"/>
        </w:rPr>
        <w:t xml:space="preserve"> </w:t>
      </w:r>
      <w:r w:rsidRPr="005F2F6A">
        <w:rPr>
          <w:color w:val="000000" w:themeColor="text1"/>
        </w:rPr>
        <w:t>been</w:t>
      </w:r>
      <w:r w:rsidR="009A0847">
        <w:rPr>
          <w:color w:val="000000" w:themeColor="text1"/>
        </w:rPr>
        <w:t xml:space="preserve"> </w:t>
      </w:r>
      <w:r w:rsidRPr="005F2F6A">
        <w:rPr>
          <w:color w:val="000000" w:themeColor="text1"/>
        </w:rPr>
        <w:t>proposed</w:t>
      </w:r>
      <w:r w:rsidR="009A0847">
        <w:rPr>
          <w:color w:val="000000" w:themeColor="text1"/>
        </w:rPr>
        <w:t xml:space="preserve"> </w:t>
      </w:r>
      <w:r w:rsidRPr="005F2F6A">
        <w:rPr>
          <w:color w:val="000000" w:themeColor="text1"/>
        </w:rPr>
        <w:t>to</w:t>
      </w:r>
      <w:r w:rsidR="009A0847">
        <w:rPr>
          <w:color w:val="000000" w:themeColor="text1"/>
        </w:rPr>
        <w:t xml:space="preserve"> </w:t>
      </w:r>
      <w:r w:rsidR="00C41565">
        <w:rPr>
          <w:color w:val="000000" w:themeColor="text1"/>
        </w:rPr>
        <w:t>mitigate</w:t>
      </w:r>
      <w:r w:rsidR="009A0847">
        <w:rPr>
          <w:color w:val="000000" w:themeColor="text1"/>
        </w:rPr>
        <w:t xml:space="preserve"> </w:t>
      </w:r>
      <w:r w:rsidRPr="005F2F6A">
        <w:rPr>
          <w:color w:val="000000" w:themeColor="text1"/>
        </w:rPr>
        <w:t>DW</w:t>
      </w:r>
      <w:r w:rsidR="009A0847">
        <w:rPr>
          <w:color w:val="000000" w:themeColor="text1"/>
        </w:rPr>
        <w:t xml:space="preserve"> </w:t>
      </w:r>
      <w:r w:rsidRPr="005F2F6A">
        <w:rPr>
          <w:color w:val="000000" w:themeColor="text1"/>
        </w:rPr>
        <w:t>stigma.</w:t>
      </w:r>
      <w:r w:rsidR="009A0847">
        <w:rPr>
          <w:color w:val="000000" w:themeColor="text1"/>
        </w:rPr>
        <w:t xml:space="preserve"> </w:t>
      </w:r>
      <w:r w:rsidR="009A0454" w:rsidRPr="005F2F6A">
        <w:rPr>
          <w:color w:val="000000" w:themeColor="text1"/>
          <w:szCs w:val="24"/>
        </w:rPr>
        <w:t>The</w:t>
      </w:r>
      <w:r w:rsidR="009A0847">
        <w:rPr>
          <w:color w:val="000000" w:themeColor="text1"/>
          <w:szCs w:val="24"/>
        </w:rPr>
        <w:t xml:space="preserve"> </w:t>
      </w:r>
      <w:r w:rsidR="009A0454" w:rsidRPr="005F2F6A">
        <w:rPr>
          <w:color w:val="000000" w:themeColor="text1"/>
          <w:szCs w:val="24"/>
        </w:rPr>
        <w:t>first</w:t>
      </w:r>
      <w:r w:rsidR="009A0847">
        <w:rPr>
          <w:color w:val="000000" w:themeColor="text1"/>
          <w:szCs w:val="24"/>
        </w:rPr>
        <w:t xml:space="preserve"> </w:t>
      </w:r>
      <w:r w:rsidR="009A0454" w:rsidRPr="005F2F6A">
        <w:rPr>
          <w:color w:val="000000" w:themeColor="text1"/>
          <w:szCs w:val="24"/>
        </w:rPr>
        <w:t>treatment</w:t>
      </w:r>
      <w:r w:rsidR="009A0847">
        <w:rPr>
          <w:color w:val="000000" w:themeColor="text1"/>
          <w:szCs w:val="24"/>
        </w:rPr>
        <w:t xml:space="preserve"> </w:t>
      </w:r>
      <w:r w:rsidR="009A0454" w:rsidRPr="005F2F6A">
        <w:rPr>
          <w:color w:val="000000" w:themeColor="text1"/>
          <w:szCs w:val="24"/>
        </w:rPr>
        <w:t>explores</w:t>
      </w:r>
      <w:r w:rsidR="009A0847">
        <w:rPr>
          <w:color w:val="000000" w:themeColor="text1"/>
          <w:szCs w:val="24"/>
        </w:rPr>
        <w:t xml:space="preserve"> </w:t>
      </w:r>
      <w:r w:rsidR="009A0454" w:rsidRPr="005F2F6A">
        <w:rPr>
          <w:color w:val="000000" w:themeColor="text1"/>
          <w:szCs w:val="24"/>
        </w:rPr>
        <w:t>how</w:t>
      </w:r>
      <w:r w:rsidR="009A0847">
        <w:rPr>
          <w:color w:val="000000" w:themeColor="text1"/>
          <w:szCs w:val="24"/>
        </w:rPr>
        <w:t xml:space="preserve"> </w:t>
      </w:r>
      <w:r w:rsidR="009A0454" w:rsidRPr="005F2F6A">
        <w:rPr>
          <w:color w:val="000000" w:themeColor="text1"/>
          <w:szCs w:val="24"/>
        </w:rPr>
        <w:t>lowering</w:t>
      </w:r>
      <w:r w:rsidR="009A0847">
        <w:rPr>
          <w:color w:val="000000" w:themeColor="text1"/>
          <w:szCs w:val="24"/>
        </w:rPr>
        <w:t xml:space="preserve"> </w:t>
      </w:r>
      <w:r w:rsidR="009A0454" w:rsidRPr="005F2F6A">
        <w:rPr>
          <w:color w:val="000000" w:themeColor="text1"/>
          <w:szCs w:val="24"/>
        </w:rPr>
        <w:t>the</w:t>
      </w:r>
      <w:r w:rsidR="009A0847">
        <w:rPr>
          <w:color w:val="000000" w:themeColor="text1"/>
          <w:szCs w:val="24"/>
        </w:rPr>
        <w:t xml:space="preserve"> </w:t>
      </w:r>
      <w:r w:rsidR="006605C8">
        <w:rPr>
          <w:color w:val="000000" w:themeColor="text1"/>
          <w:szCs w:val="24"/>
        </w:rPr>
        <w:t>cost</w:t>
      </w:r>
      <w:r w:rsidR="009A0847">
        <w:rPr>
          <w:color w:val="000000" w:themeColor="text1"/>
          <w:szCs w:val="24"/>
        </w:rPr>
        <w:t xml:space="preserve"> </w:t>
      </w:r>
      <w:r w:rsidR="006605C8">
        <w:rPr>
          <w:color w:val="000000" w:themeColor="text1"/>
          <w:szCs w:val="24"/>
        </w:rPr>
        <w:t>of</w:t>
      </w:r>
      <w:r w:rsidR="009A0847">
        <w:rPr>
          <w:color w:val="000000" w:themeColor="text1"/>
          <w:szCs w:val="24"/>
        </w:rPr>
        <w:t xml:space="preserve"> </w:t>
      </w:r>
      <w:r w:rsidR="006605C8">
        <w:rPr>
          <w:color w:val="000000" w:themeColor="text1"/>
          <w:szCs w:val="24"/>
        </w:rPr>
        <w:t>the</w:t>
      </w:r>
      <w:r w:rsidR="009A0847">
        <w:rPr>
          <w:color w:val="000000" w:themeColor="text1"/>
          <w:szCs w:val="24"/>
        </w:rPr>
        <w:t xml:space="preserve"> </w:t>
      </w:r>
      <w:r w:rsidR="009A0454" w:rsidRPr="005F2F6A">
        <w:rPr>
          <w:color w:val="000000" w:themeColor="text1"/>
          <w:szCs w:val="24"/>
        </w:rPr>
        <w:t>DW</w:t>
      </w:r>
      <w:r w:rsidR="009A0847">
        <w:rPr>
          <w:color w:val="000000" w:themeColor="text1"/>
          <w:szCs w:val="24"/>
        </w:rPr>
        <w:t xml:space="preserve"> </w:t>
      </w:r>
      <w:r w:rsidR="009A0454" w:rsidRPr="005F2F6A">
        <w:rPr>
          <w:color w:val="000000" w:themeColor="text1"/>
          <w:szCs w:val="24"/>
        </w:rPr>
        <w:t>impacts</w:t>
      </w:r>
      <w:r w:rsidR="009A0847">
        <w:rPr>
          <w:color w:val="000000" w:themeColor="text1"/>
          <w:szCs w:val="24"/>
        </w:rPr>
        <w:t xml:space="preserve"> </w:t>
      </w:r>
      <w:r w:rsidR="009A0454" w:rsidRPr="005F2F6A">
        <w:rPr>
          <w:color w:val="000000" w:themeColor="text1"/>
          <w:szCs w:val="24"/>
        </w:rPr>
        <w:t>DW</w:t>
      </w:r>
      <w:r w:rsidR="009A0847">
        <w:rPr>
          <w:color w:val="000000" w:themeColor="text1"/>
          <w:szCs w:val="24"/>
        </w:rPr>
        <w:t xml:space="preserve"> </w:t>
      </w:r>
      <w:r w:rsidR="009A0454" w:rsidRPr="005F2F6A">
        <w:rPr>
          <w:color w:val="000000" w:themeColor="text1"/>
          <w:szCs w:val="24"/>
        </w:rPr>
        <w:t>borrowing.</w:t>
      </w:r>
      <w:r w:rsidR="009A0847">
        <w:rPr>
          <w:color w:val="000000" w:themeColor="text1"/>
          <w:szCs w:val="24"/>
        </w:rPr>
        <w:t xml:space="preserve"> </w:t>
      </w:r>
      <w:r w:rsidR="009A0454" w:rsidRPr="005F2F6A">
        <w:rPr>
          <w:color w:val="000000" w:themeColor="text1"/>
        </w:rPr>
        <w:t>Starting</w:t>
      </w:r>
      <w:r w:rsidR="009A0847">
        <w:rPr>
          <w:color w:val="000000" w:themeColor="text1"/>
        </w:rPr>
        <w:t xml:space="preserve"> </w:t>
      </w:r>
      <w:r w:rsidR="009A0454" w:rsidRPr="005F2F6A">
        <w:rPr>
          <w:color w:val="000000" w:themeColor="text1"/>
        </w:rPr>
        <w:t>with</w:t>
      </w:r>
      <w:r w:rsidR="009A0847">
        <w:rPr>
          <w:color w:val="000000" w:themeColor="text1"/>
        </w:rPr>
        <w:t xml:space="preserve"> </w:t>
      </w:r>
      <w:r w:rsidR="009A0454" w:rsidRPr="005F2F6A">
        <w:rPr>
          <w:color w:val="000000" w:themeColor="text1"/>
        </w:rPr>
        <w:t>Bagehot</w:t>
      </w:r>
      <w:r w:rsidR="009A0847">
        <w:rPr>
          <w:color w:val="000000" w:themeColor="text1"/>
        </w:rPr>
        <w:t xml:space="preserve"> </w:t>
      </w:r>
      <w:r w:rsidR="009A0454" w:rsidRPr="005F2F6A">
        <w:rPr>
          <w:color w:val="000000" w:themeColor="text1"/>
        </w:rPr>
        <w:t>(1873),</w:t>
      </w:r>
      <w:r w:rsidR="009A0847">
        <w:rPr>
          <w:color w:val="000000" w:themeColor="text1"/>
        </w:rPr>
        <w:t xml:space="preserve"> </w:t>
      </w:r>
      <w:r w:rsidR="009A0454" w:rsidRPr="005F2F6A">
        <w:rPr>
          <w:color w:val="000000" w:themeColor="text1"/>
        </w:rPr>
        <w:t>the</w:t>
      </w:r>
      <w:r w:rsidR="009A0847">
        <w:rPr>
          <w:color w:val="000000" w:themeColor="text1"/>
        </w:rPr>
        <w:t xml:space="preserve"> </w:t>
      </w:r>
      <w:r w:rsidR="009A0454" w:rsidRPr="005F2F6A">
        <w:rPr>
          <w:color w:val="000000" w:themeColor="text1"/>
        </w:rPr>
        <w:t>appropriate</w:t>
      </w:r>
      <w:r w:rsidR="009A0847">
        <w:rPr>
          <w:color w:val="000000" w:themeColor="text1"/>
        </w:rPr>
        <w:t xml:space="preserve"> </w:t>
      </w:r>
      <w:r w:rsidR="009A0454" w:rsidRPr="005F2F6A">
        <w:rPr>
          <w:color w:val="000000" w:themeColor="text1"/>
        </w:rPr>
        <w:t>price</w:t>
      </w:r>
      <w:r w:rsidR="009A0847">
        <w:rPr>
          <w:color w:val="000000" w:themeColor="text1"/>
        </w:rPr>
        <w:t xml:space="preserve"> </w:t>
      </w:r>
      <w:r w:rsidR="009A0454" w:rsidRPr="005F2F6A">
        <w:rPr>
          <w:color w:val="000000" w:themeColor="text1"/>
        </w:rPr>
        <w:t>of</w:t>
      </w:r>
      <w:r w:rsidR="009A0847">
        <w:rPr>
          <w:color w:val="000000" w:themeColor="text1"/>
        </w:rPr>
        <w:t xml:space="preserve"> </w:t>
      </w:r>
      <w:r w:rsidR="009A0454" w:rsidRPr="005F2F6A">
        <w:rPr>
          <w:color w:val="000000" w:themeColor="text1"/>
        </w:rPr>
        <w:t>emergency</w:t>
      </w:r>
      <w:r w:rsidR="009A0847">
        <w:rPr>
          <w:color w:val="000000" w:themeColor="text1"/>
        </w:rPr>
        <w:t xml:space="preserve"> </w:t>
      </w:r>
      <w:r w:rsidR="009A0454" w:rsidRPr="005F2F6A">
        <w:rPr>
          <w:color w:val="000000" w:themeColor="text1"/>
        </w:rPr>
        <w:t>lending</w:t>
      </w:r>
      <w:r w:rsidR="009A0847">
        <w:rPr>
          <w:color w:val="000000" w:themeColor="text1"/>
        </w:rPr>
        <w:t xml:space="preserve"> </w:t>
      </w:r>
      <w:r w:rsidR="006605C8">
        <w:rPr>
          <w:color w:val="000000" w:themeColor="text1"/>
        </w:rPr>
        <w:t>h</w:t>
      </w:r>
      <w:r w:rsidR="009A0454" w:rsidRPr="005F2F6A">
        <w:rPr>
          <w:color w:val="000000" w:themeColor="text1"/>
        </w:rPr>
        <w:t>as</w:t>
      </w:r>
      <w:r w:rsidR="009A0847">
        <w:rPr>
          <w:color w:val="000000" w:themeColor="text1"/>
        </w:rPr>
        <w:t xml:space="preserve"> </w:t>
      </w:r>
      <w:r w:rsidR="009A0454" w:rsidRPr="005F2F6A">
        <w:rPr>
          <w:color w:val="000000" w:themeColor="text1"/>
        </w:rPr>
        <w:t>long</w:t>
      </w:r>
      <w:r w:rsidR="009A0847">
        <w:rPr>
          <w:color w:val="000000" w:themeColor="text1"/>
        </w:rPr>
        <w:t xml:space="preserve"> </w:t>
      </w:r>
      <w:r w:rsidR="009A0454" w:rsidRPr="005F2F6A">
        <w:rPr>
          <w:color w:val="000000" w:themeColor="text1"/>
        </w:rPr>
        <w:t>been</w:t>
      </w:r>
      <w:r w:rsidR="009A0847">
        <w:rPr>
          <w:color w:val="000000" w:themeColor="text1"/>
        </w:rPr>
        <w:t xml:space="preserve"> </w:t>
      </w:r>
      <w:r w:rsidR="009A0454" w:rsidRPr="005F2F6A">
        <w:rPr>
          <w:color w:val="000000" w:themeColor="text1"/>
        </w:rPr>
        <w:t>debated:</w:t>
      </w:r>
      <w:r w:rsidR="009A0847">
        <w:rPr>
          <w:color w:val="000000" w:themeColor="text1"/>
        </w:rPr>
        <w:t xml:space="preserve"> </w:t>
      </w:r>
      <w:r w:rsidR="009A0454" w:rsidRPr="005F2F6A">
        <w:rPr>
          <w:color w:val="000000" w:themeColor="text1"/>
        </w:rPr>
        <w:t>Making</w:t>
      </w:r>
      <w:r w:rsidR="009A0847">
        <w:rPr>
          <w:color w:val="000000" w:themeColor="text1"/>
        </w:rPr>
        <w:t xml:space="preserve"> </w:t>
      </w:r>
      <w:r w:rsidR="009A0454" w:rsidRPr="005F2F6A">
        <w:rPr>
          <w:color w:val="000000" w:themeColor="text1"/>
        </w:rPr>
        <w:t>the</w:t>
      </w:r>
      <w:r w:rsidR="009A0847">
        <w:rPr>
          <w:color w:val="000000" w:themeColor="text1"/>
        </w:rPr>
        <w:t xml:space="preserve"> </w:t>
      </w:r>
      <w:r w:rsidR="009A0454" w:rsidRPr="005F2F6A">
        <w:rPr>
          <w:color w:val="000000" w:themeColor="text1"/>
        </w:rPr>
        <w:t>DW</w:t>
      </w:r>
      <w:r w:rsidR="009A0847">
        <w:rPr>
          <w:color w:val="000000" w:themeColor="text1"/>
        </w:rPr>
        <w:t xml:space="preserve"> </w:t>
      </w:r>
      <w:r w:rsidR="009A0454" w:rsidRPr="005F2F6A">
        <w:rPr>
          <w:color w:val="000000" w:themeColor="text1"/>
        </w:rPr>
        <w:t>too</w:t>
      </w:r>
      <w:r w:rsidR="009A0847">
        <w:rPr>
          <w:color w:val="000000" w:themeColor="text1"/>
        </w:rPr>
        <w:t xml:space="preserve"> </w:t>
      </w:r>
      <w:r w:rsidR="009A0454" w:rsidRPr="005F2F6A">
        <w:rPr>
          <w:color w:val="000000" w:themeColor="text1"/>
        </w:rPr>
        <w:t>affordable</w:t>
      </w:r>
      <w:r w:rsidR="009A0847">
        <w:rPr>
          <w:color w:val="000000" w:themeColor="text1"/>
        </w:rPr>
        <w:t xml:space="preserve"> </w:t>
      </w:r>
      <w:r w:rsidR="009A0454" w:rsidRPr="005F2F6A">
        <w:rPr>
          <w:color w:val="000000" w:themeColor="text1"/>
        </w:rPr>
        <w:t>creates</w:t>
      </w:r>
      <w:r w:rsidR="009A0847">
        <w:rPr>
          <w:color w:val="000000" w:themeColor="text1"/>
        </w:rPr>
        <w:t xml:space="preserve"> </w:t>
      </w:r>
      <w:r w:rsidR="009A0454" w:rsidRPr="005F2F6A">
        <w:rPr>
          <w:color w:val="000000" w:themeColor="text1"/>
        </w:rPr>
        <w:t>moral</w:t>
      </w:r>
      <w:r w:rsidR="009A0847">
        <w:rPr>
          <w:color w:val="000000" w:themeColor="text1"/>
        </w:rPr>
        <w:t xml:space="preserve"> </w:t>
      </w:r>
      <w:r w:rsidR="009A0454" w:rsidRPr="005F2F6A">
        <w:rPr>
          <w:color w:val="000000" w:themeColor="text1"/>
        </w:rPr>
        <w:t>hazard,</w:t>
      </w:r>
      <w:r w:rsidR="009A0847">
        <w:rPr>
          <w:color w:val="000000" w:themeColor="text1"/>
        </w:rPr>
        <w:t xml:space="preserve"> </w:t>
      </w:r>
      <w:r w:rsidR="009A0454" w:rsidRPr="005F2F6A">
        <w:rPr>
          <w:color w:val="000000" w:themeColor="text1"/>
        </w:rPr>
        <w:t>while</w:t>
      </w:r>
      <w:r w:rsidR="009A0847">
        <w:rPr>
          <w:color w:val="000000" w:themeColor="text1"/>
        </w:rPr>
        <w:t xml:space="preserve"> </w:t>
      </w:r>
      <w:r w:rsidR="009A0454" w:rsidRPr="005F2F6A">
        <w:rPr>
          <w:color w:val="000000" w:themeColor="text1"/>
        </w:rPr>
        <w:t>highly</w:t>
      </w:r>
      <w:r w:rsidR="009A0847">
        <w:rPr>
          <w:color w:val="000000" w:themeColor="text1"/>
        </w:rPr>
        <w:t xml:space="preserve"> </w:t>
      </w:r>
      <w:r w:rsidR="009A0454" w:rsidRPr="005F2F6A">
        <w:rPr>
          <w:color w:val="000000" w:themeColor="text1"/>
        </w:rPr>
        <w:t>penal</w:t>
      </w:r>
      <w:r w:rsidR="009A0847">
        <w:rPr>
          <w:color w:val="000000" w:themeColor="text1"/>
        </w:rPr>
        <w:t xml:space="preserve"> </w:t>
      </w:r>
      <w:r w:rsidR="009A0454" w:rsidRPr="005F2F6A">
        <w:rPr>
          <w:color w:val="000000" w:themeColor="text1"/>
        </w:rPr>
        <w:t>rates</w:t>
      </w:r>
      <w:r w:rsidR="009A0847">
        <w:rPr>
          <w:color w:val="000000" w:themeColor="text1"/>
        </w:rPr>
        <w:t xml:space="preserve"> </w:t>
      </w:r>
      <w:r w:rsidR="009A0454" w:rsidRPr="005F2F6A">
        <w:rPr>
          <w:color w:val="000000" w:themeColor="text1"/>
        </w:rPr>
        <w:t>stigmatize</w:t>
      </w:r>
      <w:r w:rsidR="009A0847">
        <w:rPr>
          <w:color w:val="000000" w:themeColor="text1"/>
        </w:rPr>
        <w:t xml:space="preserve"> </w:t>
      </w:r>
      <w:r w:rsidR="009A0454" w:rsidRPr="005F2F6A">
        <w:rPr>
          <w:color w:val="000000" w:themeColor="text1"/>
        </w:rPr>
        <w:t>the</w:t>
      </w:r>
      <w:r w:rsidR="009A0847">
        <w:rPr>
          <w:color w:val="000000" w:themeColor="text1"/>
        </w:rPr>
        <w:t xml:space="preserve"> </w:t>
      </w:r>
      <w:r w:rsidR="009A0454" w:rsidRPr="005F2F6A">
        <w:rPr>
          <w:color w:val="000000" w:themeColor="text1"/>
        </w:rPr>
        <w:t>DW</w:t>
      </w:r>
      <w:r w:rsidR="009A0847">
        <w:rPr>
          <w:color w:val="000000" w:themeColor="text1"/>
        </w:rPr>
        <w:t xml:space="preserve"> </w:t>
      </w:r>
      <w:r w:rsidR="009A0454" w:rsidRPr="005F2F6A">
        <w:rPr>
          <w:color w:val="000000" w:themeColor="text1"/>
        </w:rPr>
        <w:t>by</w:t>
      </w:r>
      <w:r w:rsidR="009A0847">
        <w:rPr>
          <w:color w:val="000000" w:themeColor="text1"/>
        </w:rPr>
        <w:t xml:space="preserve"> </w:t>
      </w:r>
      <w:r w:rsidR="009A0454" w:rsidRPr="005F2F6A">
        <w:rPr>
          <w:color w:val="000000" w:themeColor="text1"/>
        </w:rPr>
        <w:t>making</w:t>
      </w:r>
      <w:r w:rsidR="009A0847">
        <w:rPr>
          <w:color w:val="000000" w:themeColor="text1"/>
        </w:rPr>
        <w:t xml:space="preserve"> </w:t>
      </w:r>
      <w:r w:rsidR="009A0454" w:rsidRPr="005F2F6A">
        <w:rPr>
          <w:color w:val="000000" w:themeColor="text1"/>
        </w:rPr>
        <w:t>it</w:t>
      </w:r>
      <w:r w:rsidR="009A0847">
        <w:rPr>
          <w:color w:val="000000" w:themeColor="text1"/>
        </w:rPr>
        <w:t xml:space="preserve"> </w:t>
      </w:r>
      <w:r w:rsidR="009A0454" w:rsidRPr="005F2F6A">
        <w:rPr>
          <w:color w:val="000000" w:themeColor="text1"/>
        </w:rPr>
        <w:t>attractive</w:t>
      </w:r>
      <w:r w:rsidR="009A0847">
        <w:rPr>
          <w:color w:val="000000" w:themeColor="text1"/>
        </w:rPr>
        <w:t xml:space="preserve"> </w:t>
      </w:r>
      <w:r w:rsidR="009A0454" w:rsidRPr="005F2F6A">
        <w:rPr>
          <w:color w:val="000000" w:themeColor="text1"/>
        </w:rPr>
        <w:t>only</w:t>
      </w:r>
      <w:r w:rsidR="009A0847">
        <w:rPr>
          <w:color w:val="000000" w:themeColor="text1"/>
        </w:rPr>
        <w:t xml:space="preserve"> </w:t>
      </w:r>
      <w:r w:rsidR="009A0454" w:rsidRPr="005F2F6A">
        <w:rPr>
          <w:color w:val="000000" w:themeColor="text1"/>
        </w:rPr>
        <w:t>to</w:t>
      </w:r>
      <w:r w:rsidR="009A0847">
        <w:rPr>
          <w:color w:val="000000" w:themeColor="text1"/>
        </w:rPr>
        <w:t xml:space="preserve"> </w:t>
      </w:r>
      <w:r w:rsidR="009A0454" w:rsidRPr="005F2F6A">
        <w:rPr>
          <w:color w:val="000000" w:themeColor="text1"/>
        </w:rPr>
        <w:t>the</w:t>
      </w:r>
      <w:r w:rsidR="009A0847">
        <w:rPr>
          <w:color w:val="000000" w:themeColor="text1"/>
        </w:rPr>
        <w:t xml:space="preserve"> </w:t>
      </w:r>
      <w:r w:rsidR="009A0454" w:rsidRPr="005F2F6A">
        <w:rPr>
          <w:color w:val="000000" w:themeColor="text1"/>
        </w:rPr>
        <w:t>most</w:t>
      </w:r>
      <w:r w:rsidR="009A0847">
        <w:rPr>
          <w:color w:val="000000" w:themeColor="text1"/>
        </w:rPr>
        <w:t xml:space="preserve"> </w:t>
      </w:r>
      <w:r w:rsidR="009A0454" w:rsidRPr="005F2F6A">
        <w:rPr>
          <w:color w:val="000000" w:themeColor="text1"/>
        </w:rPr>
        <w:t>distressed</w:t>
      </w:r>
      <w:r w:rsidR="009A0847">
        <w:rPr>
          <w:color w:val="000000" w:themeColor="text1"/>
        </w:rPr>
        <w:t xml:space="preserve"> </w:t>
      </w:r>
      <w:r w:rsidR="009A0454" w:rsidRPr="005F2F6A">
        <w:rPr>
          <w:color w:val="000000" w:themeColor="text1"/>
        </w:rPr>
        <w:t>banks.</w:t>
      </w:r>
      <w:r w:rsidR="009A0847">
        <w:rPr>
          <w:color w:val="000000" w:themeColor="text1"/>
        </w:rPr>
        <w:t xml:space="preserve"> </w:t>
      </w:r>
      <w:r w:rsidR="009A0454" w:rsidRPr="005F2F6A">
        <w:rPr>
          <w:color w:val="000000" w:themeColor="text1"/>
        </w:rPr>
        <w:t>In</w:t>
      </w:r>
      <w:r w:rsidR="009A0847">
        <w:rPr>
          <w:color w:val="000000" w:themeColor="text1"/>
        </w:rPr>
        <w:t xml:space="preserve"> </w:t>
      </w:r>
      <w:r w:rsidR="009A0454" w:rsidRPr="005F2F6A">
        <w:rPr>
          <w:color w:val="000000" w:themeColor="text1"/>
        </w:rPr>
        <w:t>principle,</w:t>
      </w:r>
      <w:r w:rsidR="009A0847">
        <w:rPr>
          <w:color w:val="000000" w:themeColor="text1"/>
        </w:rPr>
        <w:t xml:space="preserve"> </w:t>
      </w:r>
      <w:r w:rsidR="009A0454" w:rsidRPr="005F2F6A">
        <w:rPr>
          <w:color w:val="000000" w:themeColor="text1"/>
        </w:rPr>
        <w:t>lowering</w:t>
      </w:r>
      <w:r w:rsidR="009A0847">
        <w:rPr>
          <w:color w:val="000000" w:themeColor="text1"/>
        </w:rPr>
        <w:t xml:space="preserve"> </w:t>
      </w:r>
      <w:r w:rsidR="009A0454" w:rsidRPr="005F2F6A">
        <w:rPr>
          <w:color w:val="000000" w:themeColor="text1"/>
        </w:rPr>
        <w:t>the</w:t>
      </w:r>
      <w:r w:rsidR="009A0847">
        <w:rPr>
          <w:color w:val="000000" w:themeColor="text1"/>
        </w:rPr>
        <w:t xml:space="preserve"> </w:t>
      </w:r>
      <w:r w:rsidR="00D13289">
        <w:rPr>
          <w:color w:val="000000" w:themeColor="text1"/>
        </w:rPr>
        <w:t>DW</w:t>
      </w:r>
      <w:r w:rsidR="009A0847">
        <w:rPr>
          <w:color w:val="000000" w:themeColor="text1"/>
        </w:rPr>
        <w:t xml:space="preserve"> </w:t>
      </w:r>
      <w:r w:rsidR="00C41565">
        <w:rPr>
          <w:color w:val="000000" w:themeColor="text1"/>
        </w:rPr>
        <w:t>rate</w:t>
      </w:r>
      <w:r w:rsidR="009A0847">
        <w:rPr>
          <w:color w:val="000000" w:themeColor="text1"/>
        </w:rPr>
        <w:t xml:space="preserve"> </w:t>
      </w:r>
      <w:r w:rsidR="009A0454" w:rsidRPr="005F2F6A">
        <w:rPr>
          <w:color w:val="000000" w:themeColor="text1"/>
        </w:rPr>
        <w:t>should</w:t>
      </w:r>
      <w:r w:rsidR="009A0847">
        <w:rPr>
          <w:color w:val="000000" w:themeColor="text1"/>
        </w:rPr>
        <w:t xml:space="preserve"> </w:t>
      </w:r>
      <w:r w:rsidR="00D13289">
        <w:rPr>
          <w:color w:val="000000" w:themeColor="text1"/>
        </w:rPr>
        <w:t>promote</w:t>
      </w:r>
      <w:r w:rsidR="009A0847">
        <w:rPr>
          <w:color w:val="000000" w:themeColor="text1"/>
        </w:rPr>
        <w:t xml:space="preserve"> </w:t>
      </w:r>
      <w:r w:rsidR="00D13289">
        <w:rPr>
          <w:color w:val="000000" w:themeColor="text1"/>
        </w:rPr>
        <w:t>DW</w:t>
      </w:r>
      <w:r w:rsidR="009A0847">
        <w:rPr>
          <w:color w:val="000000" w:themeColor="text1"/>
        </w:rPr>
        <w:t xml:space="preserve"> </w:t>
      </w:r>
      <w:r w:rsidR="00D13289">
        <w:rPr>
          <w:color w:val="000000" w:themeColor="text1"/>
        </w:rPr>
        <w:t>borrowing</w:t>
      </w:r>
      <w:r w:rsidR="009A0847">
        <w:rPr>
          <w:color w:val="000000" w:themeColor="text1"/>
        </w:rPr>
        <w:t xml:space="preserve"> </w:t>
      </w:r>
      <w:r w:rsidR="00D13289">
        <w:rPr>
          <w:color w:val="000000" w:themeColor="text1"/>
        </w:rPr>
        <w:t>and</w:t>
      </w:r>
      <w:r w:rsidR="009A0847">
        <w:rPr>
          <w:color w:val="000000" w:themeColor="text1"/>
        </w:rPr>
        <w:t xml:space="preserve"> </w:t>
      </w:r>
      <w:r w:rsidR="00D13289">
        <w:rPr>
          <w:color w:val="000000" w:themeColor="text1"/>
        </w:rPr>
        <w:t>thus</w:t>
      </w:r>
      <w:r w:rsidR="009A0847">
        <w:rPr>
          <w:color w:val="000000" w:themeColor="text1"/>
        </w:rPr>
        <w:t xml:space="preserve"> </w:t>
      </w:r>
      <w:r w:rsidR="009A0454" w:rsidRPr="005F2F6A">
        <w:rPr>
          <w:color w:val="000000" w:themeColor="text1"/>
        </w:rPr>
        <w:t>reduce</w:t>
      </w:r>
      <w:r w:rsidR="009A0847">
        <w:rPr>
          <w:color w:val="000000" w:themeColor="text1"/>
        </w:rPr>
        <w:t xml:space="preserve"> </w:t>
      </w:r>
      <w:r w:rsidR="009A0454" w:rsidRPr="005F2F6A">
        <w:rPr>
          <w:color w:val="000000" w:themeColor="text1"/>
        </w:rPr>
        <w:t>stigma.</w:t>
      </w:r>
      <w:r w:rsidR="009A0847">
        <w:rPr>
          <w:color w:val="000000" w:themeColor="text1"/>
        </w:rPr>
        <w:t xml:space="preserve"> </w:t>
      </w:r>
      <w:r w:rsidR="009A0454" w:rsidRPr="005F2F6A">
        <w:rPr>
          <w:color w:val="000000" w:themeColor="text1"/>
        </w:rPr>
        <w:t>This</w:t>
      </w:r>
      <w:r w:rsidR="009A0847">
        <w:rPr>
          <w:color w:val="000000" w:themeColor="text1"/>
        </w:rPr>
        <w:t xml:space="preserve"> </w:t>
      </w:r>
      <w:r w:rsidR="00D13289">
        <w:rPr>
          <w:color w:val="000000" w:themeColor="text1"/>
        </w:rPr>
        <w:t>measure</w:t>
      </w:r>
      <w:r w:rsidR="009A0847">
        <w:rPr>
          <w:color w:val="000000" w:themeColor="text1"/>
        </w:rPr>
        <w:t xml:space="preserve"> </w:t>
      </w:r>
      <w:r w:rsidR="00D13289">
        <w:rPr>
          <w:color w:val="000000" w:themeColor="text1"/>
        </w:rPr>
        <w:t>was</w:t>
      </w:r>
      <w:r w:rsidR="009A0847">
        <w:rPr>
          <w:color w:val="000000" w:themeColor="text1"/>
        </w:rPr>
        <w:t xml:space="preserve"> </w:t>
      </w:r>
      <w:r w:rsidR="009A0454" w:rsidRPr="005F2F6A">
        <w:rPr>
          <w:color w:val="000000" w:themeColor="text1"/>
        </w:rPr>
        <w:t>recommended</w:t>
      </w:r>
      <w:r w:rsidR="009A0847">
        <w:rPr>
          <w:color w:val="000000" w:themeColor="text1"/>
        </w:rPr>
        <w:t xml:space="preserve"> </w:t>
      </w:r>
      <w:r w:rsidR="009A0454" w:rsidRPr="005F2F6A">
        <w:rPr>
          <w:color w:val="000000" w:themeColor="text1"/>
        </w:rPr>
        <w:t>by</w:t>
      </w:r>
      <w:r w:rsidR="009A0847">
        <w:rPr>
          <w:color w:val="000000" w:themeColor="text1"/>
        </w:rPr>
        <w:t xml:space="preserve"> </w:t>
      </w:r>
      <w:r w:rsidR="009A0454" w:rsidRPr="005F2F6A">
        <w:rPr>
          <w:color w:val="000000" w:themeColor="text1"/>
        </w:rPr>
        <w:t>Winters</w:t>
      </w:r>
      <w:r w:rsidR="009A0847">
        <w:rPr>
          <w:color w:val="000000" w:themeColor="text1"/>
        </w:rPr>
        <w:t xml:space="preserve"> </w:t>
      </w:r>
      <w:r w:rsidR="009A0454" w:rsidRPr="005F2F6A">
        <w:rPr>
          <w:color w:val="000000" w:themeColor="text1"/>
        </w:rPr>
        <w:t>(2012)</w:t>
      </w:r>
      <w:r w:rsidR="009A0847">
        <w:rPr>
          <w:color w:val="000000" w:themeColor="text1"/>
        </w:rPr>
        <w:t xml:space="preserve"> </w:t>
      </w:r>
      <w:r w:rsidR="009A0454" w:rsidRPr="005F2F6A">
        <w:rPr>
          <w:color w:val="000000" w:themeColor="text1"/>
        </w:rPr>
        <w:t>to</w:t>
      </w:r>
      <w:r w:rsidR="009A0847">
        <w:rPr>
          <w:color w:val="000000" w:themeColor="text1"/>
        </w:rPr>
        <w:t xml:space="preserve"> </w:t>
      </w:r>
      <w:r w:rsidR="009A0454" w:rsidRPr="005F2F6A">
        <w:rPr>
          <w:color w:val="000000" w:themeColor="text1"/>
        </w:rPr>
        <w:t>the</w:t>
      </w:r>
      <w:r w:rsidR="009A0847">
        <w:rPr>
          <w:color w:val="000000" w:themeColor="text1"/>
        </w:rPr>
        <w:t xml:space="preserve"> </w:t>
      </w:r>
      <w:r w:rsidR="009A0454" w:rsidRPr="005F2F6A">
        <w:rPr>
          <w:color w:val="000000" w:themeColor="text1"/>
        </w:rPr>
        <w:t>BoE</w:t>
      </w:r>
      <w:r w:rsidR="009A0847">
        <w:rPr>
          <w:color w:val="000000" w:themeColor="text1"/>
        </w:rPr>
        <w:t xml:space="preserve"> </w:t>
      </w:r>
      <w:r w:rsidR="009A0454" w:rsidRPr="005F2F6A">
        <w:rPr>
          <w:color w:val="000000" w:themeColor="text1"/>
        </w:rPr>
        <w:t>to</w:t>
      </w:r>
      <w:r w:rsidR="009A0847">
        <w:rPr>
          <w:color w:val="000000" w:themeColor="text1"/>
        </w:rPr>
        <w:t xml:space="preserve"> </w:t>
      </w:r>
      <w:r w:rsidR="009A0454" w:rsidRPr="005F2F6A">
        <w:rPr>
          <w:color w:val="000000" w:themeColor="text1"/>
        </w:rPr>
        <w:t>overcome</w:t>
      </w:r>
      <w:r w:rsidR="009A0847">
        <w:rPr>
          <w:color w:val="000000" w:themeColor="text1"/>
        </w:rPr>
        <w:t xml:space="preserve"> </w:t>
      </w:r>
      <w:r w:rsidR="009A0454" w:rsidRPr="005F2F6A">
        <w:rPr>
          <w:color w:val="000000" w:themeColor="text1"/>
        </w:rPr>
        <w:t>stigma</w:t>
      </w:r>
      <w:r w:rsidR="009A0847">
        <w:rPr>
          <w:color w:val="000000" w:themeColor="text1"/>
        </w:rPr>
        <w:t xml:space="preserve"> </w:t>
      </w:r>
      <w:r w:rsidR="009A0454" w:rsidRPr="005F2F6A">
        <w:rPr>
          <w:color w:val="000000" w:themeColor="text1"/>
        </w:rPr>
        <w:t>and</w:t>
      </w:r>
      <w:r w:rsidR="009A0847">
        <w:rPr>
          <w:color w:val="000000" w:themeColor="text1"/>
        </w:rPr>
        <w:t xml:space="preserve"> </w:t>
      </w:r>
      <w:r w:rsidR="00D13289">
        <w:rPr>
          <w:color w:val="000000" w:themeColor="text1"/>
        </w:rPr>
        <w:t>it</w:t>
      </w:r>
      <w:r w:rsidR="009A0847">
        <w:rPr>
          <w:color w:val="000000" w:themeColor="text1"/>
        </w:rPr>
        <w:t xml:space="preserve"> </w:t>
      </w:r>
      <w:r w:rsidR="00D13289">
        <w:rPr>
          <w:color w:val="000000" w:themeColor="text1"/>
        </w:rPr>
        <w:t>was</w:t>
      </w:r>
      <w:r w:rsidR="009A0847">
        <w:rPr>
          <w:color w:val="000000" w:themeColor="text1"/>
        </w:rPr>
        <w:t xml:space="preserve"> </w:t>
      </w:r>
      <w:r w:rsidR="009A0454" w:rsidRPr="005F2F6A">
        <w:rPr>
          <w:color w:val="000000" w:themeColor="text1"/>
        </w:rPr>
        <w:t>actually</w:t>
      </w:r>
      <w:r w:rsidR="009A0847">
        <w:rPr>
          <w:color w:val="000000" w:themeColor="text1"/>
        </w:rPr>
        <w:t xml:space="preserve"> </w:t>
      </w:r>
      <w:r w:rsidR="009A0454" w:rsidRPr="005F2F6A">
        <w:rPr>
          <w:color w:val="000000" w:themeColor="text1"/>
        </w:rPr>
        <w:t>implemented</w:t>
      </w:r>
      <w:r w:rsidR="009A0847">
        <w:rPr>
          <w:color w:val="000000" w:themeColor="text1"/>
        </w:rPr>
        <w:t xml:space="preserve"> </w:t>
      </w:r>
      <w:r w:rsidR="009A0454" w:rsidRPr="005F2F6A">
        <w:rPr>
          <w:color w:val="000000" w:themeColor="text1"/>
        </w:rPr>
        <w:t>by</w:t>
      </w:r>
      <w:r w:rsidR="009A0847">
        <w:rPr>
          <w:color w:val="000000" w:themeColor="text1"/>
        </w:rPr>
        <w:t xml:space="preserve"> </w:t>
      </w:r>
      <w:r w:rsidR="009A0454" w:rsidRPr="005F2F6A">
        <w:rPr>
          <w:color w:val="000000" w:themeColor="text1"/>
          <w:szCs w:val="24"/>
        </w:rPr>
        <w:t>the</w:t>
      </w:r>
      <w:r w:rsidR="009A0847">
        <w:rPr>
          <w:color w:val="000000" w:themeColor="text1"/>
          <w:szCs w:val="24"/>
        </w:rPr>
        <w:t xml:space="preserve"> </w:t>
      </w:r>
      <w:r w:rsidR="009A0454" w:rsidRPr="005F2F6A">
        <w:rPr>
          <w:color w:val="000000" w:themeColor="text1"/>
          <w:szCs w:val="24"/>
        </w:rPr>
        <w:t>Fed</w:t>
      </w:r>
      <w:r w:rsidR="009A0847">
        <w:rPr>
          <w:color w:val="000000" w:themeColor="text1"/>
          <w:szCs w:val="24"/>
        </w:rPr>
        <w:t xml:space="preserve"> </w:t>
      </w:r>
      <w:r w:rsidR="009A0454" w:rsidRPr="005F2F6A">
        <w:rPr>
          <w:color w:val="000000" w:themeColor="text1"/>
        </w:rPr>
        <w:t>i</w:t>
      </w:r>
      <w:r w:rsidR="009A0454" w:rsidRPr="005F2F6A">
        <w:rPr>
          <w:color w:val="000000" w:themeColor="text1"/>
          <w:szCs w:val="24"/>
        </w:rPr>
        <w:t>n</w:t>
      </w:r>
      <w:r w:rsidR="009A0847">
        <w:rPr>
          <w:color w:val="000000" w:themeColor="text1"/>
          <w:szCs w:val="24"/>
        </w:rPr>
        <w:t xml:space="preserve"> </w:t>
      </w:r>
      <w:r w:rsidR="009A0454" w:rsidRPr="005F2F6A">
        <w:rPr>
          <w:color w:val="000000" w:themeColor="text1"/>
          <w:szCs w:val="24"/>
        </w:rPr>
        <w:t>August</w:t>
      </w:r>
      <w:r w:rsidR="009A0847">
        <w:rPr>
          <w:color w:val="000000" w:themeColor="text1"/>
          <w:szCs w:val="24"/>
        </w:rPr>
        <w:t xml:space="preserve"> </w:t>
      </w:r>
      <w:r w:rsidR="009A0454" w:rsidRPr="005F2F6A">
        <w:rPr>
          <w:color w:val="000000" w:themeColor="text1"/>
          <w:szCs w:val="24"/>
        </w:rPr>
        <w:t>2007</w:t>
      </w:r>
      <w:r w:rsidR="009A0847">
        <w:rPr>
          <w:color w:val="000000" w:themeColor="text1"/>
          <w:szCs w:val="24"/>
        </w:rPr>
        <w:t xml:space="preserve"> </w:t>
      </w:r>
      <w:r w:rsidR="009A0454" w:rsidRPr="005F2F6A">
        <w:rPr>
          <w:color w:val="000000" w:themeColor="text1"/>
          <w:szCs w:val="24"/>
        </w:rPr>
        <w:t>to</w:t>
      </w:r>
      <w:r w:rsidR="009A0847">
        <w:rPr>
          <w:color w:val="000000" w:themeColor="text1"/>
          <w:szCs w:val="24"/>
        </w:rPr>
        <w:t xml:space="preserve"> </w:t>
      </w:r>
      <w:r w:rsidR="009A0454" w:rsidRPr="005F2F6A">
        <w:rPr>
          <w:color w:val="000000" w:themeColor="text1"/>
          <w:szCs w:val="24"/>
        </w:rPr>
        <w:t>encourage</w:t>
      </w:r>
      <w:r w:rsidR="009A0847">
        <w:rPr>
          <w:color w:val="000000" w:themeColor="text1"/>
          <w:szCs w:val="24"/>
        </w:rPr>
        <w:t xml:space="preserve"> </w:t>
      </w:r>
      <w:r w:rsidR="009A0454" w:rsidRPr="005F2F6A">
        <w:rPr>
          <w:color w:val="000000" w:themeColor="text1"/>
          <w:szCs w:val="24"/>
        </w:rPr>
        <w:t>DW</w:t>
      </w:r>
      <w:r w:rsidR="009A0847">
        <w:rPr>
          <w:color w:val="000000" w:themeColor="text1"/>
          <w:szCs w:val="24"/>
        </w:rPr>
        <w:t xml:space="preserve"> </w:t>
      </w:r>
      <w:r w:rsidR="009A0454" w:rsidRPr="005F2F6A">
        <w:rPr>
          <w:color w:val="000000" w:themeColor="text1"/>
          <w:szCs w:val="24"/>
        </w:rPr>
        <w:t>borrowing</w:t>
      </w:r>
      <w:r w:rsidR="009A0847">
        <w:rPr>
          <w:color w:val="000000" w:themeColor="text1"/>
          <w:szCs w:val="24"/>
        </w:rPr>
        <w:t xml:space="preserve"> </w:t>
      </w:r>
      <w:r w:rsidR="009A0454" w:rsidRPr="005F2F6A">
        <w:rPr>
          <w:color w:val="000000" w:themeColor="text1"/>
          <w:szCs w:val="24"/>
        </w:rPr>
        <w:t>at</w:t>
      </w:r>
      <w:r w:rsidR="009A0847">
        <w:rPr>
          <w:color w:val="000000" w:themeColor="text1"/>
          <w:szCs w:val="24"/>
        </w:rPr>
        <w:t xml:space="preserve"> </w:t>
      </w:r>
      <w:r w:rsidR="009A0454" w:rsidRPr="005F2F6A">
        <w:rPr>
          <w:color w:val="000000" w:themeColor="text1"/>
          <w:szCs w:val="24"/>
        </w:rPr>
        <w:t>the</w:t>
      </w:r>
      <w:r w:rsidR="009A0847">
        <w:rPr>
          <w:color w:val="000000" w:themeColor="text1"/>
          <w:szCs w:val="24"/>
        </w:rPr>
        <w:t xml:space="preserve"> </w:t>
      </w:r>
      <w:r w:rsidR="009A0454" w:rsidRPr="005F2F6A">
        <w:rPr>
          <w:color w:val="000000" w:themeColor="text1"/>
          <w:szCs w:val="24"/>
        </w:rPr>
        <w:t>onset</w:t>
      </w:r>
      <w:r w:rsidR="009A0847">
        <w:rPr>
          <w:color w:val="000000" w:themeColor="text1"/>
          <w:szCs w:val="24"/>
        </w:rPr>
        <w:t xml:space="preserve"> </w:t>
      </w:r>
      <w:r w:rsidR="009A0454" w:rsidRPr="005F2F6A">
        <w:rPr>
          <w:color w:val="000000" w:themeColor="text1"/>
          <w:szCs w:val="24"/>
        </w:rPr>
        <w:t>of</w:t>
      </w:r>
      <w:r w:rsidR="009A0847">
        <w:rPr>
          <w:color w:val="000000" w:themeColor="text1"/>
          <w:szCs w:val="24"/>
        </w:rPr>
        <w:t xml:space="preserve"> </w:t>
      </w:r>
      <w:r w:rsidR="009A0454" w:rsidRPr="005F2F6A">
        <w:rPr>
          <w:color w:val="000000" w:themeColor="text1"/>
          <w:szCs w:val="24"/>
        </w:rPr>
        <w:t>the</w:t>
      </w:r>
      <w:r w:rsidR="009A0847">
        <w:rPr>
          <w:color w:val="000000" w:themeColor="text1"/>
          <w:szCs w:val="24"/>
        </w:rPr>
        <w:t xml:space="preserve"> </w:t>
      </w:r>
      <w:r w:rsidR="009A0454" w:rsidRPr="005F2F6A">
        <w:rPr>
          <w:color w:val="000000" w:themeColor="text1"/>
          <w:szCs w:val="24"/>
        </w:rPr>
        <w:t>crisis</w:t>
      </w:r>
      <w:r w:rsidR="009A0847">
        <w:rPr>
          <w:color w:val="000000" w:themeColor="text1"/>
          <w:szCs w:val="24"/>
        </w:rPr>
        <w:t xml:space="preserve"> </w:t>
      </w:r>
      <w:r w:rsidR="00A7691C">
        <w:rPr>
          <w:color w:val="000000" w:themeColor="text1"/>
          <w:szCs w:val="24"/>
        </w:rPr>
        <w:t>(see</w:t>
      </w:r>
      <w:r w:rsidR="009A0847">
        <w:rPr>
          <w:color w:val="000000" w:themeColor="text1"/>
          <w:szCs w:val="24"/>
        </w:rPr>
        <w:t xml:space="preserve"> </w:t>
      </w:r>
      <w:r w:rsidR="00A7691C">
        <w:rPr>
          <w:color w:val="000000" w:themeColor="text1"/>
          <w:szCs w:val="24"/>
        </w:rPr>
        <w:t>Appendix</w:t>
      </w:r>
      <w:r w:rsidR="009A0847">
        <w:rPr>
          <w:color w:val="000000" w:themeColor="text1"/>
          <w:szCs w:val="24"/>
        </w:rPr>
        <w:t xml:space="preserve"> </w:t>
      </w:r>
      <w:r w:rsidR="00A7691C">
        <w:rPr>
          <w:color w:val="000000" w:themeColor="text1"/>
          <w:szCs w:val="24"/>
        </w:rPr>
        <w:t>1)</w:t>
      </w:r>
      <w:r w:rsidR="009A0454" w:rsidRPr="005F2F6A">
        <w:rPr>
          <w:color w:val="000000" w:themeColor="text1"/>
          <w:szCs w:val="24"/>
        </w:rPr>
        <w:t>.</w:t>
      </w:r>
      <w:r w:rsidR="009A0847">
        <w:rPr>
          <w:color w:val="000000" w:themeColor="text1"/>
          <w:szCs w:val="24"/>
        </w:rPr>
        <w:t xml:space="preserve"> </w:t>
      </w:r>
    </w:p>
    <w:p w14:paraId="16183C76" w14:textId="3B3E404D" w:rsidR="006A6D23" w:rsidRDefault="009A0454" w:rsidP="00A3292A">
      <w:pPr>
        <w:pStyle w:val="Olivier1"/>
        <w:widowControl w:val="0"/>
        <w:ind w:firstLine="360"/>
        <w:rPr>
          <w:color w:val="000000" w:themeColor="text1"/>
        </w:rPr>
      </w:pPr>
      <w:r w:rsidRPr="005F2F6A">
        <w:rPr>
          <w:color w:val="000000" w:themeColor="text1"/>
        </w:rPr>
        <w:t>The</w:t>
      </w:r>
      <w:r w:rsidR="009A0847">
        <w:rPr>
          <w:color w:val="000000" w:themeColor="text1"/>
        </w:rPr>
        <w:t xml:space="preserve"> </w:t>
      </w:r>
      <w:r w:rsidR="00A7691C">
        <w:rPr>
          <w:color w:val="000000" w:themeColor="text1"/>
        </w:rPr>
        <w:t>second</w:t>
      </w:r>
      <w:r w:rsidR="009A0847">
        <w:rPr>
          <w:color w:val="000000" w:themeColor="text1"/>
        </w:rPr>
        <w:t xml:space="preserve"> </w:t>
      </w:r>
      <w:r w:rsidRPr="005F2F6A">
        <w:rPr>
          <w:color w:val="000000" w:themeColor="text1"/>
        </w:rPr>
        <w:t>treatment</w:t>
      </w:r>
      <w:r w:rsidR="009A0847">
        <w:rPr>
          <w:color w:val="000000" w:themeColor="text1"/>
        </w:rPr>
        <w:t xml:space="preserve"> </w:t>
      </w:r>
      <w:r w:rsidR="00F96F4B">
        <w:rPr>
          <w:color w:val="000000" w:themeColor="text1"/>
        </w:rPr>
        <w:t>tests</w:t>
      </w:r>
      <w:r w:rsidR="009A0847">
        <w:rPr>
          <w:color w:val="000000" w:themeColor="text1"/>
        </w:rPr>
        <w:t xml:space="preserve"> </w:t>
      </w:r>
      <w:r w:rsidRPr="005F2F6A">
        <w:rPr>
          <w:color w:val="000000" w:themeColor="text1"/>
        </w:rPr>
        <w:t>the</w:t>
      </w:r>
      <w:r w:rsidR="009A0847">
        <w:rPr>
          <w:color w:val="000000" w:themeColor="text1"/>
        </w:rPr>
        <w:t xml:space="preserve"> </w:t>
      </w:r>
      <w:r w:rsidRPr="005F2F6A">
        <w:rPr>
          <w:color w:val="000000" w:themeColor="text1"/>
        </w:rPr>
        <w:t>efficacy</w:t>
      </w:r>
      <w:r w:rsidR="009A0847">
        <w:rPr>
          <w:color w:val="000000" w:themeColor="text1"/>
        </w:rPr>
        <w:t xml:space="preserve"> </w:t>
      </w:r>
      <w:r w:rsidRPr="005F2F6A">
        <w:rPr>
          <w:color w:val="000000" w:themeColor="text1"/>
        </w:rPr>
        <w:t>of</w:t>
      </w:r>
      <w:r w:rsidR="009A0847">
        <w:rPr>
          <w:color w:val="000000" w:themeColor="text1"/>
        </w:rPr>
        <w:t xml:space="preserve"> </w:t>
      </w:r>
      <w:r w:rsidRPr="005F2F6A">
        <w:rPr>
          <w:color w:val="000000" w:themeColor="text1"/>
        </w:rPr>
        <w:t>regular</w:t>
      </w:r>
      <w:r w:rsidR="009A0847">
        <w:rPr>
          <w:color w:val="000000" w:themeColor="text1"/>
        </w:rPr>
        <w:t xml:space="preserve"> </w:t>
      </w:r>
      <w:r w:rsidR="00C345EE">
        <w:rPr>
          <w:color w:val="000000" w:themeColor="text1"/>
        </w:rPr>
        <w:t>random</w:t>
      </w:r>
      <w:r w:rsidR="009A0847">
        <w:rPr>
          <w:color w:val="000000" w:themeColor="text1"/>
        </w:rPr>
        <w:t xml:space="preserve"> </w:t>
      </w:r>
      <w:r w:rsidRPr="005F2F6A">
        <w:rPr>
          <w:color w:val="000000" w:themeColor="text1"/>
        </w:rPr>
        <w:t>borrowing,</w:t>
      </w:r>
      <w:r w:rsidR="009A0847">
        <w:rPr>
          <w:color w:val="000000" w:themeColor="text1"/>
        </w:rPr>
        <w:t xml:space="preserve"> </w:t>
      </w:r>
      <w:r w:rsidRPr="005F2F6A">
        <w:rPr>
          <w:color w:val="000000" w:themeColor="text1"/>
        </w:rPr>
        <w:t>a</w:t>
      </w:r>
      <w:r w:rsidR="009A0847">
        <w:rPr>
          <w:color w:val="000000" w:themeColor="text1"/>
        </w:rPr>
        <w:t xml:space="preserve"> </w:t>
      </w:r>
      <w:r w:rsidRPr="005F2F6A">
        <w:rPr>
          <w:color w:val="000000" w:themeColor="text1"/>
        </w:rPr>
        <w:t>measure</w:t>
      </w:r>
      <w:r w:rsidR="009A0847">
        <w:rPr>
          <w:color w:val="000000" w:themeColor="text1"/>
        </w:rPr>
        <w:t xml:space="preserve"> </w:t>
      </w:r>
      <w:r w:rsidRPr="005F2F6A">
        <w:rPr>
          <w:color w:val="000000" w:themeColor="text1"/>
        </w:rPr>
        <w:t>proposed</w:t>
      </w:r>
      <w:r w:rsidR="009A0847">
        <w:rPr>
          <w:color w:val="000000" w:themeColor="text1"/>
        </w:rPr>
        <w:t xml:space="preserve"> </w:t>
      </w:r>
      <w:r w:rsidRPr="005F2F6A">
        <w:rPr>
          <w:color w:val="000000" w:themeColor="text1"/>
        </w:rPr>
        <w:t>by</w:t>
      </w:r>
      <w:r w:rsidR="009A0847">
        <w:rPr>
          <w:color w:val="000000" w:themeColor="text1"/>
        </w:rPr>
        <w:t xml:space="preserve"> </w:t>
      </w:r>
      <w:r w:rsidRPr="005F2F6A">
        <w:rPr>
          <w:color w:val="000000" w:themeColor="text1"/>
        </w:rPr>
        <w:lastRenderedPageBreak/>
        <w:t>Winters</w:t>
      </w:r>
      <w:r w:rsidR="009A0847">
        <w:rPr>
          <w:color w:val="000000" w:themeColor="text1"/>
        </w:rPr>
        <w:t xml:space="preserve"> </w:t>
      </w:r>
      <w:r w:rsidRPr="005F2F6A">
        <w:rPr>
          <w:color w:val="000000" w:themeColor="text1"/>
        </w:rPr>
        <w:t>(2012)</w:t>
      </w:r>
      <w:r w:rsidR="009A0847">
        <w:rPr>
          <w:color w:val="000000" w:themeColor="text1"/>
        </w:rPr>
        <w:t xml:space="preserve"> </w:t>
      </w:r>
      <w:r w:rsidRPr="005F2F6A">
        <w:rPr>
          <w:color w:val="000000" w:themeColor="text1"/>
        </w:rPr>
        <w:t>to</w:t>
      </w:r>
      <w:r w:rsidR="009A0847">
        <w:rPr>
          <w:color w:val="000000" w:themeColor="text1"/>
        </w:rPr>
        <w:t xml:space="preserve"> </w:t>
      </w:r>
      <w:r w:rsidRPr="005F2F6A">
        <w:rPr>
          <w:color w:val="000000" w:themeColor="text1"/>
        </w:rPr>
        <w:t>reduce</w:t>
      </w:r>
      <w:r w:rsidR="009A0847">
        <w:rPr>
          <w:color w:val="000000" w:themeColor="text1"/>
        </w:rPr>
        <w:t xml:space="preserve"> </w:t>
      </w:r>
      <w:r w:rsidRPr="005F2F6A">
        <w:rPr>
          <w:color w:val="000000" w:themeColor="text1"/>
        </w:rPr>
        <w:t>DW</w:t>
      </w:r>
      <w:r w:rsidR="009A0847">
        <w:rPr>
          <w:color w:val="000000" w:themeColor="text1"/>
        </w:rPr>
        <w:t xml:space="preserve"> </w:t>
      </w:r>
      <w:r w:rsidRPr="005F2F6A">
        <w:rPr>
          <w:color w:val="000000" w:themeColor="text1"/>
        </w:rPr>
        <w:t>stigma</w:t>
      </w:r>
      <w:r w:rsidR="009A0847">
        <w:rPr>
          <w:color w:val="000000" w:themeColor="text1"/>
        </w:rPr>
        <w:t xml:space="preserve"> </w:t>
      </w:r>
      <w:r w:rsidRPr="005F2F6A">
        <w:rPr>
          <w:color w:val="000000" w:themeColor="text1"/>
        </w:rPr>
        <w:t>at</w:t>
      </w:r>
      <w:r w:rsidR="009A0847">
        <w:rPr>
          <w:color w:val="000000" w:themeColor="text1"/>
        </w:rPr>
        <w:t xml:space="preserve"> </w:t>
      </w:r>
      <w:r w:rsidRPr="005F2F6A">
        <w:rPr>
          <w:color w:val="000000" w:themeColor="text1"/>
        </w:rPr>
        <w:t>the</w:t>
      </w:r>
      <w:r w:rsidR="009A0847">
        <w:rPr>
          <w:color w:val="000000" w:themeColor="text1"/>
        </w:rPr>
        <w:t xml:space="preserve"> </w:t>
      </w:r>
      <w:r w:rsidRPr="005F2F6A">
        <w:rPr>
          <w:color w:val="000000" w:themeColor="text1"/>
        </w:rPr>
        <w:t>BoE:</w:t>
      </w:r>
      <w:r w:rsidR="009A0847">
        <w:rPr>
          <w:color w:val="000000" w:themeColor="text1"/>
        </w:rPr>
        <w:t xml:space="preserve"> </w:t>
      </w:r>
      <w:r w:rsidRPr="005F2F6A">
        <w:rPr>
          <w:color w:val="000000" w:themeColor="text1"/>
        </w:rPr>
        <w:t>“</w:t>
      </w:r>
      <w:r w:rsidRPr="005F2F6A">
        <w:rPr>
          <w:i/>
          <w:color w:val="000000" w:themeColor="text1"/>
        </w:rPr>
        <w:t>The</w:t>
      </w:r>
      <w:r w:rsidR="009A0847">
        <w:rPr>
          <w:i/>
          <w:color w:val="000000" w:themeColor="text1"/>
        </w:rPr>
        <w:t xml:space="preserve"> </w:t>
      </w:r>
      <w:r w:rsidRPr="005F2F6A">
        <w:rPr>
          <w:i/>
          <w:color w:val="000000" w:themeColor="text1"/>
        </w:rPr>
        <w:t>Bank</w:t>
      </w:r>
      <w:r w:rsidR="009A0847">
        <w:rPr>
          <w:i/>
          <w:color w:val="000000" w:themeColor="text1"/>
        </w:rPr>
        <w:t xml:space="preserve"> </w:t>
      </w:r>
      <w:r w:rsidRPr="005F2F6A">
        <w:rPr>
          <w:i/>
          <w:color w:val="000000" w:themeColor="text1"/>
        </w:rPr>
        <w:t>should</w:t>
      </w:r>
      <w:r w:rsidR="009A0847">
        <w:rPr>
          <w:i/>
          <w:color w:val="000000" w:themeColor="text1"/>
        </w:rPr>
        <w:t xml:space="preserve"> </w:t>
      </w:r>
      <w:r w:rsidRPr="005F2F6A">
        <w:rPr>
          <w:i/>
          <w:color w:val="000000" w:themeColor="text1"/>
        </w:rPr>
        <w:t>further</w:t>
      </w:r>
      <w:r w:rsidR="009A0847">
        <w:rPr>
          <w:i/>
          <w:color w:val="000000" w:themeColor="text1"/>
        </w:rPr>
        <w:t xml:space="preserve"> </w:t>
      </w:r>
      <w:r w:rsidRPr="005F2F6A">
        <w:rPr>
          <w:i/>
          <w:color w:val="000000" w:themeColor="text1"/>
        </w:rPr>
        <w:t>consider</w:t>
      </w:r>
      <w:r w:rsidR="009A0847">
        <w:rPr>
          <w:i/>
          <w:color w:val="000000" w:themeColor="text1"/>
        </w:rPr>
        <w:t xml:space="preserve"> </w:t>
      </w:r>
      <w:r w:rsidRPr="005F2F6A">
        <w:rPr>
          <w:i/>
          <w:color w:val="000000" w:themeColor="text1"/>
        </w:rPr>
        <w:t>concrete</w:t>
      </w:r>
      <w:r w:rsidR="009A0847">
        <w:rPr>
          <w:i/>
          <w:color w:val="000000" w:themeColor="text1"/>
        </w:rPr>
        <w:t xml:space="preserve"> </w:t>
      </w:r>
      <w:r w:rsidRPr="005F2F6A">
        <w:rPr>
          <w:i/>
          <w:color w:val="000000" w:themeColor="text1"/>
        </w:rPr>
        <w:t>action</w:t>
      </w:r>
      <w:r w:rsidR="009A0847">
        <w:rPr>
          <w:i/>
          <w:color w:val="000000" w:themeColor="text1"/>
        </w:rPr>
        <w:t xml:space="preserve"> </w:t>
      </w:r>
      <w:r w:rsidRPr="005F2F6A">
        <w:rPr>
          <w:i/>
          <w:color w:val="000000" w:themeColor="text1"/>
        </w:rPr>
        <w:t>to</w:t>
      </w:r>
      <w:r w:rsidR="009A0847">
        <w:rPr>
          <w:i/>
          <w:color w:val="000000" w:themeColor="text1"/>
        </w:rPr>
        <w:t xml:space="preserve"> </w:t>
      </w:r>
      <w:r w:rsidRPr="005F2F6A">
        <w:rPr>
          <w:i/>
          <w:color w:val="000000" w:themeColor="text1"/>
        </w:rPr>
        <w:t>reduce</w:t>
      </w:r>
      <w:r w:rsidR="009A0847">
        <w:rPr>
          <w:i/>
          <w:color w:val="000000" w:themeColor="text1"/>
        </w:rPr>
        <w:t xml:space="preserve"> </w:t>
      </w:r>
      <w:r w:rsidRPr="005F2F6A">
        <w:rPr>
          <w:i/>
          <w:color w:val="000000" w:themeColor="text1"/>
        </w:rPr>
        <w:t>any</w:t>
      </w:r>
      <w:r w:rsidR="009A0847">
        <w:rPr>
          <w:i/>
          <w:color w:val="000000" w:themeColor="text1"/>
        </w:rPr>
        <w:t xml:space="preserve"> </w:t>
      </w:r>
      <w:r w:rsidRPr="005F2F6A">
        <w:rPr>
          <w:i/>
          <w:color w:val="000000" w:themeColor="text1"/>
        </w:rPr>
        <w:t>remaining</w:t>
      </w:r>
      <w:r w:rsidR="009A0847">
        <w:rPr>
          <w:i/>
          <w:color w:val="000000" w:themeColor="text1"/>
        </w:rPr>
        <w:t xml:space="preserve"> </w:t>
      </w:r>
      <w:r w:rsidRPr="005F2F6A">
        <w:rPr>
          <w:i/>
          <w:color w:val="000000" w:themeColor="text1"/>
        </w:rPr>
        <w:t>reluctance</w:t>
      </w:r>
      <w:r w:rsidR="009A0847">
        <w:rPr>
          <w:i/>
          <w:color w:val="000000" w:themeColor="text1"/>
        </w:rPr>
        <w:t xml:space="preserve"> </w:t>
      </w:r>
      <w:r w:rsidRPr="005F2F6A">
        <w:rPr>
          <w:i/>
          <w:color w:val="000000" w:themeColor="text1"/>
        </w:rPr>
        <w:t>of</w:t>
      </w:r>
      <w:r w:rsidR="009A0847">
        <w:rPr>
          <w:i/>
          <w:color w:val="000000" w:themeColor="text1"/>
        </w:rPr>
        <w:t xml:space="preserve"> </w:t>
      </w:r>
      <w:r w:rsidRPr="005F2F6A">
        <w:rPr>
          <w:i/>
          <w:color w:val="000000" w:themeColor="text1"/>
        </w:rPr>
        <w:t>banks</w:t>
      </w:r>
      <w:r w:rsidR="009A0847">
        <w:rPr>
          <w:i/>
          <w:color w:val="000000" w:themeColor="text1"/>
        </w:rPr>
        <w:t xml:space="preserve"> </w:t>
      </w:r>
      <w:r w:rsidRPr="005F2F6A">
        <w:rPr>
          <w:i/>
          <w:color w:val="000000" w:themeColor="text1"/>
        </w:rPr>
        <w:t>to</w:t>
      </w:r>
      <w:r w:rsidR="009A0847">
        <w:rPr>
          <w:i/>
          <w:color w:val="000000" w:themeColor="text1"/>
        </w:rPr>
        <w:t xml:space="preserve"> </w:t>
      </w:r>
      <w:r w:rsidRPr="005F2F6A">
        <w:rPr>
          <w:i/>
          <w:color w:val="000000" w:themeColor="text1"/>
        </w:rPr>
        <w:t>use</w:t>
      </w:r>
      <w:r w:rsidR="009A0847">
        <w:rPr>
          <w:i/>
          <w:color w:val="000000" w:themeColor="text1"/>
        </w:rPr>
        <w:t xml:space="preserve"> </w:t>
      </w:r>
      <w:r w:rsidRPr="005F2F6A">
        <w:rPr>
          <w:i/>
          <w:color w:val="000000" w:themeColor="text1"/>
        </w:rPr>
        <w:t>the</w:t>
      </w:r>
      <w:r w:rsidR="009A0847">
        <w:rPr>
          <w:i/>
          <w:color w:val="000000" w:themeColor="text1"/>
        </w:rPr>
        <w:t xml:space="preserve"> </w:t>
      </w:r>
      <w:r w:rsidRPr="005F2F6A">
        <w:rPr>
          <w:i/>
          <w:color w:val="000000" w:themeColor="text1"/>
        </w:rPr>
        <w:t>DW.</w:t>
      </w:r>
      <w:r w:rsidR="009A0847">
        <w:rPr>
          <w:i/>
          <w:color w:val="000000" w:themeColor="text1"/>
        </w:rPr>
        <w:t xml:space="preserve"> </w:t>
      </w:r>
      <w:r w:rsidRPr="005F2F6A">
        <w:rPr>
          <w:i/>
          <w:color w:val="000000" w:themeColor="text1"/>
        </w:rPr>
        <w:t>The</w:t>
      </w:r>
      <w:r w:rsidR="009A0847">
        <w:rPr>
          <w:i/>
          <w:color w:val="000000" w:themeColor="text1"/>
        </w:rPr>
        <w:t xml:space="preserve"> </w:t>
      </w:r>
      <w:r w:rsidRPr="005F2F6A">
        <w:rPr>
          <w:i/>
          <w:color w:val="000000" w:themeColor="text1"/>
        </w:rPr>
        <w:t>best</w:t>
      </w:r>
      <w:r w:rsidR="009A0847">
        <w:rPr>
          <w:i/>
          <w:color w:val="000000" w:themeColor="text1"/>
        </w:rPr>
        <w:t xml:space="preserve"> </w:t>
      </w:r>
      <w:r w:rsidRPr="005F2F6A">
        <w:rPr>
          <w:i/>
          <w:color w:val="000000" w:themeColor="text1"/>
        </w:rPr>
        <w:t>way</w:t>
      </w:r>
      <w:r w:rsidR="009A0847">
        <w:rPr>
          <w:i/>
          <w:color w:val="000000" w:themeColor="text1"/>
        </w:rPr>
        <w:t xml:space="preserve"> </w:t>
      </w:r>
      <w:r w:rsidRPr="005F2F6A">
        <w:rPr>
          <w:i/>
          <w:color w:val="000000" w:themeColor="text1"/>
        </w:rPr>
        <w:t>to</w:t>
      </w:r>
      <w:r w:rsidR="009A0847">
        <w:rPr>
          <w:i/>
          <w:color w:val="000000" w:themeColor="text1"/>
        </w:rPr>
        <w:t xml:space="preserve"> </w:t>
      </w:r>
      <w:r w:rsidRPr="005F2F6A">
        <w:rPr>
          <w:i/>
          <w:color w:val="000000" w:themeColor="text1"/>
        </w:rPr>
        <w:t>accomplish</w:t>
      </w:r>
      <w:r w:rsidR="009A0847">
        <w:rPr>
          <w:i/>
          <w:color w:val="000000" w:themeColor="text1"/>
        </w:rPr>
        <w:t xml:space="preserve"> </w:t>
      </w:r>
      <w:r w:rsidRPr="005F2F6A">
        <w:rPr>
          <w:i/>
          <w:color w:val="000000" w:themeColor="text1"/>
        </w:rPr>
        <w:t>this</w:t>
      </w:r>
      <w:r w:rsidR="009A0847">
        <w:rPr>
          <w:i/>
          <w:color w:val="000000" w:themeColor="text1"/>
        </w:rPr>
        <w:t xml:space="preserve"> </w:t>
      </w:r>
      <w:r w:rsidRPr="005F2F6A">
        <w:rPr>
          <w:i/>
          <w:color w:val="000000" w:themeColor="text1"/>
        </w:rPr>
        <w:t>would</w:t>
      </w:r>
      <w:r w:rsidR="009A0847">
        <w:rPr>
          <w:i/>
          <w:color w:val="000000" w:themeColor="text1"/>
        </w:rPr>
        <w:t xml:space="preserve"> </w:t>
      </w:r>
      <w:r w:rsidRPr="005F2F6A">
        <w:rPr>
          <w:i/>
          <w:color w:val="000000" w:themeColor="text1"/>
        </w:rPr>
        <w:t>be</w:t>
      </w:r>
      <w:r w:rsidR="009A0847">
        <w:rPr>
          <w:i/>
          <w:color w:val="000000" w:themeColor="text1"/>
        </w:rPr>
        <w:t xml:space="preserve"> </w:t>
      </w:r>
      <w:r w:rsidRPr="005F2F6A">
        <w:rPr>
          <w:i/>
          <w:color w:val="000000" w:themeColor="text1"/>
        </w:rPr>
        <w:t>to</w:t>
      </w:r>
      <w:r w:rsidR="009A0847">
        <w:rPr>
          <w:i/>
          <w:color w:val="000000" w:themeColor="text1"/>
        </w:rPr>
        <w:t xml:space="preserve"> </w:t>
      </w:r>
      <w:r w:rsidRPr="005F2F6A">
        <w:rPr>
          <w:i/>
          <w:color w:val="000000" w:themeColor="text1"/>
        </w:rPr>
        <w:t>regularize</w:t>
      </w:r>
      <w:r w:rsidR="009A0847">
        <w:rPr>
          <w:i/>
          <w:color w:val="000000" w:themeColor="text1"/>
        </w:rPr>
        <w:t xml:space="preserve"> </w:t>
      </w:r>
      <w:r w:rsidRPr="005F2F6A">
        <w:rPr>
          <w:i/>
          <w:color w:val="000000" w:themeColor="text1"/>
        </w:rPr>
        <w:t>its</w:t>
      </w:r>
      <w:r w:rsidR="009A0847">
        <w:rPr>
          <w:i/>
          <w:color w:val="000000" w:themeColor="text1"/>
        </w:rPr>
        <w:t xml:space="preserve"> </w:t>
      </w:r>
      <w:r w:rsidRPr="005F2F6A">
        <w:rPr>
          <w:i/>
          <w:color w:val="000000" w:themeColor="text1"/>
        </w:rPr>
        <w:t>use</w:t>
      </w:r>
      <w:r w:rsidR="009A0847">
        <w:rPr>
          <w:i/>
          <w:color w:val="000000" w:themeColor="text1"/>
        </w:rPr>
        <w:t xml:space="preserve"> </w:t>
      </w:r>
      <w:r w:rsidRPr="005F2F6A">
        <w:rPr>
          <w:i/>
          <w:color w:val="000000" w:themeColor="text1"/>
        </w:rPr>
        <w:t>so</w:t>
      </w:r>
      <w:r w:rsidR="009A0847">
        <w:rPr>
          <w:i/>
          <w:color w:val="000000" w:themeColor="text1"/>
        </w:rPr>
        <w:t xml:space="preserve"> </w:t>
      </w:r>
      <w:r w:rsidRPr="005F2F6A">
        <w:rPr>
          <w:i/>
          <w:color w:val="000000" w:themeColor="text1"/>
        </w:rPr>
        <w:t>that</w:t>
      </w:r>
      <w:r w:rsidR="009A0847">
        <w:rPr>
          <w:i/>
          <w:color w:val="000000" w:themeColor="text1"/>
        </w:rPr>
        <w:t xml:space="preserve"> </w:t>
      </w:r>
      <w:r w:rsidRPr="005F2F6A">
        <w:rPr>
          <w:i/>
          <w:color w:val="000000" w:themeColor="text1"/>
        </w:rPr>
        <w:t>crisis</w:t>
      </w:r>
      <w:r w:rsidR="009A0847">
        <w:rPr>
          <w:i/>
          <w:color w:val="000000" w:themeColor="text1"/>
        </w:rPr>
        <w:t xml:space="preserve"> </w:t>
      </w:r>
      <w:r w:rsidRPr="005F2F6A">
        <w:rPr>
          <w:i/>
          <w:color w:val="000000" w:themeColor="text1"/>
        </w:rPr>
        <w:t>usage</w:t>
      </w:r>
      <w:r w:rsidR="009A0847">
        <w:rPr>
          <w:i/>
          <w:color w:val="000000" w:themeColor="text1"/>
        </w:rPr>
        <w:t xml:space="preserve"> </w:t>
      </w:r>
      <w:r w:rsidRPr="005F2F6A">
        <w:rPr>
          <w:i/>
          <w:color w:val="000000" w:themeColor="text1"/>
        </w:rPr>
        <w:t>is</w:t>
      </w:r>
      <w:r w:rsidR="009A0847">
        <w:rPr>
          <w:i/>
          <w:color w:val="000000" w:themeColor="text1"/>
        </w:rPr>
        <w:t xml:space="preserve"> </w:t>
      </w:r>
      <w:r w:rsidRPr="005F2F6A">
        <w:rPr>
          <w:i/>
          <w:color w:val="000000" w:themeColor="text1"/>
        </w:rPr>
        <w:t>less</w:t>
      </w:r>
      <w:r w:rsidR="009A0847">
        <w:rPr>
          <w:i/>
          <w:color w:val="000000" w:themeColor="text1"/>
        </w:rPr>
        <w:t xml:space="preserve"> </w:t>
      </w:r>
      <w:r w:rsidRPr="005F2F6A">
        <w:rPr>
          <w:i/>
          <w:color w:val="000000" w:themeColor="text1"/>
        </w:rPr>
        <w:t>visible</w:t>
      </w:r>
      <w:r w:rsidR="009A0847">
        <w:rPr>
          <w:i/>
          <w:color w:val="000000" w:themeColor="text1"/>
        </w:rPr>
        <w:t xml:space="preserve"> </w:t>
      </w:r>
      <w:r w:rsidRPr="005F2F6A">
        <w:rPr>
          <w:i/>
          <w:color w:val="000000" w:themeColor="text1"/>
        </w:rPr>
        <w:t>and,</w:t>
      </w:r>
      <w:r w:rsidR="009A0847">
        <w:rPr>
          <w:i/>
          <w:color w:val="000000" w:themeColor="text1"/>
        </w:rPr>
        <w:t xml:space="preserve"> </w:t>
      </w:r>
      <w:r w:rsidRPr="005F2F6A">
        <w:rPr>
          <w:i/>
          <w:color w:val="000000" w:themeColor="text1"/>
        </w:rPr>
        <w:t>hence,</w:t>
      </w:r>
      <w:r w:rsidR="009A0847">
        <w:rPr>
          <w:i/>
          <w:color w:val="000000" w:themeColor="text1"/>
        </w:rPr>
        <w:t xml:space="preserve"> </w:t>
      </w:r>
      <w:r w:rsidRPr="005F2F6A">
        <w:rPr>
          <w:i/>
          <w:color w:val="000000" w:themeColor="text1"/>
        </w:rPr>
        <w:t>less</w:t>
      </w:r>
      <w:r w:rsidR="009A0847">
        <w:rPr>
          <w:i/>
          <w:color w:val="000000" w:themeColor="text1"/>
        </w:rPr>
        <w:t xml:space="preserve"> </w:t>
      </w:r>
      <w:r w:rsidRPr="005F2F6A">
        <w:rPr>
          <w:i/>
          <w:color w:val="000000" w:themeColor="text1"/>
        </w:rPr>
        <w:t>stigmatized….</w:t>
      </w:r>
      <w:r w:rsidR="009A0847">
        <w:rPr>
          <w:i/>
          <w:color w:val="000000" w:themeColor="text1"/>
        </w:rPr>
        <w:t xml:space="preserve"> </w:t>
      </w:r>
      <w:r w:rsidRPr="005F2F6A">
        <w:rPr>
          <w:i/>
          <w:color w:val="000000" w:themeColor="text1"/>
        </w:rPr>
        <w:t>Drawings</w:t>
      </w:r>
      <w:r w:rsidR="009A0847">
        <w:rPr>
          <w:i/>
          <w:color w:val="000000" w:themeColor="text1"/>
        </w:rPr>
        <w:t xml:space="preserve"> </w:t>
      </w:r>
      <w:r w:rsidRPr="005F2F6A">
        <w:rPr>
          <w:i/>
          <w:color w:val="000000" w:themeColor="text1"/>
        </w:rPr>
        <w:t>would</w:t>
      </w:r>
      <w:r w:rsidR="009A0847">
        <w:rPr>
          <w:i/>
          <w:color w:val="000000" w:themeColor="text1"/>
        </w:rPr>
        <w:t xml:space="preserve"> </w:t>
      </w:r>
      <w:r w:rsidRPr="005F2F6A">
        <w:rPr>
          <w:i/>
          <w:color w:val="000000" w:themeColor="text1"/>
        </w:rPr>
        <w:t>be</w:t>
      </w:r>
      <w:r w:rsidR="009A0847">
        <w:rPr>
          <w:i/>
          <w:color w:val="000000" w:themeColor="text1"/>
        </w:rPr>
        <w:t xml:space="preserve"> </w:t>
      </w:r>
      <w:r w:rsidRPr="005F2F6A">
        <w:rPr>
          <w:i/>
          <w:color w:val="000000" w:themeColor="text1"/>
        </w:rPr>
        <w:t>required</w:t>
      </w:r>
      <w:r w:rsidR="009A0847">
        <w:rPr>
          <w:i/>
          <w:color w:val="000000" w:themeColor="text1"/>
        </w:rPr>
        <w:t xml:space="preserve"> </w:t>
      </w:r>
      <w:r w:rsidRPr="005F2F6A">
        <w:rPr>
          <w:i/>
          <w:color w:val="000000" w:themeColor="text1"/>
        </w:rPr>
        <w:t>in</w:t>
      </w:r>
      <w:r w:rsidR="009A0847">
        <w:rPr>
          <w:i/>
          <w:color w:val="000000" w:themeColor="text1"/>
        </w:rPr>
        <w:t xml:space="preserve"> </w:t>
      </w:r>
      <w:r w:rsidRPr="005F2F6A">
        <w:rPr>
          <w:i/>
          <w:color w:val="000000" w:themeColor="text1"/>
        </w:rPr>
        <w:t>large</w:t>
      </w:r>
      <w:r w:rsidR="009A0847">
        <w:rPr>
          <w:i/>
          <w:color w:val="000000" w:themeColor="text1"/>
        </w:rPr>
        <w:t xml:space="preserve"> </w:t>
      </w:r>
      <w:r w:rsidRPr="005F2F6A">
        <w:rPr>
          <w:i/>
          <w:color w:val="000000" w:themeColor="text1"/>
        </w:rPr>
        <w:t>enough</w:t>
      </w:r>
      <w:r w:rsidR="009A0847">
        <w:rPr>
          <w:i/>
          <w:color w:val="000000" w:themeColor="text1"/>
        </w:rPr>
        <w:t xml:space="preserve"> </w:t>
      </w:r>
      <w:r w:rsidRPr="005F2F6A">
        <w:rPr>
          <w:i/>
          <w:color w:val="000000" w:themeColor="text1"/>
        </w:rPr>
        <w:t>size</w:t>
      </w:r>
      <w:r w:rsidR="009A0847">
        <w:rPr>
          <w:i/>
          <w:color w:val="000000" w:themeColor="text1"/>
        </w:rPr>
        <w:t xml:space="preserve"> </w:t>
      </w:r>
      <w:r w:rsidRPr="005F2F6A">
        <w:rPr>
          <w:i/>
          <w:color w:val="000000" w:themeColor="text1"/>
        </w:rPr>
        <w:t>so</w:t>
      </w:r>
      <w:r w:rsidR="009A0847">
        <w:rPr>
          <w:i/>
          <w:color w:val="000000" w:themeColor="text1"/>
        </w:rPr>
        <w:t xml:space="preserve"> </w:t>
      </w:r>
      <w:r w:rsidRPr="005F2F6A">
        <w:rPr>
          <w:i/>
          <w:color w:val="000000" w:themeColor="text1"/>
        </w:rPr>
        <w:t>that</w:t>
      </w:r>
      <w:r w:rsidR="009A0847">
        <w:rPr>
          <w:i/>
          <w:color w:val="000000" w:themeColor="text1"/>
        </w:rPr>
        <w:t xml:space="preserve"> </w:t>
      </w:r>
      <w:r w:rsidRPr="005F2F6A">
        <w:rPr>
          <w:i/>
          <w:color w:val="000000" w:themeColor="text1"/>
        </w:rPr>
        <w:t>usage</w:t>
      </w:r>
      <w:r w:rsidR="009A0847">
        <w:rPr>
          <w:i/>
          <w:color w:val="000000" w:themeColor="text1"/>
        </w:rPr>
        <w:t xml:space="preserve"> </w:t>
      </w:r>
      <w:r w:rsidRPr="005F2F6A">
        <w:rPr>
          <w:i/>
          <w:color w:val="000000" w:themeColor="text1"/>
        </w:rPr>
        <w:t>in</w:t>
      </w:r>
      <w:r w:rsidR="009A0847">
        <w:rPr>
          <w:i/>
          <w:color w:val="000000" w:themeColor="text1"/>
        </w:rPr>
        <w:t xml:space="preserve"> </w:t>
      </w:r>
      <w:r w:rsidRPr="005F2F6A">
        <w:rPr>
          <w:i/>
          <w:color w:val="000000" w:themeColor="text1"/>
        </w:rPr>
        <w:t>the</w:t>
      </w:r>
      <w:r w:rsidR="009A0847">
        <w:rPr>
          <w:i/>
          <w:color w:val="000000" w:themeColor="text1"/>
        </w:rPr>
        <w:t xml:space="preserve"> </w:t>
      </w:r>
      <w:r w:rsidRPr="005F2F6A">
        <w:rPr>
          <w:i/>
          <w:color w:val="000000" w:themeColor="text1"/>
        </w:rPr>
        <w:t>event</w:t>
      </w:r>
      <w:r w:rsidR="009A0847">
        <w:rPr>
          <w:i/>
          <w:color w:val="000000" w:themeColor="text1"/>
        </w:rPr>
        <w:t xml:space="preserve"> </w:t>
      </w:r>
      <w:r w:rsidRPr="005F2F6A">
        <w:rPr>
          <w:i/>
          <w:color w:val="000000" w:themeColor="text1"/>
        </w:rPr>
        <w:t>of</w:t>
      </w:r>
      <w:r w:rsidR="009A0847">
        <w:rPr>
          <w:i/>
          <w:color w:val="000000" w:themeColor="text1"/>
        </w:rPr>
        <w:t xml:space="preserve"> </w:t>
      </w:r>
      <w:r w:rsidRPr="005F2F6A">
        <w:rPr>
          <w:i/>
          <w:color w:val="000000" w:themeColor="text1"/>
        </w:rPr>
        <w:t>a</w:t>
      </w:r>
      <w:r w:rsidR="009A0847">
        <w:rPr>
          <w:i/>
          <w:color w:val="000000" w:themeColor="text1"/>
        </w:rPr>
        <w:t xml:space="preserve"> </w:t>
      </w:r>
      <w:r w:rsidRPr="005F2F6A">
        <w:rPr>
          <w:i/>
          <w:color w:val="000000" w:themeColor="text1"/>
        </w:rPr>
        <w:t>significant</w:t>
      </w:r>
      <w:r w:rsidR="009A0847">
        <w:rPr>
          <w:i/>
          <w:color w:val="000000" w:themeColor="text1"/>
        </w:rPr>
        <w:t xml:space="preserve"> </w:t>
      </w:r>
      <w:r w:rsidRPr="005F2F6A">
        <w:rPr>
          <w:rFonts w:ascii="’'36xÔˇøÂ'91Â'1" w:hAnsi="’'36xÔˇøÂ'91Â'1" w:cs="’'36xÔˇøÂ'91Â'1"/>
          <w:b/>
          <w:bCs/>
          <w:i/>
          <w:color w:val="000000" w:themeColor="text1"/>
        </w:rPr>
        <w:t>‘</w:t>
      </w:r>
      <w:r w:rsidRPr="005F2F6A">
        <w:rPr>
          <w:i/>
          <w:color w:val="000000" w:themeColor="text1"/>
        </w:rPr>
        <w:t>genuine</w:t>
      </w:r>
      <w:r w:rsidRPr="005F2F6A">
        <w:rPr>
          <w:rFonts w:ascii="’'36xÔˇøÂ'91Â'1" w:hAnsi="’'36xÔˇøÂ'91Â'1" w:cs="’'36xÔˇøÂ'91Â'1"/>
          <w:b/>
          <w:bCs/>
          <w:i/>
          <w:color w:val="000000" w:themeColor="text1"/>
        </w:rPr>
        <w:t>’</w:t>
      </w:r>
      <w:r w:rsidR="009A0847">
        <w:rPr>
          <w:rFonts w:ascii="’'36xÔˇøÂ'91Â'1" w:hAnsi="’'36xÔˇøÂ'91Â'1" w:cs="’'36xÔˇøÂ'91Â'1"/>
          <w:b/>
          <w:bCs/>
          <w:i/>
          <w:color w:val="000000" w:themeColor="text1"/>
        </w:rPr>
        <w:t xml:space="preserve"> </w:t>
      </w:r>
      <w:r w:rsidRPr="005F2F6A">
        <w:rPr>
          <w:i/>
          <w:color w:val="000000" w:themeColor="text1"/>
        </w:rPr>
        <w:t>need</w:t>
      </w:r>
      <w:r w:rsidR="009A0847">
        <w:rPr>
          <w:i/>
          <w:color w:val="000000" w:themeColor="text1"/>
        </w:rPr>
        <w:t xml:space="preserve"> </w:t>
      </w:r>
      <w:r w:rsidRPr="005F2F6A">
        <w:rPr>
          <w:i/>
          <w:color w:val="000000" w:themeColor="text1"/>
        </w:rPr>
        <w:t>by</w:t>
      </w:r>
      <w:r w:rsidR="009A0847">
        <w:rPr>
          <w:i/>
          <w:color w:val="000000" w:themeColor="text1"/>
        </w:rPr>
        <w:t xml:space="preserve"> </w:t>
      </w:r>
      <w:r w:rsidRPr="005F2F6A">
        <w:rPr>
          <w:i/>
          <w:color w:val="000000" w:themeColor="text1"/>
        </w:rPr>
        <w:t>a</w:t>
      </w:r>
      <w:r w:rsidR="009A0847">
        <w:rPr>
          <w:i/>
          <w:color w:val="000000" w:themeColor="text1"/>
        </w:rPr>
        <w:t xml:space="preserve"> </w:t>
      </w:r>
      <w:r w:rsidRPr="005F2F6A">
        <w:rPr>
          <w:i/>
          <w:color w:val="000000" w:themeColor="text1"/>
        </w:rPr>
        <w:t>bank</w:t>
      </w:r>
      <w:r w:rsidR="009A0847">
        <w:rPr>
          <w:i/>
          <w:color w:val="000000" w:themeColor="text1"/>
        </w:rPr>
        <w:t xml:space="preserve"> </w:t>
      </w:r>
      <w:r w:rsidRPr="005F2F6A">
        <w:rPr>
          <w:i/>
          <w:color w:val="000000" w:themeColor="text1"/>
        </w:rPr>
        <w:t>would</w:t>
      </w:r>
      <w:r w:rsidR="009A0847">
        <w:rPr>
          <w:i/>
          <w:color w:val="000000" w:themeColor="text1"/>
        </w:rPr>
        <w:t xml:space="preserve"> </w:t>
      </w:r>
      <w:r w:rsidRPr="005F2F6A">
        <w:rPr>
          <w:i/>
          <w:color w:val="000000" w:themeColor="text1"/>
        </w:rPr>
        <w:t>be</w:t>
      </w:r>
      <w:r w:rsidR="009A0847">
        <w:rPr>
          <w:i/>
          <w:color w:val="000000" w:themeColor="text1"/>
        </w:rPr>
        <w:t xml:space="preserve"> </w:t>
      </w:r>
      <w:r w:rsidRPr="005F2F6A">
        <w:rPr>
          <w:i/>
          <w:color w:val="000000" w:themeColor="text1"/>
        </w:rPr>
        <w:t>less</w:t>
      </w:r>
      <w:r w:rsidR="009A0847">
        <w:rPr>
          <w:i/>
          <w:color w:val="000000" w:themeColor="text1"/>
        </w:rPr>
        <w:t xml:space="preserve"> </w:t>
      </w:r>
      <w:r w:rsidRPr="005F2F6A">
        <w:rPr>
          <w:i/>
          <w:color w:val="000000" w:themeColor="text1"/>
        </w:rPr>
        <w:t>likely</w:t>
      </w:r>
      <w:r w:rsidR="009A0847">
        <w:rPr>
          <w:i/>
          <w:color w:val="000000" w:themeColor="text1"/>
        </w:rPr>
        <w:t xml:space="preserve"> </w:t>
      </w:r>
      <w:r w:rsidRPr="005F2F6A">
        <w:rPr>
          <w:i/>
          <w:color w:val="000000" w:themeColor="text1"/>
        </w:rPr>
        <w:t>to</w:t>
      </w:r>
      <w:r w:rsidR="009A0847">
        <w:rPr>
          <w:i/>
          <w:color w:val="000000" w:themeColor="text1"/>
        </w:rPr>
        <w:t xml:space="preserve"> </w:t>
      </w:r>
      <w:r w:rsidRPr="005F2F6A">
        <w:rPr>
          <w:i/>
          <w:color w:val="000000" w:themeColor="text1"/>
        </w:rPr>
        <w:t>be</w:t>
      </w:r>
      <w:r w:rsidR="009A0847">
        <w:rPr>
          <w:i/>
          <w:color w:val="000000" w:themeColor="text1"/>
        </w:rPr>
        <w:t xml:space="preserve"> </w:t>
      </w:r>
      <w:r w:rsidRPr="005F2F6A">
        <w:rPr>
          <w:i/>
          <w:color w:val="000000" w:themeColor="text1"/>
        </w:rPr>
        <w:t>noticed</w:t>
      </w:r>
      <w:r w:rsidRPr="005F2F6A">
        <w:rPr>
          <w:color w:val="000000" w:themeColor="text1"/>
        </w:rPr>
        <w:t>.”</w:t>
      </w:r>
      <w:r w:rsidR="009A0847">
        <w:rPr>
          <w:color w:val="000000" w:themeColor="text1"/>
        </w:rPr>
        <w:t xml:space="preserve"> </w:t>
      </w:r>
      <w:r w:rsidRPr="005F2F6A">
        <w:rPr>
          <w:color w:val="000000" w:themeColor="text1"/>
        </w:rPr>
        <w:t>Th</w:t>
      </w:r>
      <w:r w:rsidR="00F96F4B">
        <w:rPr>
          <w:color w:val="000000" w:themeColor="text1"/>
        </w:rPr>
        <w:t>us,</w:t>
      </w:r>
      <w:r w:rsidR="009A0847">
        <w:rPr>
          <w:color w:val="000000" w:themeColor="text1"/>
        </w:rPr>
        <w:t xml:space="preserve"> </w:t>
      </w:r>
      <w:r w:rsidR="00F96F4B">
        <w:rPr>
          <w:color w:val="000000" w:themeColor="text1"/>
        </w:rPr>
        <w:t>th</w:t>
      </w:r>
      <w:r w:rsidRPr="005F2F6A">
        <w:rPr>
          <w:color w:val="000000" w:themeColor="text1"/>
        </w:rPr>
        <w:t>e</w:t>
      </w:r>
      <w:r w:rsidR="009A0847">
        <w:rPr>
          <w:color w:val="000000" w:themeColor="text1"/>
        </w:rPr>
        <w:t xml:space="preserve"> </w:t>
      </w:r>
      <w:r w:rsidRPr="005F2F6A">
        <w:rPr>
          <w:color w:val="000000" w:themeColor="text1"/>
        </w:rPr>
        <w:t>idea</w:t>
      </w:r>
      <w:r w:rsidR="009A0847">
        <w:rPr>
          <w:color w:val="000000" w:themeColor="text1"/>
        </w:rPr>
        <w:t xml:space="preserve"> </w:t>
      </w:r>
      <w:r w:rsidRPr="005F2F6A">
        <w:rPr>
          <w:color w:val="000000" w:themeColor="text1"/>
        </w:rPr>
        <w:t>is</w:t>
      </w:r>
      <w:r w:rsidR="009A0847">
        <w:rPr>
          <w:color w:val="000000" w:themeColor="text1"/>
        </w:rPr>
        <w:t xml:space="preserve"> </w:t>
      </w:r>
      <w:r w:rsidRPr="005F2F6A">
        <w:rPr>
          <w:color w:val="000000" w:themeColor="text1"/>
        </w:rPr>
        <w:t>to</w:t>
      </w:r>
      <w:r w:rsidR="009A0847">
        <w:rPr>
          <w:color w:val="000000" w:themeColor="text1"/>
        </w:rPr>
        <w:t xml:space="preserve"> </w:t>
      </w:r>
      <w:r w:rsidRPr="005F2F6A">
        <w:rPr>
          <w:color w:val="000000" w:themeColor="text1"/>
        </w:rPr>
        <w:t>make</w:t>
      </w:r>
      <w:r w:rsidR="009A0847">
        <w:rPr>
          <w:color w:val="000000" w:themeColor="text1"/>
        </w:rPr>
        <w:t xml:space="preserve"> </w:t>
      </w:r>
      <w:r w:rsidRPr="005F2F6A">
        <w:rPr>
          <w:color w:val="000000" w:themeColor="text1"/>
        </w:rPr>
        <w:t>DW</w:t>
      </w:r>
      <w:r w:rsidR="009A0847">
        <w:rPr>
          <w:color w:val="000000" w:themeColor="text1"/>
        </w:rPr>
        <w:t xml:space="preserve"> </w:t>
      </w:r>
      <w:r w:rsidRPr="005F2F6A">
        <w:rPr>
          <w:color w:val="000000" w:themeColor="text1"/>
        </w:rPr>
        <w:t>borrowing</w:t>
      </w:r>
      <w:r w:rsidR="009A0847">
        <w:rPr>
          <w:color w:val="000000" w:themeColor="text1"/>
        </w:rPr>
        <w:t xml:space="preserve"> </w:t>
      </w:r>
      <w:r w:rsidRPr="005F2F6A">
        <w:rPr>
          <w:color w:val="000000" w:themeColor="text1"/>
        </w:rPr>
        <w:t>both</w:t>
      </w:r>
      <w:r w:rsidR="009A0847">
        <w:rPr>
          <w:color w:val="000000" w:themeColor="text1"/>
        </w:rPr>
        <w:t xml:space="preserve"> </w:t>
      </w:r>
      <w:r w:rsidRPr="005F2F6A">
        <w:rPr>
          <w:color w:val="000000" w:themeColor="text1"/>
        </w:rPr>
        <w:t>unremarkable</w:t>
      </w:r>
      <w:r w:rsidR="009A0847">
        <w:rPr>
          <w:color w:val="000000" w:themeColor="text1"/>
        </w:rPr>
        <w:t xml:space="preserve"> </w:t>
      </w:r>
      <w:r w:rsidRPr="005F2F6A">
        <w:rPr>
          <w:color w:val="000000" w:themeColor="text1"/>
        </w:rPr>
        <w:t>and</w:t>
      </w:r>
      <w:r w:rsidR="009A0847">
        <w:rPr>
          <w:color w:val="000000" w:themeColor="text1"/>
        </w:rPr>
        <w:t xml:space="preserve"> </w:t>
      </w:r>
      <w:r w:rsidRPr="005F2F6A">
        <w:rPr>
          <w:color w:val="000000" w:themeColor="text1"/>
        </w:rPr>
        <w:t>uninformative</w:t>
      </w:r>
      <w:r w:rsidR="009A0847">
        <w:rPr>
          <w:color w:val="000000" w:themeColor="text1"/>
        </w:rPr>
        <w:t xml:space="preserve"> </w:t>
      </w:r>
      <w:r w:rsidRPr="005F2F6A">
        <w:rPr>
          <w:color w:val="000000" w:themeColor="text1"/>
        </w:rPr>
        <w:t>by</w:t>
      </w:r>
      <w:r w:rsidR="009A0847">
        <w:rPr>
          <w:color w:val="000000" w:themeColor="text1"/>
        </w:rPr>
        <w:t xml:space="preserve"> </w:t>
      </w:r>
      <w:r w:rsidRPr="005F2F6A">
        <w:rPr>
          <w:color w:val="000000" w:themeColor="text1"/>
        </w:rPr>
        <w:t>having</w:t>
      </w:r>
      <w:r w:rsidR="009A0847">
        <w:rPr>
          <w:color w:val="000000" w:themeColor="text1"/>
        </w:rPr>
        <w:t xml:space="preserve"> </w:t>
      </w:r>
      <w:r w:rsidRPr="005F2F6A">
        <w:rPr>
          <w:color w:val="000000" w:themeColor="text1"/>
        </w:rPr>
        <w:t>bank</w:t>
      </w:r>
      <w:r w:rsidR="009A44CD">
        <w:rPr>
          <w:color w:val="000000" w:themeColor="text1"/>
        </w:rPr>
        <w:t>s</w:t>
      </w:r>
      <w:r w:rsidR="009A0847">
        <w:rPr>
          <w:color w:val="000000" w:themeColor="text1"/>
        </w:rPr>
        <w:t xml:space="preserve"> </w:t>
      </w:r>
      <w:r w:rsidRPr="005F2F6A">
        <w:rPr>
          <w:color w:val="000000" w:themeColor="text1"/>
        </w:rPr>
        <w:t>access</w:t>
      </w:r>
      <w:r w:rsidR="009A0847">
        <w:rPr>
          <w:color w:val="000000" w:themeColor="text1"/>
        </w:rPr>
        <w:t xml:space="preserve"> </w:t>
      </w:r>
      <w:r w:rsidRPr="005F2F6A">
        <w:rPr>
          <w:color w:val="000000" w:themeColor="text1"/>
        </w:rPr>
        <w:t>the</w:t>
      </w:r>
      <w:r w:rsidR="009A0847">
        <w:rPr>
          <w:color w:val="000000" w:themeColor="text1"/>
        </w:rPr>
        <w:t xml:space="preserve"> </w:t>
      </w:r>
      <w:r w:rsidRPr="005F2F6A">
        <w:rPr>
          <w:color w:val="000000" w:themeColor="text1"/>
        </w:rPr>
        <w:t>DW</w:t>
      </w:r>
      <w:r w:rsidR="009A0847">
        <w:rPr>
          <w:color w:val="000000" w:themeColor="text1"/>
        </w:rPr>
        <w:t xml:space="preserve"> </w:t>
      </w:r>
      <w:r w:rsidRPr="005F2F6A">
        <w:rPr>
          <w:color w:val="000000" w:themeColor="text1"/>
        </w:rPr>
        <w:t>regularly.</w:t>
      </w:r>
      <w:r w:rsidR="009A0847">
        <w:rPr>
          <w:color w:val="000000" w:themeColor="text1"/>
        </w:rPr>
        <w:t xml:space="preserve"> </w:t>
      </w:r>
    </w:p>
    <w:p w14:paraId="4884E18A" w14:textId="47E872AD" w:rsidR="00A7691C" w:rsidRDefault="00A7691C" w:rsidP="00A3292A">
      <w:pPr>
        <w:pStyle w:val="Olivier1"/>
        <w:widowControl w:val="0"/>
        <w:ind w:firstLine="360"/>
      </w:pPr>
      <w:r>
        <w:rPr>
          <w:color w:val="000000" w:themeColor="text1"/>
        </w:rPr>
        <w:t>The</w:t>
      </w:r>
      <w:r w:rsidR="009A0847">
        <w:rPr>
          <w:color w:val="000000" w:themeColor="text1"/>
        </w:rPr>
        <w:t xml:space="preserve"> </w:t>
      </w:r>
      <w:r>
        <w:rPr>
          <w:color w:val="000000" w:themeColor="text1"/>
        </w:rPr>
        <w:t>t</w:t>
      </w:r>
      <w:r w:rsidR="0096421F">
        <w:rPr>
          <w:color w:val="000000" w:themeColor="text1"/>
        </w:rPr>
        <w:t>h</w:t>
      </w:r>
      <w:r>
        <w:rPr>
          <w:color w:val="000000" w:themeColor="text1"/>
        </w:rPr>
        <w:t>ir</w:t>
      </w:r>
      <w:r w:rsidRPr="005F2F6A">
        <w:rPr>
          <w:color w:val="000000" w:themeColor="text1"/>
        </w:rPr>
        <w:t>d</w:t>
      </w:r>
      <w:r w:rsidR="009A0847">
        <w:rPr>
          <w:color w:val="000000" w:themeColor="text1"/>
        </w:rPr>
        <w:t xml:space="preserve"> </w:t>
      </w:r>
      <w:r w:rsidRPr="005F2F6A">
        <w:rPr>
          <w:color w:val="000000" w:themeColor="text1"/>
        </w:rPr>
        <w:t>treatment</w:t>
      </w:r>
      <w:r w:rsidR="009A0847">
        <w:rPr>
          <w:color w:val="000000" w:themeColor="text1"/>
        </w:rPr>
        <w:t xml:space="preserve"> </w:t>
      </w:r>
      <w:r>
        <w:rPr>
          <w:color w:val="000000" w:themeColor="text1"/>
        </w:rPr>
        <w:t>evaluates</w:t>
      </w:r>
      <w:r w:rsidR="009A0847">
        <w:rPr>
          <w:color w:val="000000" w:themeColor="text1"/>
        </w:rPr>
        <w:t xml:space="preserve"> </w:t>
      </w:r>
      <w:r>
        <w:rPr>
          <w:color w:val="000000" w:themeColor="text1"/>
        </w:rPr>
        <w:t>the</w:t>
      </w:r>
      <w:r w:rsidR="009A0847">
        <w:rPr>
          <w:color w:val="000000" w:themeColor="text1"/>
        </w:rPr>
        <w:t xml:space="preserve"> </w:t>
      </w:r>
      <w:r>
        <w:rPr>
          <w:color w:val="000000" w:themeColor="text1"/>
        </w:rPr>
        <w:t>effect</w:t>
      </w:r>
      <w:r w:rsidR="009A0847">
        <w:rPr>
          <w:color w:val="000000" w:themeColor="text1"/>
        </w:rPr>
        <w:t xml:space="preserve"> </w:t>
      </w:r>
      <w:r>
        <w:rPr>
          <w:color w:val="000000" w:themeColor="text1"/>
        </w:rPr>
        <w:t>of</w:t>
      </w:r>
      <w:r w:rsidR="009A0847">
        <w:rPr>
          <w:color w:val="000000" w:themeColor="text1"/>
        </w:rPr>
        <w:t xml:space="preserve"> </w:t>
      </w:r>
      <w:r>
        <w:rPr>
          <w:color w:val="000000" w:themeColor="text1"/>
        </w:rPr>
        <w:t>changing</w:t>
      </w:r>
      <w:r w:rsidR="009A0847">
        <w:rPr>
          <w:color w:val="000000" w:themeColor="text1"/>
        </w:rPr>
        <w:t xml:space="preserve"> </w:t>
      </w:r>
      <w:r w:rsidRPr="005F2F6A">
        <w:rPr>
          <w:color w:val="000000" w:themeColor="text1"/>
        </w:rPr>
        <w:t>the</w:t>
      </w:r>
      <w:r w:rsidR="009A0847">
        <w:rPr>
          <w:color w:val="000000" w:themeColor="text1"/>
        </w:rPr>
        <w:t xml:space="preserve"> </w:t>
      </w:r>
      <w:r w:rsidRPr="005F2F6A">
        <w:rPr>
          <w:color w:val="000000" w:themeColor="text1"/>
        </w:rPr>
        <w:t>DW</w:t>
      </w:r>
      <w:r w:rsidR="009A0847">
        <w:rPr>
          <w:color w:val="000000" w:themeColor="text1"/>
        </w:rPr>
        <w:t xml:space="preserve"> </w:t>
      </w:r>
      <w:r w:rsidRPr="005F2F6A">
        <w:rPr>
          <w:color w:val="000000" w:themeColor="text1"/>
        </w:rPr>
        <w:t>probability</w:t>
      </w:r>
      <w:r w:rsidR="009A0847">
        <w:rPr>
          <w:color w:val="000000" w:themeColor="text1"/>
        </w:rPr>
        <w:t xml:space="preserve"> </w:t>
      </w:r>
      <w:r w:rsidRPr="005F2F6A">
        <w:rPr>
          <w:color w:val="000000" w:themeColor="text1"/>
        </w:rPr>
        <w:t>of</w:t>
      </w:r>
      <w:r w:rsidR="009A0847">
        <w:rPr>
          <w:color w:val="000000" w:themeColor="text1"/>
        </w:rPr>
        <w:t xml:space="preserve"> </w:t>
      </w:r>
      <w:r w:rsidRPr="005F2F6A">
        <w:rPr>
          <w:color w:val="000000" w:themeColor="text1"/>
        </w:rPr>
        <w:t>detection.</w:t>
      </w:r>
      <w:r w:rsidR="009A0847">
        <w:rPr>
          <w:color w:val="000000" w:themeColor="text1"/>
        </w:rPr>
        <w:t xml:space="preserve"> </w:t>
      </w:r>
      <w:r w:rsidRPr="005F2F6A">
        <w:rPr>
          <w:color w:val="000000" w:themeColor="text1"/>
        </w:rPr>
        <w:t>Clearly,</w:t>
      </w:r>
      <w:r w:rsidR="009A0847">
        <w:rPr>
          <w:color w:val="000000" w:themeColor="text1"/>
        </w:rPr>
        <w:t xml:space="preserve"> </w:t>
      </w:r>
      <w:r w:rsidRPr="005F2F6A">
        <w:rPr>
          <w:color w:val="000000" w:themeColor="text1"/>
        </w:rPr>
        <w:t>there</w:t>
      </w:r>
      <w:r w:rsidR="009A0847">
        <w:rPr>
          <w:color w:val="000000" w:themeColor="text1"/>
        </w:rPr>
        <w:t xml:space="preserve"> </w:t>
      </w:r>
      <w:r w:rsidRPr="005F2F6A">
        <w:rPr>
          <w:color w:val="000000" w:themeColor="text1"/>
        </w:rPr>
        <w:t>cannot</w:t>
      </w:r>
      <w:r w:rsidR="009A0847">
        <w:rPr>
          <w:color w:val="000000" w:themeColor="text1"/>
        </w:rPr>
        <w:t xml:space="preserve"> </w:t>
      </w:r>
      <w:r w:rsidRPr="005F2F6A">
        <w:rPr>
          <w:color w:val="000000" w:themeColor="text1"/>
        </w:rPr>
        <w:t>be</w:t>
      </w:r>
      <w:r w:rsidR="009A0847">
        <w:rPr>
          <w:color w:val="000000" w:themeColor="text1"/>
        </w:rPr>
        <w:t xml:space="preserve"> </w:t>
      </w:r>
      <w:r w:rsidRPr="005F2F6A">
        <w:rPr>
          <w:color w:val="000000" w:themeColor="text1"/>
        </w:rPr>
        <w:t>DW</w:t>
      </w:r>
      <w:r w:rsidR="009A0847">
        <w:rPr>
          <w:color w:val="000000" w:themeColor="text1"/>
        </w:rPr>
        <w:t xml:space="preserve"> </w:t>
      </w:r>
      <w:r w:rsidRPr="005F2F6A">
        <w:rPr>
          <w:color w:val="000000" w:themeColor="text1"/>
        </w:rPr>
        <w:t>stigma</w:t>
      </w:r>
      <w:r w:rsidR="009A0847">
        <w:rPr>
          <w:color w:val="000000" w:themeColor="text1"/>
        </w:rPr>
        <w:t xml:space="preserve"> </w:t>
      </w:r>
      <w:r w:rsidRPr="005F2F6A">
        <w:rPr>
          <w:color w:val="000000" w:themeColor="text1"/>
        </w:rPr>
        <w:t>unless</w:t>
      </w:r>
      <w:r w:rsidR="009A0847">
        <w:rPr>
          <w:color w:val="000000" w:themeColor="text1"/>
        </w:rPr>
        <w:t xml:space="preserve"> </w:t>
      </w:r>
      <w:r w:rsidRPr="005F2F6A">
        <w:rPr>
          <w:color w:val="000000" w:themeColor="text1"/>
        </w:rPr>
        <w:t>there</w:t>
      </w:r>
      <w:r w:rsidR="009A0847">
        <w:rPr>
          <w:color w:val="000000" w:themeColor="text1"/>
        </w:rPr>
        <w:t xml:space="preserve"> </w:t>
      </w:r>
      <w:r w:rsidRPr="005F2F6A">
        <w:rPr>
          <w:color w:val="000000" w:themeColor="text1"/>
        </w:rPr>
        <w:t>is</w:t>
      </w:r>
      <w:r w:rsidR="009A0847">
        <w:rPr>
          <w:color w:val="000000" w:themeColor="text1"/>
        </w:rPr>
        <w:t xml:space="preserve"> </w:t>
      </w:r>
      <w:r w:rsidRPr="005F2F6A">
        <w:rPr>
          <w:color w:val="000000" w:themeColor="text1"/>
        </w:rPr>
        <w:t>a</w:t>
      </w:r>
      <w:r w:rsidR="009A0847">
        <w:rPr>
          <w:color w:val="000000" w:themeColor="text1"/>
        </w:rPr>
        <w:t xml:space="preserve"> </w:t>
      </w:r>
      <w:r w:rsidRPr="005F2F6A">
        <w:rPr>
          <w:color w:val="000000" w:themeColor="text1"/>
        </w:rPr>
        <w:t>chance</w:t>
      </w:r>
      <w:r w:rsidR="009A0847">
        <w:rPr>
          <w:color w:val="000000" w:themeColor="text1"/>
        </w:rPr>
        <w:t xml:space="preserve"> </w:t>
      </w:r>
      <w:r>
        <w:rPr>
          <w:color w:val="000000" w:themeColor="text1"/>
        </w:rPr>
        <w:t>that</w:t>
      </w:r>
      <w:r w:rsidR="009A0847">
        <w:rPr>
          <w:color w:val="000000" w:themeColor="text1"/>
        </w:rPr>
        <w:t xml:space="preserve"> </w:t>
      </w:r>
      <w:r>
        <w:rPr>
          <w:color w:val="000000" w:themeColor="text1"/>
        </w:rPr>
        <w:t>DW</w:t>
      </w:r>
      <w:r w:rsidR="009A0847">
        <w:rPr>
          <w:color w:val="000000" w:themeColor="text1"/>
        </w:rPr>
        <w:t xml:space="preserve"> </w:t>
      </w:r>
      <w:r>
        <w:rPr>
          <w:color w:val="000000" w:themeColor="text1"/>
        </w:rPr>
        <w:t>borrowing</w:t>
      </w:r>
      <w:r w:rsidR="009A0847">
        <w:rPr>
          <w:color w:val="000000" w:themeColor="text1"/>
        </w:rPr>
        <w:t xml:space="preserve"> </w:t>
      </w:r>
      <w:r w:rsidRPr="005F2F6A">
        <w:rPr>
          <w:color w:val="000000" w:themeColor="text1"/>
        </w:rPr>
        <w:t>is</w:t>
      </w:r>
      <w:r w:rsidR="009A0847">
        <w:rPr>
          <w:color w:val="000000" w:themeColor="text1"/>
        </w:rPr>
        <w:t xml:space="preserve"> </w:t>
      </w:r>
      <w:r w:rsidRPr="005F2F6A">
        <w:rPr>
          <w:color w:val="000000" w:themeColor="text1"/>
        </w:rPr>
        <w:t>detected.</w:t>
      </w:r>
      <w:r w:rsidR="009A0847">
        <w:rPr>
          <w:color w:val="000000" w:themeColor="text1"/>
        </w:rPr>
        <w:t xml:space="preserve"> </w:t>
      </w:r>
      <w:r w:rsidRPr="005F2F6A">
        <w:rPr>
          <w:color w:val="000000" w:themeColor="text1"/>
        </w:rPr>
        <w:t>Although</w:t>
      </w:r>
      <w:r w:rsidR="009A0847">
        <w:rPr>
          <w:color w:val="000000" w:themeColor="text1"/>
        </w:rPr>
        <w:t xml:space="preserve"> </w:t>
      </w:r>
      <w:r>
        <w:rPr>
          <w:color w:val="000000" w:themeColor="text1"/>
        </w:rPr>
        <w:t>the</w:t>
      </w:r>
      <w:r w:rsidR="009A0847">
        <w:rPr>
          <w:color w:val="000000" w:themeColor="text1"/>
        </w:rPr>
        <w:t xml:space="preserve"> </w:t>
      </w:r>
      <w:r>
        <w:rPr>
          <w:color w:val="000000" w:themeColor="text1"/>
        </w:rPr>
        <w:t>Fed</w:t>
      </w:r>
      <w:r w:rsidR="009A0847">
        <w:rPr>
          <w:color w:val="000000" w:themeColor="text1"/>
        </w:rPr>
        <w:t xml:space="preserve"> </w:t>
      </w:r>
      <w:r w:rsidRPr="005F2F6A">
        <w:rPr>
          <w:color w:val="000000" w:themeColor="text1"/>
        </w:rPr>
        <w:t>do</w:t>
      </w:r>
      <w:r>
        <w:rPr>
          <w:color w:val="000000" w:themeColor="text1"/>
        </w:rPr>
        <w:t>es</w:t>
      </w:r>
      <w:r w:rsidR="009A0847">
        <w:rPr>
          <w:color w:val="000000" w:themeColor="text1"/>
        </w:rPr>
        <w:t xml:space="preserve"> </w:t>
      </w:r>
      <w:r w:rsidRPr="005F2F6A">
        <w:rPr>
          <w:color w:val="000000" w:themeColor="text1"/>
        </w:rPr>
        <w:t>not</w:t>
      </w:r>
      <w:r w:rsidR="009A0847">
        <w:rPr>
          <w:color w:val="000000" w:themeColor="text1"/>
        </w:rPr>
        <w:t xml:space="preserve"> </w:t>
      </w:r>
      <w:r w:rsidRPr="005F2F6A">
        <w:rPr>
          <w:color w:val="000000" w:themeColor="text1"/>
        </w:rPr>
        <w:t>disclose</w:t>
      </w:r>
      <w:r w:rsidR="009A0847">
        <w:rPr>
          <w:color w:val="000000" w:themeColor="text1"/>
        </w:rPr>
        <w:t xml:space="preserve"> </w:t>
      </w:r>
      <w:r w:rsidRPr="005F2F6A">
        <w:rPr>
          <w:color w:val="000000" w:themeColor="text1"/>
        </w:rPr>
        <w:t>the</w:t>
      </w:r>
      <w:r w:rsidR="009A0847">
        <w:rPr>
          <w:color w:val="000000" w:themeColor="text1"/>
        </w:rPr>
        <w:t xml:space="preserve"> </w:t>
      </w:r>
      <w:r w:rsidRPr="005F2F6A">
        <w:rPr>
          <w:color w:val="000000" w:themeColor="text1"/>
        </w:rPr>
        <w:t>borrowers’</w:t>
      </w:r>
      <w:r w:rsidR="009A0847">
        <w:rPr>
          <w:color w:val="000000" w:themeColor="text1"/>
        </w:rPr>
        <w:t xml:space="preserve"> </w:t>
      </w:r>
      <w:r w:rsidRPr="005F2F6A">
        <w:rPr>
          <w:color w:val="000000" w:themeColor="text1"/>
        </w:rPr>
        <w:t>identit</w:t>
      </w:r>
      <w:r>
        <w:rPr>
          <w:color w:val="000000" w:themeColor="text1"/>
        </w:rPr>
        <w:t>ies</w:t>
      </w:r>
      <w:r w:rsidR="009A0847">
        <w:rPr>
          <w:color w:val="000000" w:themeColor="text1"/>
        </w:rPr>
        <w:t xml:space="preserve"> </w:t>
      </w:r>
      <w:r w:rsidRPr="005F2F6A">
        <w:rPr>
          <w:color w:val="000000" w:themeColor="text1"/>
        </w:rPr>
        <w:t>in</w:t>
      </w:r>
      <w:r w:rsidR="009A0847">
        <w:rPr>
          <w:color w:val="000000" w:themeColor="text1"/>
        </w:rPr>
        <w:t xml:space="preserve"> </w:t>
      </w:r>
      <w:r w:rsidRPr="005F2F6A">
        <w:rPr>
          <w:color w:val="000000" w:themeColor="text1"/>
        </w:rPr>
        <w:t>real</w:t>
      </w:r>
      <w:r w:rsidR="009A0847">
        <w:rPr>
          <w:color w:val="000000" w:themeColor="text1"/>
        </w:rPr>
        <w:t xml:space="preserve"> </w:t>
      </w:r>
      <w:r w:rsidRPr="005F2F6A">
        <w:rPr>
          <w:color w:val="000000" w:themeColor="text1"/>
        </w:rPr>
        <w:t>time,</w:t>
      </w:r>
      <w:r w:rsidR="009A0847">
        <w:rPr>
          <w:color w:val="000000" w:themeColor="text1"/>
        </w:rPr>
        <w:t xml:space="preserve"> </w:t>
      </w:r>
      <w:r w:rsidRPr="005F2F6A">
        <w:rPr>
          <w:color w:val="000000" w:themeColor="text1"/>
        </w:rPr>
        <w:t>concerns</w:t>
      </w:r>
      <w:r w:rsidR="009A0847">
        <w:rPr>
          <w:color w:val="000000" w:themeColor="text1"/>
        </w:rPr>
        <w:t xml:space="preserve"> </w:t>
      </w:r>
      <w:r>
        <w:rPr>
          <w:color w:val="000000" w:themeColor="text1"/>
        </w:rPr>
        <w:t>have</w:t>
      </w:r>
      <w:r w:rsidR="009A0847">
        <w:rPr>
          <w:color w:val="000000" w:themeColor="text1"/>
        </w:rPr>
        <w:t xml:space="preserve"> </w:t>
      </w:r>
      <w:r>
        <w:rPr>
          <w:color w:val="000000" w:themeColor="text1"/>
        </w:rPr>
        <w:t>been</w:t>
      </w:r>
      <w:r w:rsidR="009A0847">
        <w:rPr>
          <w:color w:val="000000" w:themeColor="text1"/>
        </w:rPr>
        <w:t xml:space="preserve"> </w:t>
      </w:r>
      <w:r>
        <w:rPr>
          <w:color w:val="000000" w:themeColor="text1"/>
        </w:rPr>
        <w:t>expressed</w:t>
      </w:r>
      <w:r w:rsidR="009A0847">
        <w:rPr>
          <w:color w:val="000000" w:themeColor="text1"/>
        </w:rPr>
        <w:t xml:space="preserve"> </w:t>
      </w:r>
      <w:r>
        <w:rPr>
          <w:color w:val="000000" w:themeColor="text1"/>
        </w:rPr>
        <w:t>recently</w:t>
      </w:r>
      <w:r w:rsidR="009A0847">
        <w:rPr>
          <w:color w:val="000000" w:themeColor="text1"/>
        </w:rPr>
        <w:t xml:space="preserve"> </w:t>
      </w:r>
      <w:r>
        <w:rPr>
          <w:color w:val="000000" w:themeColor="text1"/>
        </w:rPr>
        <w:t>over</w:t>
      </w:r>
      <w:r w:rsidR="009A0847">
        <w:rPr>
          <w:color w:val="000000" w:themeColor="text1"/>
        </w:rPr>
        <w:t xml:space="preserve"> </w:t>
      </w:r>
      <w:r w:rsidRPr="005F2F6A">
        <w:rPr>
          <w:color w:val="000000" w:themeColor="text1"/>
        </w:rPr>
        <w:t>proposed</w:t>
      </w:r>
      <w:r w:rsidR="009A0847">
        <w:rPr>
          <w:color w:val="000000" w:themeColor="text1"/>
        </w:rPr>
        <w:t xml:space="preserve"> </w:t>
      </w:r>
      <w:r w:rsidRPr="005F2F6A">
        <w:rPr>
          <w:color w:val="000000" w:themeColor="text1"/>
        </w:rPr>
        <w:t>changes</w:t>
      </w:r>
      <w:r w:rsidR="009A0847">
        <w:rPr>
          <w:color w:val="000000" w:themeColor="text1"/>
        </w:rPr>
        <w:t xml:space="preserve"> </w:t>
      </w:r>
      <w:r>
        <w:rPr>
          <w:color w:val="000000" w:themeColor="text1"/>
        </w:rPr>
        <w:t>in</w:t>
      </w:r>
      <w:r w:rsidR="009A0847">
        <w:rPr>
          <w:color w:val="000000" w:themeColor="text1"/>
        </w:rPr>
        <w:t xml:space="preserve"> </w:t>
      </w:r>
      <w:r w:rsidRPr="005F2F6A">
        <w:rPr>
          <w:color w:val="000000" w:themeColor="text1"/>
        </w:rPr>
        <w:t>disclosure</w:t>
      </w:r>
      <w:r w:rsidR="009A0847">
        <w:rPr>
          <w:color w:val="000000" w:themeColor="text1"/>
        </w:rPr>
        <w:t xml:space="preserve"> </w:t>
      </w:r>
      <w:r w:rsidRPr="005F2F6A">
        <w:rPr>
          <w:color w:val="000000" w:themeColor="text1"/>
        </w:rPr>
        <w:t>policies</w:t>
      </w:r>
      <w:r w:rsidR="009A0847">
        <w:rPr>
          <w:color w:val="000000" w:themeColor="text1"/>
        </w:rPr>
        <w:t xml:space="preserve"> </w:t>
      </w:r>
      <w:r>
        <w:rPr>
          <w:color w:val="000000" w:themeColor="text1"/>
        </w:rPr>
        <w:t>that</w:t>
      </w:r>
      <w:r w:rsidR="009A0847">
        <w:rPr>
          <w:color w:val="000000" w:themeColor="text1"/>
        </w:rPr>
        <w:t xml:space="preserve"> </w:t>
      </w:r>
      <w:r w:rsidRPr="005F2F6A">
        <w:rPr>
          <w:color w:val="000000" w:themeColor="text1"/>
        </w:rPr>
        <w:t>could</w:t>
      </w:r>
      <w:r w:rsidR="009A0847">
        <w:rPr>
          <w:color w:val="000000" w:themeColor="text1"/>
        </w:rPr>
        <w:t xml:space="preserve"> </w:t>
      </w:r>
      <w:r w:rsidRPr="005F2F6A">
        <w:rPr>
          <w:color w:val="000000" w:themeColor="text1"/>
        </w:rPr>
        <w:t>make</w:t>
      </w:r>
      <w:r w:rsidR="009A0847">
        <w:rPr>
          <w:color w:val="000000" w:themeColor="text1"/>
        </w:rPr>
        <w:t xml:space="preserve"> </w:t>
      </w:r>
      <w:r>
        <w:rPr>
          <w:color w:val="000000" w:themeColor="text1"/>
        </w:rPr>
        <w:t>DW</w:t>
      </w:r>
      <w:r w:rsidR="009A0847">
        <w:rPr>
          <w:color w:val="000000" w:themeColor="text1"/>
        </w:rPr>
        <w:t xml:space="preserve"> </w:t>
      </w:r>
      <w:r w:rsidRPr="005F2F6A">
        <w:rPr>
          <w:color w:val="000000" w:themeColor="text1"/>
        </w:rPr>
        <w:t>identification</w:t>
      </w:r>
      <w:r w:rsidR="009A0847">
        <w:rPr>
          <w:color w:val="000000" w:themeColor="text1"/>
        </w:rPr>
        <w:t xml:space="preserve"> </w:t>
      </w:r>
      <w:r w:rsidRPr="005F2F6A">
        <w:rPr>
          <w:color w:val="000000" w:themeColor="text1"/>
        </w:rPr>
        <w:t>e</w:t>
      </w:r>
      <w:r>
        <w:rPr>
          <w:color w:val="000000" w:themeColor="text1"/>
        </w:rPr>
        <w:t>asier</w:t>
      </w:r>
      <w:r w:rsidR="009A0847">
        <w:rPr>
          <w:color w:val="000000" w:themeColor="text1"/>
        </w:rPr>
        <w:t xml:space="preserve"> </w:t>
      </w:r>
      <w:r>
        <w:rPr>
          <w:color w:val="000000" w:themeColor="text1"/>
        </w:rPr>
        <w:t>and</w:t>
      </w:r>
      <w:r w:rsidR="009A0847">
        <w:rPr>
          <w:color w:val="000000" w:themeColor="text1"/>
        </w:rPr>
        <w:t xml:space="preserve"> </w:t>
      </w:r>
      <w:r>
        <w:rPr>
          <w:color w:val="000000" w:themeColor="text1"/>
        </w:rPr>
        <w:t>thereby</w:t>
      </w:r>
      <w:r w:rsidR="009A0847">
        <w:rPr>
          <w:color w:val="000000" w:themeColor="text1"/>
        </w:rPr>
        <w:t xml:space="preserve"> </w:t>
      </w:r>
      <w:r>
        <w:rPr>
          <w:color w:val="000000" w:themeColor="text1"/>
        </w:rPr>
        <w:t>exacerbate</w:t>
      </w:r>
      <w:r w:rsidR="009A0847">
        <w:rPr>
          <w:color w:val="000000" w:themeColor="text1"/>
        </w:rPr>
        <w:t xml:space="preserve"> </w:t>
      </w:r>
      <w:r w:rsidRPr="005F2F6A">
        <w:rPr>
          <w:color w:val="000000" w:themeColor="text1"/>
        </w:rPr>
        <w:t>stigma</w:t>
      </w:r>
      <w:r w:rsidR="009A0847">
        <w:rPr>
          <w:color w:val="000000" w:themeColor="text1"/>
        </w:rPr>
        <w:t xml:space="preserve"> </w:t>
      </w:r>
      <w:r w:rsidRPr="005F2F6A">
        <w:rPr>
          <w:color w:val="000000" w:themeColor="text1"/>
        </w:rPr>
        <w:t>(Bernanke</w:t>
      </w:r>
      <w:r w:rsidR="009A0847">
        <w:rPr>
          <w:color w:val="000000" w:themeColor="text1"/>
        </w:rPr>
        <w:t xml:space="preserve"> </w:t>
      </w:r>
      <w:r w:rsidRPr="005F2F6A">
        <w:rPr>
          <w:color w:val="000000" w:themeColor="text1"/>
        </w:rPr>
        <w:t>2015</w:t>
      </w:r>
      <w:r w:rsidR="003F0939">
        <w:rPr>
          <w:color w:val="000000" w:themeColor="text1"/>
        </w:rPr>
        <w:t>a</w:t>
      </w:r>
      <w:r w:rsidRPr="005F2F6A">
        <w:rPr>
          <w:color w:val="000000" w:themeColor="text1"/>
        </w:rPr>
        <w:t>,</w:t>
      </w:r>
      <w:r w:rsidR="009A0847">
        <w:rPr>
          <w:color w:val="000000" w:themeColor="text1"/>
        </w:rPr>
        <w:t xml:space="preserve"> </w:t>
      </w:r>
      <w:r w:rsidRPr="005F2F6A">
        <w:rPr>
          <w:color w:val="000000" w:themeColor="text1"/>
        </w:rPr>
        <w:t>Calomiris</w:t>
      </w:r>
      <w:r w:rsidR="009A0847">
        <w:rPr>
          <w:color w:val="000000" w:themeColor="text1"/>
        </w:rPr>
        <w:t xml:space="preserve"> </w:t>
      </w:r>
      <w:r w:rsidRPr="005F2F6A">
        <w:rPr>
          <w:color w:val="000000" w:themeColor="text1"/>
        </w:rPr>
        <w:t>et</w:t>
      </w:r>
      <w:r w:rsidR="009A0847">
        <w:rPr>
          <w:color w:val="000000" w:themeColor="text1"/>
        </w:rPr>
        <w:t xml:space="preserve"> </w:t>
      </w:r>
      <w:r w:rsidRPr="005F2F6A">
        <w:rPr>
          <w:color w:val="000000" w:themeColor="text1"/>
        </w:rPr>
        <w:t>al.</w:t>
      </w:r>
      <w:r w:rsidR="009A0847">
        <w:rPr>
          <w:color w:val="000000" w:themeColor="text1"/>
        </w:rPr>
        <w:t xml:space="preserve"> </w:t>
      </w:r>
      <w:r w:rsidRPr="005F2F6A">
        <w:rPr>
          <w:color w:val="000000" w:themeColor="text1"/>
        </w:rPr>
        <w:t>2017)</w:t>
      </w:r>
      <w:r w:rsidR="00BB0A31">
        <w:rPr>
          <w:color w:val="000000" w:themeColor="text1"/>
        </w:rPr>
        <w:t>.</w:t>
      </w:r>
      <w:r w:rsidRPr="005F2F6A">
        <w:rPr>
          <w:rStyle w:val="FootnoteReference"/>
          <w:color w:val="000000" w:themeColor="text1"/>
        </w:rPr>
        <w:footnoteReference w:id="12"/>
      </w:r>
    </w:p>
    <w:p w14:paraId="1FB82D8F" w14:textId="77777777" w:rsidR="00ED0367" w:rsidRDefault="009A0454" w:rsidP="00A3292A">
      <w:pPr>
        <w:pStyle w:val="Olivier1"/>
        <w:widowControl w:val="0"/>
        <w:ind w:firstLine="360"/>
        <w:rPr>
          <w:color w:val="000000" w:themeColor="text1"/>
        </w:rPr>
      </w:pPr>
      <w:r w:rsidRPr="00F96F4B">
        <w:rPr>
          <w:color w:val="000000" w:themeColor="text1"/>
          <w:szCs w:val="24"/>
        </w:rPr>
        <w:t>The</w:t>
      </w:r>
      <w:r w:rsidR="009A0847">
        <w:rPr>
          <w:color w:val="000000" w:themeColor="text1"/>
          <w:szCs w:val="24"/>
        </w:rPr>
        <w:t xml:space="preserve"> </w:t>
      </w:r>
      <w:r w:rsidRPr="00F96F4B">
        <w:rPr>
          <w:color w:val="000000" w:themeColor="text1"/>
          <w:szCs w:val="24"/>
        </w:rPr>
        <w:t>result</w:t>
      </w:r>
      <w:r w:rsidR="009A44CD">
        <w:rPr>
          <w:color w:val="000000" w:themeColor="text1"/>
          <w:szCs w:val="24"/>
        </w:rPr>
        <w:t>s</w:t>
      </w:r>
      <w:r w:rsidR="009A0847">
        <w:rPr>
          <w:color w:val="000000" w:themeColor="text1"/>
          <w:szCs w:val="24"/>
        </w:rPr>
        <w:t xml:space="preserve"> </w:t>
      </w:r>
      <w:r w:rsidR="009A44CD">
        <w:rPr>
          <w:color w:val="000000" w:themeColor="text1"/>
          <w:szCs w:val="24"/>
        </w:rPr>
        <w:t>from</w:t>
      </w:r>
      <w:r w:rsidR="009A0847">
        <w:rPr>
          <w:color w:val="000000" w:themeColor="text1"/>
          <w:szCs w:val="24"/>
        </w:rPr>
        <w:t xml:space="preserve"> </w:t>
      </w:r>
      <w:r w:rsidR="009A44CD">
        <w:rPr>
          <w:color w:val="000000" w:themeColor="text1"/>
          <w:szCs w:val="24"/>
        </w:rPr>
        <w:t>the</w:t>
      </w:r>
      <w:r w:rsidR="009A0847">
        <w:rPr>
          <w:color w:val="000000" w:themeColor="text1"/>
          <w:szCs w:val="24"/>
        </w:rPr>
        <w:t xml:space="preserve"> </w:t>
      </w:r>
      <w:r w:rsidR="009A44CD">
        <w:rPr>
          <w:color w:val="000000" w:themeColor="text1"/>
          <w:szCs w:val="24"/>
        </w:rPr>
        <w:t>control</w:t>
      </w:r>
      <w:r w:rsidR="009A0847">
        <w:rPr>
          <w:color w:val="000000" w:themeColor="text1"/>
          <w:szCs w:val="24"/>
        </w:rPr>
        <w:t xml:space="preserve"> </w:t>
      </w:r>
      <w:r w:rsidR="009A44CD">
        <w:rPr>
          <w:color w:val="000000" w:themeColor="text1"/>
          <w:szCs w:val="24"/>
        </w:rPr>
        <w:t>treatment</w:t>
      </w:r>
      <w:r w:rsidR="009A0847">
        <w:rPr>
          <w:color w:val="000000" w:themeColor="text1"/>
          <w:szCs w:val="24"/>
        </w:rPr>
        <w:t xml:space="preserve"> </w:t>
      </w:r>
      <w:r w:rsidR="009A44CD">
        <w:rPr>
          <w:color w:val="000000" w:themeColor="text1"/>
          <w:szCs w:val="24"/>
        </w:rPr>
        <w:t>show</w:t>
      </w:r>
      <w:r w:rsidR="009A0847">
        <w:rPr>
          <w:color w:val="000000" w:themeColor="text1"/>
          <w:szCs w:val="24"/>
        </w:rPr>
        <w:t xml:space="preserve"> </w:t>
      </w:r>
      <w:r w:rsidRPr="00F96F4B">
        <w:rPr>
          <w:color w:val="000000" w:themeColor="text1"/>
          <w:szCs w:val="24"/>
        </w:rPr>
        <w:t>that</w:t>
      </w:r>
      <w:r w:rsidR="009A0847">
        <w:rPr>
          <w:color w:val="000000" w:themeColor="text1"/>
          <w:szCs w:val="24"/>
        </w:rPr>
        <w:t xml:space="preserve"> </w:t>
      </w:r>
      <w:r w:rsidRPr="00F96F4B">
        <w:rPr>
          <w:color w:val="000000" w:themeColor="text1"/>
          <w:szCs w:val="24"/>
        </w:rPr>
        <w:t>subjects</w:t>
      </w:r>
      <w:r w:rsidR="009A0847">
        <w:rPr>
          <w:color w:val="000000" w:themeColor="text1"/>
          <w:szCs w:val="24"/>
        </w:rPr>
        <w:t xml:space="preserve"> </w:t>
      </w:r>
      <w:r w:rsidRPr="00F96F4B">
        <w:rPr>
          <w:color w:val="000000" w:themeColor="text1"/>
          <w:szCs w:val="24"/>
        </w:rPr>
        <w:t>coordinate</w:t>
      </w:r>
      <w:r w:rsidR="009A0847">
        <w:rPr>
          <w:color w:val="000000" w:themeColor="text1"/>
          <w:szCs w:val="24"/>
        </w:rPr>
        <w:t xml:space="preserve"> </w:t>
      </w:r>
      <w:r w:rsidR="00014B7C">
        <w:rPr>
          <w:color w:val="000000" w:themeColor="text1"/>
          <w:szCs w:val="24"/>
        </w:rPr>
        <w:t>systematically</w:t>
      </w:r>
      <w:r w:rsidR="009A0847">
        <w:rPr>
          <w:color w:val="000000" w:themeColor="text1"/>
          <w:szCs w:val="24"/>
        </w:rPr>
        <w:t xml:space="preserve"> </w:t>
      </w:r>
      <w:r w:rsidRPr="00F96F4B">
        <w:rPr>
          <w:color w:val="000000" w:themeColor="text1"/>
          <w:szCs w:val="24"/>
        </w:rPr>
        <w:t>on</w:t>
      </w:r>
      <w:r w:rsidR="009A0847">
        <w:rPr>
          <w:color w:val="000000" w:themeColor="text1"/>
          <w:szCs w:val="24"/>
        </w:rPr>
        <w:t xml:space="preserve"> </w:t>
      </w:r>
      <w:r w:rsidRPr="00F96F4B">
        <w:rPr>
          <w:color w:val="000000" w:themeColor="text1"/>
          <w:szCs w:val="24"/>
        </w:rPr>
        <w:t>the</w:t>
      </w:r>
      <w:r w:rsidR="009A0847">
        <w:rPr>
          <w:color w:val="000000" w:themeColor="text1"/>
          <w:szCs w:val="24"/>
        </w:rPr>
        <w:t xml:space="preserve"> </w:t>
      </w:r>
      <w:r w:rsidRPr="00F96F4B">
        <w:rPr>
          <w:color w:val="000000" w:themeColor="text1"/>
          <w:szCs w:val="24"/>
        </w:rPr>
        <w:t>stigma</w:t>
      </w:r>
      <w:r w:rsidR="009A0847">
        <w:rPr>
          <w:color w:val="000000" w:themeColor="text1"/>
          <w:szCs w:val="24"/>
        </w:rPr>
        <w:t xml:space="preserve"> </w:t>
      </w:r>
      <w:r w:rsidRPr="00F96F4B">
        <w:rPr>
          <w:color w:val="000000" w:themeColor="text1"/>
          <w:szCs w:val="24"/>
        </w:rPr>
        <w:t>equilibrium.</w:t>
      </w:r>
      <w:r w:rsidR="009A0847">
        <w:rPr>
          <w:color w:val="000000" w:themeColor="text1"/>
          <w:szCs w:val="24"/>
        </w:rPr>
        <w:t xml:space="preserve"> </w:t>
      </w:r>
      <w:r w:rsidR="00F96F4B" w:rsidRPr="00F96F4B">
        <w:rPr>
          <w:color w:val="000000" w:themeColor="text1"/>
        </w:rPr>
        <w:t>Thus,</w:t>
      </w:r>
      <w:r w:rsidR="009A0847">
        <w:rPr>
          <w:color w:val="000000" w:themeColor="text1"/>
        </w:rPr>
        <w:t xml:space="preserve"> </w:t>
      </w:r>
      <w:r w:rsidR="00F96F4B">
        <w:rPr>
          <w:color w:val="000000" w:themeColor="text1"/>
        </w:rPr>
        <w:t>we</w:t>
      </w:r>
      <w:r w:rsidR="009A0847">
        <w:rPr>
          <w:color w:val="000000" w:themeColor="text1"/>
        </w:rPr>
        <w:t xml:space="preserve"> </w:t>
      </w:r>
      <w:r w:rsidR="00ED0367">
        <w:rPr>
          <w:color w:val="000000" w:themeColor="text1"/>
        </w:rPr>
        <w:t>are</w:t>
      </w:r>
      <w:r w:rsidR="009A0847">
        <w:rPr>
          <w:color w:val="000000" w:themeColor="text1"/>
        </w:rPr>
        <w:t xml:space="preserve"> </w:t>
      </w:r>
      <w:r w:rsidR="00F96F4B">
        <w:rPr>
          <w:color w:val="000000" w:themeColor="text1"/>
        </w:rPr>
        <w:t>able</w:t>
      </w:r>
      <w:r w:rsidR="009A0847">
        <w:rPr>
          <w:color w:val="000000" w:themeColor="text1"/>
        </w:rPr>
        <w:t xml:space="preserve"> </w:t>
      </w:r>
      <w:r w:rsidR="00F96F4B">
        <w:rPr>
          <w:color w:val="000000" w:themeColor="text1"/>
        </w:rPr>
        <w:t>to</w:t>
      </w:r>
      <w:r w:rsidR="009A0847">
        <w:rPr>
          <w:color w:val="000000" w:themeColor="text1"/>
        </w:rPr>
        <w:t xml:space="preserve"> </w:t>
      </w:r>
      <w:r w:rsidR="00F96F4B">
        <w:rPr>
          <w:color w:val="000000" w:themeColor="text1"/>
        </w:rPr>
        <w:t>make</w:t>
      </w:r>
      <w:r w:rsidR="009A0847">
        <w:rPr>
          <w:color w:val="000000" w:themeColor="text1"/>
        </w:rPr>
        <w:t xml:space="preserve"> </w:t>
      </w:r>
      <w:r w:rsidR="00F96F4B" w:rsidRPr="00F96F4B">
        <w:rPr>
          <w:color w:val="000000" w:themeColor="text1"/>
        </w:rPr>
        <w:t>DW</w:t>
      </w:r>
      <w:r w:rsidR="009A0847">
        <w:rPr>
          <w:color w:val="000000" w:themeColor="text1"/>
        </w:rPr>
        <w:t xml:space="preserve"> </w:t>
      </w:r>
      <w:r w:rsidR="00F96F4B" w:rsidRPr="00F96F4B">
        <w:rPr>
          <w:color w:val="000000" w:themeColor="text1"/>
        </w:rPr>
        <w:t>stigma,</w:t>
      </w:r>
      <w:r w:rsidR="009A0847">
        <w:rPr>
          <w:color w:val="000000" w:themeColor="text1"/>
        </w:rPr>
        <w:t xml:space="preserve"> </w:t>
      </w:r>
      <w:r w:rsidR="00F96F4B" w:rsidRPr="00F96F4B">
        <w:rPr>
          <w:color w:val="000000" w:themeColor="text1"/>
        </w:rPr>
        <w:t>a</w:t>
      </w:r>
      <w:r w:rsidR="009A0847">
        <w:rPr>
          <w:color w:val="000000" w:themeColor="text1"/>
        </w:rPr>
        <w:t xml:space="preserve"> </w:t>
      </w:r>
      <w:r w:rsidR="00F96F4B">
        <w:rPr>
          <w:color w:val="000000" w:themeColor="text1"/>
        </w:rPr>
        <w:t>phenomenon</w:t>
      </w:r>
      <w:r w:rsidR="009A0847">
        <w:rPr>
          <w:color w:val="000000" w:themeColor="text1"/>
        </w:rPr>
        <w:t xml:space="preserve"> </w:t>
      </w:r>
      <w:r w:rsidR="00F96F4B" w:rsidRPr="00F96F4B">
        <w:rPr>
          <w:color w:val="000000" w:themeColor="text1"/>
        </w:rPr>
        <w:t>rarely</w:t>
      </w:r>
      <w:r w:rsidR="009A0847">
        <w:rPr>
          <w:color w:val="000000" w:themeColor="text1"/>
        </w:rPr>
        <w:t xml:space="preserve"> </w:t>
      </w:r>
      <w:r w:rsidR="00F96F4B" w:rsidRPr="00F96F4B">
        <w:rPr>
          <w:color w:val="000000" w:themeColor="text1"/>
        </w:rPr>
        <w:t>observed</w:t>
      </w:r>
      <w:r w:rsidR="009A0847">
        <w:rPr>
          <w:color w:val="000000" w:themeColor="text1"/>
        </w:rPr>
        <w:t xml:space="preserve"> </w:t>
      </w:r>
      <w:r w:rsidR="00F96F4B">
        <w:rPr>
          <w:color w:val="000000" w:themeColor="text1"/>
        </w:rPr>
        <w:t>but</w:t>
      </w:r>
      <w:r w:rsidR="009A0847">
        <w:rPr>
          <w:color w:val="000000" w:themeColor="text1"/>
        </w:rPr>
        <w:t xml:space="preserve"> </w:t>
      </w:r>
      <w:r w:rsidR="00F96F4B" w:rsidRPr="00F96F4B">
        <w:rPr>
          <w:color w:val="000000" w:themeColor="text1"/>
        </w:rPr>
        <w:t>widely</w:t>
      </w:r>
      <w:r w:rsidR="009A0847">
        <w:rPr>
          <w:color w:val="000000" w:themeColor="text1"/>
        </w:rPr>
        <w:t xml:space="preserve"> </w:t>
      </w:r>
      <w:r w:rsidR="00F96F4B" w:rsidRPr="00F96F4B">
        <w:rPr>
          <w:color w:val="000000" w:themeColor="text1"/>
        </w:rPr>
        <w:t>believed</w:t>
      </w:r>
      <w:r w:rsidR="009A0847">
        <w:rPr>
          <w:color w:val="000000" w:themeColor="text1"/>
        </w:rPr>
        <w:t xml:space="preserve"> </w:t>
      </w:r>
      <w:r w:rsidR="00F96F4B" w:rsidRPr="00F96F4B">
        <w:rPr>
          <w:color w:val="000000" w:themeColor="text1"/>
        </w:rPr>
        <w:t>to</w:t>
      </w:r>
      <w:r w:rsidR="009A0847">
        <w:rPr>
          <w:color w:val="000000" w:themeColor="text1"/>
        </w:rPr>
        <w:t xml:space="preserve"> </w:t>
      </w:r>
      <w:r w:rsidR="00F96F4B" w:rsidRPr="00F96F4B">
        <w:rPr>
          <w:color w:val="000000" w:themeColor="text1"/>
        </w:rPr>
        <w:t>occur</w:t>
      </w:r>
      <w:r w:rsidR="009A0847">
        <w:rPr>
          <w:color w:val="000000" w:themeColor="text1"/>
        </w:rPr>
        <w:t xml:space="preserve"> </w:t>
      </w:r>
      <w:r w:rsidR="00F96F4B" w:rsidRPr="00F96F4B">
        <w:rPr>
          <w:color w:val="000000" w:themeColor="text1"/>
        </w:rPr>
        <w:t>in</w:t>
      </w:r>
      <w:r w:rsidR="009A0847">
        <w:rPr>
          <w:color w:val="000000" w:themeColor="text1"/>
        </w:rPr>
        <w:t xml:space="preserve"> </w:t>
      </w:r>
      <w:r w:rsidR="00F96F4B" w:rsidRPr="00F96F4B">
        <w:rPr>
          <w:color w:val="000000" w:themeColor="text1"/>
        </w:rPr>
        <w:t>the</w:t>
      </w:r>
      <w:r w:rsidR="009A0847">
        <w:rPr>
          <w:color w:val="000000" w:themeColor="text1"/>
        </w:rPr>
        <w:t xml:space="preserve"> </w:t>
      </w:r>
      <w:r w:rsidR="00F96F4B" w:rsidRPr="00F96F4B">
        <w:rPr>
          <w:color w:val="000000" w:themeColor="text1"/>
        </w:rPr>
        <w:t>field</w:t>
      </w:r>
      <w:r w:rsidR="00F96F4B">
        <w:rPr>
          <w:color w:val="000000" w:themeColor="text1"/>
        </w:rPr>
        <w:t>,</w:t>
      </w:r>
      <w:r w:rsidR="009A0847">
        <w:rPr>
          <w:color w:val="000000" w:themeColor="text1"/>
        </w:rPr>
        <w:t xml:space="preserve"> </w:t>
      </w:r>
      <w:r w:rsidR="00F96F4B">
        <w:rPr>
          <w:color w:val="000000" w:themeColor="text1"/>
        </w:rPr>
        <w:t>emerge</w:t>
      </w:r>
      <w:r w:rsidR="009A0847">
        <w:rPr>
          <w:color w:val="000000" w:themeColor="text1"/>
        </w:rPr>
        <w:t xml:space="preserve"> </w:t>
      </w:r>
      <w:r w:rsidR="00F96F4B">
        <w:rPr>
          <w:color w:val="000000" w:themeColor="text1"/>
        </w:rPr>
        <w:t>in</w:t>
      </w:r>
      <w:r w:rsidR="009A0847">
        <w:rPr>
          <w:color w:val="000000" w:themeColor="text1"/>
        </w:rPr>
        <w:t xml:space="preserve"> </w:t>
      </w:r>
      <w:r w:rsidR="00F96F4B">
        <w:rPr>
          <w:color w:val="000000" w:themeColor="text1"/>
        </w:rPr>
        <w:t>the</w:t>
      </w:r>
      <w:r w:rsidR="009A0847">
        <w:rPr>
          <w:color w:val="000000" w:themeColor="text1"/>
        </w:rPr>
        <w:t xml:space="preserve"> </w:t>
      </w:r>
      <w:r w:rsidR="00F96F4B">
        <w:rPr>
          <w:color w:val="000000" w:themeColor="text1"/>
        </w:rPr>
        <w:t>lab</w:t>
      </w:r>
      <w:r w:rsidR="00F96F4B" w:rsidRPr="00F96F4B">
        <w:rPr>
          <w:color w:val="000000" w:themeColor="text1"/>
        </w:rPr>
        <w:t>.</w:t>
      </w:r>
      <w:r w:rsidR="009A0847">
        <w:rPr>
          <w:color w:val="000000" w:themeColor="text1"/>
        </w:rPr>
        <w:t xml:space="preserve"> </w:t>
      </w:r>
      <w:r w:rsidR="0071159B" w:rsidRPr="00F96F4B">
        <w:rPr>
          <w:color w:val="000000" w:themeColor="text1"/>
        </w:rPr>
        <w:t>We</w:t>
      </w:r>
      <w:r w:rsidR="009A0847">
        <w:rPr>
          <w:color w:val="000000" w:themeColor="text1"/>
        </w:rPr>
        <w:t xml:space="preserve"> </w:t>
      </w:r>
      <w:r w:rsidR="0071159B" w:rsidRPr="00F96F4B">
        <w:rPr>
          <w:color w:val="000000" w:themeColor="text1"/>
        </w:rPr>
        <w:t>also</w:t>
      </w:r>
      <w:r w:rsidR="009A0847">
        <w:rPr>
          <w:color w:val="000000" w:themeColor="text1"/>
        </w:rPr>
        <w:t xml:space="preserve"> </w:t>
      </w:r>
      <w:r w:rsidR="0071159B" w:rsidRPr="00F96F4B">
        <w:rPr>
          <w:color w:val="000000" w:themeColor="text1"/>
        </w:rPr>
        <w:t>find</w:t>
      </w:r>
      <w:r w:rsidR="009A0847">
        <w:rPr>
          <w:color w:val="000000" w:themeColor="text1"/>
        </w:rPr>
        <w:t xml:space="preserve"> </w:t>
      </w:r>
      <w:r w:rsidR="0071159B" w:rsidRPr="00F96F4B">
        <w:rPr>
          <w:color w:val="000000" w:themeColor="text1"/>
        </w:rPr>
        <w:t>that</w:t>
      </w:r>
      <w:r w:rsidR="009A0847">
        <w:rPr>
          <w:color w:val="000000" w:themeColor="text1"/>
        </w:rPr>
        <w:t xml:space="preserve"> </w:t>
      </w:r>
      <w:r w:rsidR="009A44CD">
        <w:rPr>
          <w:color w:val="000000" w:themeColor="text1"/>
        </w:rPr>
        <w:t>DW</w:t>
      </w:r>
      <w:r w:rsidR="009A0847">
        <w:rPr>
          <w:color w:val="000000" w:themeColor="text1"/>
        </w:rPr>
        <w:t xml:space="preserve"> </w:t>
      </w:r>
      <w:r w:rsidR="009A44CD">
        <w:rPr>
          <w:color w:val="000000" w:themeColor="text1"/>
        </w:rPr>
        <w:t>stigma</w:t>
      </w:r>
      <w:r w:rsidR="009A0847">
        <w:rPr>
          <w:color w:val="000000" w:themeColor="text1"/>
        </w:rPr>
        <w:t xml:space="preserve"> </w:t>
      </w:r>
      <w:r w:rsidR="009A44CD">
        <w:rPr>
          <w:color w:val="000000" w:themeColor="text1"/>
        </w:rPr>
        <w:t>is</w:t>
      </w:r>
      <w:r w:rsidR="009A0847">
        <w:rPr>
          <w:color w:val="000000" w:themeColor="text1"/>
        </w:rPr>
        <w:t xml:space="preserve"> </w:t>
      </w:r>
      <w:r w:rsidR="009A44CD">
        <w:rPr>
          <w:color w:val="000000" w:themeColor="text1"/>
        </w:rPr>
        <w:t>not</w:t>
      </w:r>
      <w:r w:rsidR="009A0847">
        <w:rPr>
          <w:color w:val="000000" w:themeColor="text1"/>
        </w:rPr>
        <w:t xml:space="preserve"> </w:t>
      </w:r>
      <w:r w:rsidR="009A44CD">
        <w:rPr>
          <w:color w:val="000000" w:themeColor="text1"/>
        </w:rPr>
        <w:t>reduced</w:t>
      </w:r>
      <w:r w:rsidR="009A0847">
        <w:rPr>
          <w:color w:val="000000" w:themeColor="text1"/>
        </w:rPr>
        <w:t xml:space="preserve"> </w:t>
      </w:r>
      <w:r w:rsidR="0096421F">
        <w:rPr>
          <w:color w:val="000000" w:themeColor="text1"/>
        </w:rPr>
        <w:t>significantly</w:t>
      </w:r>
      <w:r w:rsidR="009A0847">
        <w:rPr>
          <w:color w:val="000000" w:themeColor="text1"/>
        </w:rPr>
        <w:t xml:space="preserve"> </w:t>
      </w:r>
      <w:r w:rsidR="009A44CD">
        <w:rPr>
          <w:color w:val="000000" w:themeColor="text1"/>
        </w:rPr>
        <w:t>by</w:t>
      </w:r>
      <w:r w:rsidR="009A0847">
        <w:rPr>
          <w:color w:val="000000" w:themeColor="text1"/>
        </w:rPr>
        <w:t xml:space="preserve"> </w:t>
      </w:r>
      <w:r w:rsidR="0071159B" w:rsidRPr="00F96F4B">
        <w:rPr>
          <w:color w:val="000000" w:themeColor="text1"/>
        </w:rPr>
        <w:t>cutting</w:t>
      </w:r>
      <w:r w:rsidR="009A0847">
        <w:rPr>
          <w:color w:val="000000" w:themeColor="text1"/>
        </w:rPr>
        <w:t xml:space="preserve"> </w:t>
      </w:r>
      <w:r w:rsidR="009A44CD">
        <w:rPr>
          <w:color w:val="000000" w:themeColor="text1"/>
        </w:rPr>
        <w:t>the</w:t>
      </w:r>
      <w:r w:rsidR="009A0847">
        <w:rPr>
          <w:color w:val="000000" w:themeColor="text1"/>
        </w:rPr>
        <w:t xml:space="preserve"> </w:t>
      </w:r>
      <w:r w:rsidR="009A44CD">
        <w:rPr>
          <w:color w:val="000000" w:themeColor="text1"/>
        </w:rPr>
        <w:t>cost</w:t>
      </w:r>
      <w:r w:rsidR="009A0847">
        <w:rPr>
          <w:color w:val="000000" w:themeColor="text1"/>
        </w:rPr>
        <w:t xml:space="preserve"> </w:t>
      </w:r>
      <w:r w:rsidR="009A44CD">
        <w:rPr>
          <w:color w:val="000000" w:themeColor="text1"/>
        </w:rPr>
        <w:t>of</w:t>
      </w:r>
      <w:r w:rsidR="009A0847">
        <w:rPr>
          <w:color w:val="000000" w:themeColor="text1"/>
        </w:rPr>
        <w:t xml:space="preserve"> </w:t>
      </w:r>
      <w:r w:rsidR="001E197D">
        <w:rPr>
          <w:color w:val="000000" w:themeColor="text1"/>
        </w:rPr>
        <w:t>DW</w:t>
      </w:r>
      <w:r w:rsidR="009A0847">
        <w:rPr>
          <w:color w:val="000000" w:themeColor="text1"/>
        </w:rPr>
        <w:t xml:space="preserve"> </w:t>
      </w:r>
      <w:r w:rsidR="009A44CD">
        <w:rPr>
          <w:color w:val="000000" w:themeColor="text1"/>
        </w:rPr>
        <w:t>borrowing</w:t>
      </w:r>
      <w:r w:rsidR="009A0847">
        <w:rPr>
          <w:color w:val="000000" w:themeColor="text1"/>
        </w:rPr>
        <w:t xml:space="preserve"> </w:t>
      </w:r>
      <w:r w:rsidR="009A44CD">
        <w:rPr>
          <w:color w:val="000000" w:themeColor="text1"/>
        </w:rPr>
        <w:t>or</w:t>
      </w:r>
      <w:r w:rsidR="009A0847">
        <w:rPr>
          <w:color w:val="000000" w:themeColor="text1"/>
        </w:rPr>
        <w:t xml:space="preserve"> </w:t>
      </w:r>
      <w:r w:rsidR="009A44CD">
        <w:rPr>
          <w:color w:val="000000" w:themeColor="text1"/>
        </w:rPr>
        <w:t>by</w:t>
      </w:r>
      <w:r w:rsidR="009A0847">
        <w:rPr>
          <w:color w:val="000000" w:themeColor="text1"/>
        </w:rPr>
        <w:t xml:space="preserve"> </w:t>
      </w:r>
      <w:r w:rsidR="001E197D">
        <w:rPr>
          <w:color w:val="000000" w:themeColor="text1"/>
        </w:rPr>
        <w:t>making</w:t>
      </w:r>
      <w:r w:rsidR="009A0847">
        <w:rPr>
          <w:color w:val="000000" w:themeColor="text1"/>
        </w:rPr>
        <w:t xml:space="preserve"> </w:t>
      </w:r>
      <w:r w:rsidR="0071159B" w:rsidRPr="00F96F4B">
        <w:rPr>
          <w:color w:val="000000" w:themeColor="text1"/>
        </w:rPr>
        <w:t>DW</w:t>
      </w:r>
      <w:r w:rsidR="009A0847">
        <w:rPr>
          <w:color w:val="000000" w:themeColor="text1"/>
        </w:rPr>
        <w:t xml:space="preserve"> </w:t>
      </w:r>
      <w:r w:rsidR="001E197D">
        <w:rPr>
          <w:color w:val="000000" w:themeColor="text1"/>
        </w:rPr>
        <w:t>borrowing</w:t>
      </w:r>
      <w:r w:rsidR="009A0847">
        <w:rPr>
          <w:color w:val="000000" w:themeColor="text1"/>
        </w:rPr>
        <w:t xml:space="preserve"> </w:t>
      </w:r>
      <w:r w:rsidR="001E197D">
        <w:rPr>
          <w:color w:val="000000" w:themeColor="text1"/>
        </w:rPr>
        <w:t>harder</w:t>
      </w:r>
      <w:r w:rsidR="009A0847">
        <w:rPr>
          <w:color w:val="000000" w:themeColor="text1"/>
        </w:rPr>
        <w:t xml:space="preserve"> </w:t>
      </w:r>
      <w:r w:rsidR="001E197D">
        <w:rPr>
          <w:color w:val="000000" w:themeColor="text1"/>
        </w:rPr>
        <w:t>to</w:t>
      </w:r>
      <w:r w:rsidR="009A0847">
        <w:rPr>
          <w:color w:val="000000" w:themeColor="text1"/>
        </w:rPr>
        <w:t xml:space="preserve"> </w:t>
      </w:r>
      <w:r w:rsidR="001E197D">
        <w:rPr>
          <w:color w:val="000000" w:themeColor="text1"/>
        </w:rPr>
        <w:t>detect</w:t>
      </w:r>
      <w:r w:rsidR="0071159B" w:rsidRPr="00F96F4B">
        <w:rPr>
          <w:color w:val="000000" w:themeColor="text1"/>
        </w:rPr>
        <w:t>.</w:t>
      </w:r>
      <w:r w:rsidR="009A0847">
        <w:rPr>
          <w:color w:val="000000" w:themeColor="text1"/>
        </w:rPr>
        <w:t xml:space="preserve"> </w:t>
      </w:r>
      <w:r w:rsidR="0071159B" w:rsidRPr="00F96F4B">
        <w:rPr>
          <w:color w:val="000000" w:themeColor="text1"/>
        </w:rPr>
        <w:t>In</w:t>
      </w:r>
      <w:r w:rsidR="009A0847">
        <w:rPr>
          <w:color w:val="000000" w:themeColor="text1"/>
        </w:rPr>
        <w:t xml:space="preserve"> </w:t>
      </w:r>
      <w:r w:rsidR="0071159B" w:rsidRPr="00F96F4B">
        <w:rPr>
          <w:color w:val="000000" w:themeColor="text1"/>
        </w:rPr>
        <w:t>contrast,</w:t>
      </w:r>
      <w:r w:rsidR="009A0847">
        <w:rPr>
          <w:color w:val="000000" w:themeColor="text1"/>
        </w:rPr>
        <w:t xml:space="preserve"> </w:t>
      </w:r>
      <w:r w:rsidR="0071159B" w:rsidRPr="00F96F4B">
        <w:rPr>
          <w:color w:val="000000" w:themeColor="text1"/>
        </w:rPr>
        <w:t>random</w:t>
      </w:r>
      <w:r w:rsidR="009A0847">
        <w:rPr>
          <w:color w:val="000000" w:themeColor="text1"/>
        </w:rPr>
        <w:t xml:space="preserve"> </w:t>
      </w:r>
      <w:r w:rsidR="00B11E82">
        <w:rPr>
          <w:color w:val="000000" w:themeColor="text1"/>
        </w:rPr>
        <w:t>borrowing</w:t>
      </w:r>
      <w:r w:rsidR="009A0847">
        <w:rPr>
          <w:color w:val="000000" w:themeColor="text1"/>
        </w:rPr>
        <w:t xml:space="preserve"> </w:t>
      </w:r>
      <w:r w:rsidR="00B11E82">
        <w:rPr>
          <w:color w:val="000000" w:themeColor="text1"/>
        </w:rPr>
        <w:t>solves</w:t>
      </w:r>
      <w:r w:rsidR="009A0847">
        <w:rPr>
          <w:color w:val="000000" w:themeColor="text1"/>
        </w:rPr>
        <w:t xml:space="preserve"> </w:t>
      </w:r>
      <w:r w:rsidR="00B11E82">
        <w:rPr>
          <w:color w:val="000000" w:themeColor="text1"/>
        </w:rPr>
        <w:t>the</w:t>
      </w:r>
      <w:r w:rsidR="009A0847">
        <w:rPr>
          <w:color w:val="000000" w:themeColor="text1"/>
        </w:rPr>
        <w:t xml:space="preserve"> </w:t>
      </w:r>
      <w:r w:rsidR="0071159B" w:rsidRPr="00F96F4B">
        <w:rPr>
          <w:color w:val="000000" w:themeColor="text1"/>
        </w:rPr>
        <w:t>stigma</w:t>
      </w:r>
      <w:r w:rsidR="009A0847">
        <w:rPr>
          <w:color w:val="000000" w:themeColor="text1"/>
        </w:rPr>
        <w:t xml:space="preserve"> </w:t>
      </w:r>
      <w:r w:rsidR="00B11E82">
        <w:rPr>
          <w:color w:val="000000" w:themeColor="text1"/>
        </w:rPr>
        <w:t>problem</w:t>
      </w:r>
      <w:r w:rsidR="009A0847">
        <w:rPr>
          <w:color w:val="000000" w:themeColor="text1"/>
        </w:rPr>
        <w:t xml:space="preserve"> </w:t>
      </w:r>
      <w:r w:rsidR="0071159B" w:rsidRPr="00F96F4B">
        <w:rPr>
          <w:color w:val="000000" w:themeColor="text1"/>
        </w:rPr>
        <w:t>in</w:t>
      </w:r>
      <w:r w:rsidR="009A0847">
        <w:rPr>
          <w:color w:val="000000" w:themeColor="text1"/>
        </w:rPr>
        <w:t xml:space="preserve"> </w:t>
      </w:r>
      <w:r w:rsidR="0071159B" w:rsidRPr="00F96F4B">
        <w:rPr>
          <w:color w:val="000000" w:themeColor="text1"/>
        </w:rPr>
        <w:t>our</w:t>
      </w:r>
      <w:r w:rsidR="009A0847">
        <w:rPr>
          <w:color w:val="000000" w:themeColor="text1"/>
        </w:rPr>
        <w:t xml:space="preserve"> </w:t>
      </w:r>
      <w:r w:rsidR="0071159B" w:rsidRPr="00F96F4B">
        <w:rPr>
          <w:color w:val="000000" w:themeColor="text1"/>
        </w:rPr>
        <w:t>experiment</w:t>
      </w:r>
      <w:r w:rsidR="009A0847">
        <w:rPr>
          <w:color w:val="000000" w:themeColor="text1"/>
        </w:rPr>
        <w:t xml:space="preserve"> </w:t>
      </w:r>
      <w:r w:rsidR="0071159B" w:rsidRPr="00F96F4B">
        <w:rPr>
          <w:color w:val="000000" w:themeColor="text1"/>
        </w:rPr>
        <w:t>as</w:t>
      </w:r>
      <w:r w:rsidR="009A0847">
        <w:rPr>
          <w:color w:val="000000" w:themeColor="text1"/>
        </w:rPr>
        <w:t xml:space="preserve"> </w:t>
      </w:r>
      <w:r w:rsidR="0071159B" w:rsidRPr="00F96F4B">
        <w:rPr>
          <w:color w:val="000000" w:themeColor="text1"/>
        </w:rPr>
        <w:t>it</w:t>
      </w:r>
      <w:r w:rsidR="009A0847">
        <w:rPr>
          <w:color w:val="000000" w:themeColor="text1"/>
        </w:rPr>
        <w:t xml:space="preserve"> </w:t>
      </w:r>
      <w:r w:rsidR="0071159B" w:rsidRPr="00F96F4B">
        <w:rPr>
          <w:color w:val="000000" w:themeColor="text1"/>
        </w:rPr>
        <w:t>help</w:t>
      </w:r>
      <w:r w:rsidR="00B11E82">
        <w:rPr>
          <w:color w:val="000000" w:themeColor="text1"/>
        </w:rPr>
        <w:t>s</w:t>
      </w:r>
      <w:r w:rsidR="009A0847">
        <w:rPr>
          <w:color w:val="000000" w:themeColor="text1"/>
        </w:rPr>
        <w:t xml:space="preserve"> </w:t>
      </w:r>
      <w:r w:rsidR="0071159B" w:rsidRPr="00F96F4B">
        <w:rPr>
          <w:color w:val="000000" w:themeColor="text1"/>
        </w:rPr>
        <w:t>subject</w:t>
      </w:r>
      <w:r w:rsidR="00B11E82">
        <w:rPr>
          <w:color w:val="000000" w:themeColor="text1"/>
        </w:rPr>
        <w:t>s</w:t>
      </w:r>
      <w:r w:rsidR="009A0847">
        <w:rPr>
          <w:color w:val="000000" w:themeColor="text1"/>
        </w:rPr>
        <w:t xml:space="preserve"> </w:t>
      </w:r>
      <w:r w:rsidR="0071159B" w:rsidRPr="00F96F4B">
        <w:rPr>
          <w:color w:val="000000" w:themeColor="text1"/>
        </w:rPr>
        <w:t>learn</w:t>
      </w:r>
      <w:r w:rsidR="009A0847">
        <w:rPr>
          <w:color w:val="000000" w:themeColor="text1"/>
        </w:rPr>
        <w:t xml:space="preserve"> </w:t>
      </w:r>
      <w:r w:rsidR="0071159B" w:rsidRPr="00F96F4B">
        <w:rPr>
          <w:color w:val="000000" w:themeColor="text1"/>
        </w:rPr>
        <w:t>to</w:t>
      </w:r>
      <w:r w:rsidR="009A0847">
        <w:rPr>
          <w:color w:val="000000" w:themeColor="text1"/>
        </w:rPr>
        <w:t xml:space="preserve"> </w:t>
      </w:r>
      <w:r w:rsidR="00B11E82">
        <w:rPr>
          <w:color w:val="000000" w:themeColor="text1"/>
        </w:rPr>
        <w:t>coordinate</w:t>
      </w:r>
      <w:r w:rsidR="009A0847">
        <w:rPr>
          <w:color w:val="000000" w:themeColor="text1"/>
        </w:rPr>
        <w:t xml:space="preserve"> </w:t>
      </w:r>
      <w:r w:rsidR="00B11E82">
        <w:rPr>
          <w:color w:val="000000" w:themeColor="text1"/>
        </w:rPr>
        <w:t>on</w:t>
      </w:r>
      <w:r w:rsidR="009A0847">
        <w:rPr>
          <w:color w:val="000000" w:themeColor="text1"/>
        </w:rPr>
        <w:t xml:space="preserve"> </w:t>
      </w:r>
      <w:r w:rsidR="00B11E82">
        <w:rPr>
          <w:color w:val="000000" w:themeColor="text1"/>
        </w:rPr>
        <w:t>the</w:t>
      </w:r>
      <w:r w:rsidR="00ED0367">
        <w:rPr>
          <w:color w:val="000000" w:themeColor="text1"/>
        </w:rPr>
        <w:t xml:space="preserve"> </w:t>
      </w:r>
      <w:r w:rsidR="00B11E82">
        <w:rPr>
          <w:color w:val="000000" w:themeColor="text1"/>
        </w:rPr>
        <w:t>stigma-</w:t>
      </w:r>
      <w:r w:rsidR="0071159B" w:rsidRPr="00F96F4B">
        <w:rPr>
          <w:color w:val="000000" w:themeColor="text1"/>
        </w:rPr>
        <w:t>free</w:t>
      </w:r>
      <w:r w:rsidR="009A0847">
        <w:rPr>
          <w:color w:val="000000" w:themeColor="text1"/>
        </w:rPr>
        <w:t xml:space="preserve"> </w:t>
      </w:r>
      <w:r w:rsidR="0071159B" w:rsidRPr="00F96F4B">
        <w:rPr>
          <w:color w:val="000000" w:themeColor="text1"/>
        </w:rPr>
        <w:t>equilibrium.</w:t>
      </w:r>
    </w:p>
    <w:p w14:paraId="1E1A8C00" w14:textId="267459B2" w:rsidR="009A0454" w:rsidRPr="00ED0367" w:rsidRDefault="009A44CD" w:rsidP="00A3292A">
      <w:pPr>
        <w:pStyle w:val="Olivier1"/>
        <w:widowControl w:val="0"/>
        <w:ind w:firstLine="360"/>
        <w:rPr>
          <w:color w:val="000000" w:themeColor="text1"/>
        </w:rPr>
      </w:pPr>
      <w:r w:rsidRPr="00277414">
        <w:rPr>
          <w:color w:val="000000" w:themeColor="text1"/>
        </w:rPr>
        <w:t>The</w:t>
      </w:r>
      <w:r w:rsidR="009A0847">
        <w:rPr>
          <w:color w:val="000000" w:themeColor="text1"/>
        </w:rPr>
        <w:t xml:space="preserve"> </w:t>
      </w:r>
      <w:r w:rsidRPr="00277414">
        <w:rPr>
          <w:color w:val="000000" w:themeColor="text1"/>
        </w:rPr>
        <w:t>paper</w:t>
      </w:r>
      <w:r w:rsidR="009A0847">
        <w:rPr>
          <w:color w:val="000000" w:themeColor="text1"/>
        </w:rPr>
        <w:t xml:space="preserve"> </w:t>
      </w:r>
      <w:r w:rsidRPr="00277414">
        <w:rPr>
          <w:color w:val="000000" w:themeColor="text1"/>
        </w:rPr>
        <w:t>is</w:t>
      </w:r>
      <w:r w:rsidR="009A0847">
        <w:rPr>
          <w:color w:val="000000" w:themeColor="text1"/>
        </w:rPr>
        <w:t xml:space="preserve"> </w:t>
      </w:r>
      <w:r w:rsidRPr="00277414">
        <w:rPr>
          <w:color w:val="000000" w:themeColor="text1"/>
        </w:rPr>
        <w:t>structured</w:t>
      </w:r>
      <w:r w:rsidR="009A0847">
        <w:rPr>
          <w:color w:val="000000" w:themeColor="text1"/>
        </w:rPr>
        <w:t xml:space="preserve"> </w:t>
      </w:r>
      <w:r w:rsidRPr="00277414">
        <w:rPr>
          <w:color w:val="000000" w:themeColor="text1"/>
        </w:rPr>
        <w:t>as</w:t>
      </w:r>
      <w:r w:rsidR="009A0847">
        <w:rPr>
          <w:color w:val="000000" w:themeColor="text1"/>
        </w:rPr>
        <w:t xml:space="preserve"> </w:t>
      </w:r>
      <w:r w:rsidRPr="00277414">
        <w:rPr>
          <w:color w:val="000000" w:themeColor="text1"/>
        </w:rPr>
        <w:t>follow</w:t>
      </w:r>
      <w:r w:rsidR="00F6623C" w:rsidRPr="00277414">
        <w:rPr>
          <w:color w:val="000000" w:themeColor="text1"/>
        </w:rPr>
        <w:t>s</w:t>
      </w:r>
      <w:r w:rsidRPr="00277414">
        <w:rPr>
          <w:color w:val="000000" w:themeColor="text1"/>
        </w:rPr>
        <w:t>.</w:t>
      </w:r>
      <w:r w:rsidR="009A0847">
        <w:rPr>
          <w:color w:val="000000" w:themeColor="text1"/>
        </w:rPr>
        <w:t xml:space="preserve"> </w:t>
      </w:r>
      <w:r w:rsidR="00F6623C" w:rsidRPr="00277414">
        <w:rPr>
          <w:color w:val="000000" w:themeColor="text1"/>
        </w:rPr>
        <w:t>The</w:t>
      </w:r>
      <w:r w:rsidR="009A0847">
        <w:rPr>
          <w:color w:val="000000" w:themeColor="text1"/>
        </w:rPr>
        <w:t xml:space="preserve"> </w:t>
      </w:r>
      <w:r w:rsidR="00F6623C" w:rsidRPr="00277414">
        <w:rPr>
          <w:color w:val="000000" w:themeColor="text1"/>
        </w:rPr>
        <w:t>model</w:t>
      </w:r>
      <w:r w:rsidR="009A0847">
        <w:rPr>
          <w:color w:val="000000" w:themeColor="text1"/>
        </w:rPr>
        <w:t xml:space="preserve"> </w:t>
      </w:r>
      <w:r w:rsidR="00F6623C" w:rsidRPr="00277414">
        <w:rPr>
          <w:color w:val="000000" w:themeColor="text1"/>
        </w:rPr>
        <w:t>is</w:t>
      </w:r>
      <w:r w:rsidR="009A0847">
        <w:rPr>
          <w:color w:val="000000" w:themeColor="text1"/>
        </w:rPr>
        <w:t xml:space="preserve"> </w:t>
      </w:r>
      <w:r w:rsidR="00F6623C" w:rsidRPr="00277414">
        <w:rPr>
          <w:color w:val="000000" w:themeColor="text1"/>
        </w:rPr>
        <w:t>introduced</w:t>
      </w:r>
      <w:r w:rsidR="009A0847">
        <w:rPr>
          <w:color w:val="000000" w:themeColor="text1"/>
        </w:rPr>
        <w:t xml:space="preserve"> </w:t>
      </w:r>
      <w:r w:rsidR="00F6623C" w:rsidRPr="00277414">
        <w:rPr>
          <w:color w:val="000000" w:themeColor="text1"/>
        </w:rPr>
        <w:t>in</w:t>
      </w:r>
      <w:r w:rsidR="009A0847">
        <w:rPr>
          <w:color w:val="000000" w:themeColor="text1"/>
        </w:rPr>
        <w:t xml:space="preserve"> </w:t>
      </w:r>
      <w:r w:rsidR="00F6623C" w:rsidRPr="00277414">
        <w:rPr>
          <w:color w:val="000000" w:themeColor="text1"/>
        </w:rPr>
        <w:t>Section</w:t>
      </w:r>
      <w:r w:rsidR="009A0847">
        <w:rPr>
          <w:color w:val="000000" w:themeColor="text1"/>
        </w:rPr>
        <w:t xml:space="preserve"> </w:t>
      </w:r>
      <w:r w:rsidR="00F6623C" w:rsidRPr="00277414">
        <w:rPr>
          <w:color w:val="000000" w:themeColor="text1"/>
        </w:rPr>
        <w:t>2.</w:t>
      </w:r>
      <w:r w:rsidR="009A0847">
        <w:rPr>
          <w:color w:val="000000" w:themeColor="text1"/>
        </w:rPr>
        <w:t xml:space="preserve"> </w:t>
      </w:r>
      <w:r w:rsidR="00F6623C" w:rsidRPr="00277414">
        <w:rPr>
          <w:color w:val="000000" w:themeColor="text1"/>
        </w:rPr>
        <w:t>The</w:t>
      </w:r>
      <w:r w:rsidR="009A0847">
        <w:rPr>
          <w:color w:val="000000" w:themeColor="text1"/>
        </w:rPr>
        <w:t xml:space="preserve"> </w:t>
      </w:r>
      <w:r w:rsidR="00F6623C" w:rsidRPr="00277414">
        <w:rPr>
          <w:color w:val="000000" w:themeColor="text1"/>
        </w:rPr>
        <w:t>experiment</w:t>
      </w:r>
      <w:r w:rsidR="009A0847">
        <w:rPr>
          <w:color w:val="000000" w:themeColor="text1"/>
        </w:rPr>
        <w:t xml:space="preserve"> </w:t>
      </w:r>
      <w:r w:rsidR="00F6623C" w:rsidRPr="00277414">
        <w:rPr>
          <w:color w:val="000000" w:themeColor="text1"/>
        </w:rPr>
        <w:t>is</w:t>
      </w:r>
      <w:r w:rsidR="009A0847">
        <w:rPr>
          <w:color w:val="000000" w:themeColor="text1"/>
        </w:rPr>
        <w:t xml:space="preserve"> </w:t>
      </w:r>
      <w:r w:rsidR="00F6623C" w:rsidRPr="00277414">
        <w:rPr>
          <w:color w:val="000000" w:themeColor="text1"/>
        </w:rPr>
        <w:t>described</w:t>
      </w:r>
      <w:r w:rsidR="009A0847">
        <w:rPr>
          <w:color w:val="000000" w:themeColor="text1"/>
        </w:rPr>
        <w:t xml:space="preserve"> </w:t>
      </w:r>
      <w:r w:rsidR="00F6623C" w:rsidRPr="00277414">
        <w:rPr>
          <w:color w:val="000000" w:themeColor="text1"/>
        </w:rPr>
        <w:t>in</w:t>
      </w:r>
      <w:r w:rsidR="009A0847">
        <w:rPr>
          <w:color w:val="000000" w:themeColor="text1"/>
        </w:rPr>
        <w:t xml:space="preserve"> </w:t>
      </w:r>
      <w:r w:rsidR="00F6623C" w:rsidRPr="00277414">
        <w:rPr>
          <w:color w:val="000000" w:themeColor="text1"/>
        </w:rPr>
        <w:t>Section</w:t>
      </w:r>
      <w:r w:rsidR="009A0847">
        <w:rPr>
          <w:color w:val="000000" w:themeColor="text1"/>
        </w:rPr>
        <w:t xml:space="preserve"> </w:t>
      </w:r>
      <w:r w:rsidR="00F6623C" w:rsidRPr="00277414">
        <w:rPr>
          <w:color w:val="000000" w:themeColor="text1"/>
        </w:rPr>
        <w:t>3.</w:t>
      </w:r>
      <w:r w:rsidR="009A0847">
        <w:rPr>
          <w:color w:val="000000" w:themeColor="text1"/>
        </w:rPr>
        <w:t xml:space="preserve"> </w:t>
      </w:r>
      <w:r w:rsidR="00F6623C" w:rsidRPr="00277414">
        <w:rPr>
          <w:color w:val="000000" w:themeColor="text1"/>
        </w:rPr>
        <w:t>The</w:t>
      </w:r>
      <w:r w:rsidR="009A0847">
        <w:rPr>
          <w:color w:val="000000" w:themeColor="text1"/>
        </w:rPr>
        <w:t xml:space="preserve"> </w:t>
      </w:r>
      <w:r w:rsidR="00F6623C" w:rsidRPr="00277414">
        <w:rPr>
          <w:color w:val="000000" w:themeColor="text1"/>
        </w:rPr>
        <w:t>results</w:t>
      </w:r>
      <w:r w:rsidR="009A0847">
        <w:rPr>
          <w:color w:val="000000" w:themeColor="text1"/>
        </w:rPr>
        <w:t xml:space="preserve"> </w:t>
      </w:r>
      <w:r w:rsidR="0096421F" w:rsidRPr="00277414">
        <w:rPr>
          <w:color w:val="000000" w:themeColor="text1"/>
        </w:rPr>
        <w:t>of</w:t>
      </w:r>
      <w:r w:rsidR="009A0847">
        <w:rPr>
          <w:color w:val="000000" w:themeColor="text1"/>
        </w:rPr>
        <w:t xml:space="preserve"> </w:t>
      </w:r>
      <w:r w:rsidR="0096421F" w:rsidRPr="00277414">
        <w:rPr>
          <w:color w:val="000000" w:themeColor="text1"/>
        </w:rPr>
        <w:t>the</w:t>
      </w:r>
      <w:r w:rsidR="009A0847">
        <w:rPr>
          <w:color w:val="000000" w:themeColor="text1"/>
        </w:rPr>
        <w:t xml:space="preserve"> </w:t>
      </w:r>
      <w:r w:rsidR="0096421F" w:rsidRPr="00277414">
        <w:rPr>
          <w:color w:val="000000" w:themeColor="text1"/>
        </w:rPr>
        <w:t>experiment</w:t>
      </w:r>
      <w:r w:rsidR="009A0847">
        <w:rPr>
          <w:color w:val="000000" w:themeColor="text1"/>
        </w:rPr>
        <w:t xml:space="preserve"> </w:t>
      </w:r>
      <w:r w:rsidR="00F6623C" w:rsidRPr="00277414">
        <w:rPr>
          <w:color w:val="000000" w:themeColor="text1"/>
        </w:rPr>
        <w:t>are</w:t>
      </w:r>
      <w:r w:rsidR="009A0847">
        <w:rPr>
          <w:color w:val="000000" w:themeColor="text1"/>
        </w:rPr>
        <w:t xml:space="preserve"> </w:t>
      </w:r>
      <w:r w:rsidR="00F6623C" w:rsidRPr="00277414">
        <w:rPr>
          <w:color w:val="000000" w:themeColor="text1"/>
        </w:rPr>
        <w:t>reported</w:t>
      </w:r>
      <w:r w:rsidR="009A0847">
        <w:rPr>
          <w:color w:val="000000" w:themeColor="text1"/>
        </w:rPr>
        <w:t xml:space="preserve"> </w:t>
      </w:r>
      <w:r w:rsidR="00F6623C" w:rsidRPr="00277414">
        <w:rPr>
          <w:color w:val="000000" w:themeColor="text1"/>
        </w:rPr>
        <w:t>in</w:t>
      </w:r>
      <w:r w:rsidR="009A0847">
        <w:rPr>
          <w:color w:val="000000" w:themeColor="text1"/>
        </w:rPr>
        <w:t xml:space="preserve"> </w:t>
      </w:r>
      <w:r w:rsidR="00F6623C" w:rsidRPr="00277414">
        <w:rPr>
          <w:color w:val="000000" w:themeColor="text1"/>
        </w:rPr>
        <w:t>Section</w:t>
      </w:r>
      <w:r w:rsidR="009A0847">
        <w:rPr>
          <w:color w:val="000000" w:themeColor="text1"/>
        </w:rPr>
        <w:t xml:space="preserve"> </w:t>
      </w:r>
      <w:r w:rsidR="00ED0367">
        <w:rPr>
          <w:color w:val="000000" w:themeColor="text1"/>
        </w:rPr>
        <w:t>4</w:t>
      </w:r>
      <w:r w:rsidR="00F6623C" w:rsidRPr="00277414">
        <w:rPr>
          <w:color w:val="000000" w:themeColor="text1"/>
        </w:rPr>
        <w:t>.</w:t>
      </w:r>
      <w:r w:rsidR="009A0847">
        <w:rPr>
          <w:color w:val="000000" w:themeColor="text1"/>
        </w:rPr>
        <w:t xml:space="preserve"> </w:t>
      </w:r>
      <w:r w:rsidRPr="00277414">
        <w:rPr>
          <w:color w:val="000000" w:themeColor="text1"/>
        </w:rPr>
        <w:t>An</w:t>
      </w:r>
      <w:r w:rsidR="009A0847">
        <w:rPr>
          <w:color w:val="000000" w:themeColor="text1"/>
        </w:rPr>
        <w:t xml:space="preserve"> </w:t>
      </w:r>
      <w:r w:rsidRPr="00277414">
        <w:rPr>
          <w:color w:val="000000" w:themeColor="text1"/>
        </w:rPr>
        <w:t>econometric</w:t>
      </w:r>
      <w:r w:rsidR="009A0847">
        <w:rPr>
          <w:color w:val="000000" w:themeColor="text1"/>
        </w:rPr>
        <w:t xml:space="preserve"> </w:t>
      </w:r>
      <w:r w:rsidRPr="00277414">
        <w:rPr>
          <w:color w:val="000000" w:themeColor="text1"/>
        </w:rPr>
        <w:t>analysis</w:t>
      </w:r>
      <w:r w:rsidR="009A0847">
        <w:rPr>
          <w:color w:val="000000" w:themeColor="text1"/>
        </w:rPr>
        <w:t xml:space="preserve"> </w:t>
      </w:r>
      <w:r w:rsidR="00F6623C" w:rsidRPr="00277414">
        <w:rPr>
          <w:color w:val="000000" w:themeColor="text1"/>
        </w:rPr>
        <w:t>sheds</w:t>
      </w:r>
      <w:r w:rsidR="009A0847">
        <w:rPr>
          <w:color w:val="000000" w:themeColor="text1"/>
        </w:rPr>
        <w:t xml:space="preserve"> </w:t>
      </w:r>
      <w:r w:rsidR="00F6623C" w:rsidRPr="00277414">
        <w:rPr>
          <w:color w:val="000000" w:themeColor="text1"/>
        </w:rPr>
        <w:t>light</w:t>
      </w:r>
      <w:r w:rsidR="009A0847">
        <w:rPr>
          <w:color w:val="000000" w:themeColor="text1"/>
        </w:rPr>
        <w:t xml:space="preserve"> </w:t>
      </w:r>
      <w:r w:rsidR="00F6623C" w:rsidRPr="00277414">
        <w:rPr>
          <w:color w:val="000000" w:themeColor="text1"/>
        </w:rPr>
        <w:t>on</w:t>
      </w:r>
      <w:r w:rsidR="009A0847">
        <w:rPr>
          <w:color w:val="000000" w:themeColor="text1"/>
        </w:rPr>
        <w:t xml:space="preserve"> </w:t>
      </w:r>
      <w:r w:rsidRPr="00277414">
        <w:rPr>
          <w:color w:val="000000" w:themeColor="text1"/>
        </w:rPr>
        <w:t>the</w:t>
      </w:r>
      <w:r w:rsidR="009A0847">
        <w:rPr>
          <w:color w:val="000000" w:themeColor="text1"/>
        </w:rPr>
        <w:t xml:space="preserve"> </w:t>
      </w:r>
      <w:r w:rsidRPr="00277414">
        <w:rPr>
          <w:color w:val="000000" w:themeColor="text1"/>
        </w:rPr>
        <w:t>drivers</w:t>
      </w:r>
      <w:r w:rsidR="009A0847">
        <w:rPr>
          <w:color w:val="000000" w:themeColor="text1"/>
        </w:rPr>
        <w:t xml:space="preserve"> </w:t>
      </w:r>
      <w:r w:rsidRPr="00277414">
        <w:rPr>
          <w:color w:val="000000" w:themeColor="text1"/>
        </w:rPr>
        <w:t>of</w:t>
      </w:r>
      <w:r w:rsidR="009A0847">
        <w:rPr>
          <w:color w:val="000000" w:themeColor="text1"/>
        </w:rPr>
        <w:t xml:space="preserve"> </w:t>
      </w:r>
      <w:r w:rsidRPr="00277414">
        <w:rPr>
          <w:color w:val="000000" w:themeColor="text1"/>
        </w:rPr>
        <w:t>DW</w:t>
      </w:r>
      <w:r w:rsidR="009A0847">
        <w:rPr>
          <w:color w:val="000000" w:themeColor="text1"/>
        </w:rPr>
        <w:t xml:space="preserve"> </w:t>
      </w:r>
      <w:r w:rsidRPr="00277414">
        <w:rPr>
          <w:color w:val="000000" w:themeColor="text1"/>
        </w:rPr>
        <w:t>stigma</w:t>
      </w:r>
      <w:r w:rsidR="009A0847">
        <w:rPr>
          <w:color w:val="000000" w:themeColor="text1"/>
        </w:rPr>
        <w:t xml:space="preserve"> </w:t>
      </w:r>
      <w:r w:rsidR="00277414" w:rsidRPr="00277414">
        <w:rPr>
          <w:color w:val="000000" w:themeColor="text1"/>
        </w:rPr>
        <w:t>in</w:t>
      </w:r>
      <w:r w:rsidR="009A0847">
        <w:rPr>
          <w:color w:val="000000" w:themeColor="text1"/>
        </w:rPr>
        <w:t xml:space="preserve"> </w:t>
      </w:r>
      <w:r w:rsidR="00277414" w:rsidRPr="00277414">
        <w:rPr>
          <w:color w:val="000000" w:themeColor="text1"/>
        </w:rPr>
        <w:t>Section</w:t>
      </w:r>
      <w:r w:rsidR="009A0847">
        <w:rPr>
          <w:color w:val="000000" w:themeColor="text1"/>
        </w:rPr>
        <w:t xml:space="preserve"> </w:t>
      </w:r>
      <w:r w:rsidR="00ED0367">
        <w:rPr>
          <w:color w:val="000000" w:themeColor="text1"/>
        </w:rPr>
        <w:t>5</w:t>
      </w:r>
      <w:r w:rsidRPr="00277414">
        <w:rPr>
          <w:color w:val="000000" w:themeColor="text1"/>
        </w:rPr>
        <w:t>.</w:t>
      </w:r>
      <w:r w:rsidR="009A0847">
        <w:rPr>
          <w:color w:val="000000" w:themeColor="text1"/>
        </w:rPr>
        <w:t xml:space="preserve"> </w:t>
      </w:r>
      <w:r w:rsidR="00F6623C" w:rsidRPr="00277414">
        <w:rPr>
          <w:color w:val="000000" w:themeColor="text1"/>
        </w:rPr>
        <w:t>Finally,</w:t>
      </w:r>
      <w:r w:rsidR="009A0847">
        <w:rPr>
          <w:color w:val="000000" w:themeColor="text1"/>
        </w:rPr>
        <w:t xml:space="preserve"> </w:t>
      </w:r>
      <w:r w:rsidR="00F6623C" w:rsidRPr="00277414">
        <w:rPr>
          <w:color w:val="000000" w:themeColor="text1"/>
        </w:rPr>
        <w:t>Section</w:t>
      </w:r>
      <w:r w:rsidR="009A0847">
        <w:rPr>
          <w:color w:val="000000" w:themeColor="text1"/>
        </w:rPr>
        <w:t xml:space="preserve"> </w:t>
      </w:r>
      <w:r w:rsidR="00ED0367">
        <w:rPr>
          <w:color w:val="000000" w:themeColor="text1"/>
        </w:rPr>
        <w:t>6</w:t>
      </w:r>
      <w:r w:rsidR="009A0847">
        <w:rPr>
          <w:color w:val="000000" w:themeColor="text1"/>
        </w:rPr>
        <w:t xml:space="preserve"> </w:t>
      </w:r>
      <w:r w:rsidR="00F6623C" w:rsidRPr="00277414">
        <w:rPr>
          <w:color w:val="000000" w:themeColor="text1"/>
        </w:rPr>
        <w:t>concludes.</w:t>
      </w:r>
    </w:p>
    <w:p w14:paraId="6BB1F529" w14:textId="4073FF88" w:rsidR="00C533F8" w:rsidRPr="00C533F8" w:rsidRDefault="00DC5304" w:rsidP="00980E54">
      <w:pPr>
        <w:pStyle w:val="Heading1"/>
      </w:pPr>
      <w:r>
        <w:t>2</w:t>
      </w:r>
      <w:r w:rsidR="00980E54">
        <w:t>.</w:t>
      </w:r>
      <w:r w:rsidR="009A0847">
        <w:t xml:space="preserve"> </w:t>
      </w:r>
      <w:r w:rsidR="00232844">
        <w:t>The</w:t>
      </w:r>
      <w:r w:rsidR="009A0847">
        <w:t xml:space="preserve"> </w:t>
      </w:r>
      <w:r w:rsidR="005B52EB">
        <w:t>M</w:t>
      </w:r>
      <w:r w:rsidR="00C918F8">
        <w:t>odel</w:t>
      </w:r>
    </w:p>
    <w:p w14:paraId="06A2CBFA" w14:textId="7AA341B1" w:rsidR="00232844" w:rsidRPr="00D31D69" w:rsidRDefault="00232844" w:rsidP="00F86E09">
      <w:pPr>
        <w:pStyle w:val="Olivier1"/>
        <w:widowControl w:val="0"/>
      </w:pPr>
      <w:r w:rsidRPr="00D31D69">
        <w:t>To</w:t>
      </w:r>
      <w:r w:rsidR="009A0847">
        <w:t xml:space="preserve"> </w:t>
      </w:r>
      <w:r w:rsidRPr="00D31D69">
        <w:t>capture</w:t>
      </w:r>
      <w:r w:rsidR="009A0847">
        <w:t xml:space="preserve"> </w:t>
      </w:r>
      <w:r w:rsidRPr="00D31D69">
        <w:t>the</w:t>
      </w:r>
      <w:r w:rsidR="009A0847">
        <w:t xml:space="preserve"> </w:t>
      </w:r>
      <w:r w:rsidRPr="00D31D69">
        <w:t>essence</w:t>
      </w:r>
      <w:r w:rsidR="009A0847">
        <w:t xml:space="preserve"> </w:t>
      </w:r>
      <w:r w:rsidRPr="00D31D69">
        <w:t>of</w:t>
      </w:r>
      <w:r w:rsidR="009A0847">
        <w:t xml:space="preserve"> </w:t>
      </w:r>
      <w:r w:rsidRPr="00D31D69">
        <w:t>emergency</w:t>
      </w:r>
      <w:r w:rsidR="009A0847">
        <w:t xml:space="preserve"> </w:t>
      </w:r>
      <w:r w:rsidRPr="00D31D69">
        <w:t>lending</w:t>
      </w:r>
      <w:r w:rsidR="009A0847">
        <w:t xml:space="preserve"> </w:t>
      </w:r>
      <w:r w:rsidRPr="00D31D69">
        <w:t>and</w:t>
      </w:r>
      <w:r w:rsidR="009A0847">
        <w:t xml:space="preserve"> </w:t>
      </w:r>
      <w:r w:rsidRPr="00D31D69">
        <w:t>DW</w:t>
      </w:r>
      <w:r w:rsidR="009A0847">
        <w:t xml:space="preserve"> </w:t>
      </w:r>
      <w:r w:rsidRPr="00D31D69">
        <w:t>stigma</w:t>
      </w:r>
      <w:r w:rsidR="00BF76AE">
        <w:t>,</w:t>
      </w:r>
      <w:r w:rsidR="009A0847">
        <w:t xml:space="preserve"> </w:t>
      </w:r>
      <w:r w:rsidRPr="00D31D69">
        <w:t>w</w:t>
      </w:r>
      <w:r w:rsidR="00AE4AB1" w:rsidRPr="00D31D69">
        <w:t>e</w:t>
      </w:r>
      <w:r w:rsidR="009A0847">
        <w:t xml:space="preserve"> </w:t>
      </w:r>
      <w:r w:rsidR="00CE237D" w:rsidRPr="00D31D69">
        <w:t>develop</w:t>
      </w:r>
      <w:r w:rsidR="009A0847">
        <w:t xml:space="preserve"> </w:t>
      </w:r>
      <w:r w:rsidR="00D90208">
        <w:t>a</w:t>
      </w:r>
      <w:r w:rsidR="009A0847">
        <w:t xml:space="preserve"> </w:t>
      </w:r>
      <w:r w:rsidR="00D90208">
        <w:t>coordination</w:t>
      </w:r>
      <w:r w:rsidR="009A0847">
        <w:t xml:space="preserve"> </w:t>
      </w:r>
      <w:r w:rsidR="00D90208">
        <w:t>game</w:t>
      </w:r>
      <w:r w:rsidR="009A0847">
        <w:t xml:space="preserve"> </w:t>
      </w:r>
      <w:r w:rsidR="00D90208">
        <w:t>with</w:t>
      </w:r>
      <w:r w:rsidR="009A0847">
        <w:t xml:space="preserve"> </w:t>
      </w:r>
      <w:r w:rsidR="00D90208">
        <w:t>adv</w:t>
      </w:r>
      <w:r w:rsidR="00532E13">
        <w:t>erse</w:t>
      </w:r>
      <w:r w:rsidR="009A0847">
        <w:t xml:space="preserve"> </w:t>
      </w:r>
      <w:r w:rsidR="00532E13">
        <w:t>selection</w:t>
      </w:r>
      <w:r w:rsidR="00AE4AB1" w:rsidRPr="00D31D69">
        <w:t>.</w:t>
      </w:r>
      <w:r w:rsidR="009A0847">
        <w:t xml:space="preserve"> </w:t>
      </w:r>
      <w:r w:rsidR="00AE4AB1" w:rsidRPr="00D31D69">
        <w:t>T</w:t>
      </w:r>
      <w:r w:rsidRPr="00D31D69">
        <w:t>he</w:t>
      </w:r>
      <w:r w:rsidR="009A0847">
        <w:t xml:space="preserve"> </w:t>
      </w:r>
      <w:r w:rsidRPr="00D31D69">
        <w:t>model</w:t>
      </w:r>
      <w:r w:rsidR="009A0847">
        <w:t xml:space="preserve"> </w:t>
      </w:r>
      <w:r w:rsidR="00CE237D" w:rsidRPr="00D31D69">
        <w:t>is</w:t>
      </w:r>
      <w:r w:rsidR="009A0847">
        <w:t xml:space="preserve"> </w:t>
      </w:r>
      <w:r w:rsidRPr="00D31D69">
        <w:t>rich</w:t>
      </w:r>
      <w:r w:rsidR="009A0847">
        <w:t xml:space="preserve"> </w:t>
      </w:r>
      <w:r w:rsidRPr="00D31D69">
        <w:t>enough</w:t>
      </w:r>
      <w:r w:rsidR="009A0847">
        <w:t xml:space="preserve"> </w:t>
      </w:r>
      <w:r w:rsidRPr="00D31D69">
        <w:t>to</w:t>
      </w:r>
      <w:r w:rsidR="009A0847">
        <w:t xml:space="preserve"> </w:t>
      </w:r>
      <w:r w:rsidR="00CE237D" w:rsidRPr="00D31D69">
        <w:t>produce</w:t>
      </w:r>
      <w:r w:rsidR="009A0847">
        <w:t xml:space="preserve"> </w:t>
      </w:r>
      <w:r w:rsidRPr="00D31D69">
        <w:t>DW</w:t>
      </w:r>
      <w:r w:rsidR="009A0847">
        <w:t xml:space="preserve"> </w:t>
      </w:r>
      <w:r w:rsidRPr="00D31D69">
        <w:t>stigma</w:t>
      </w:r>
      <w:r w:rsidR="009A0847">
        <w:t xml:space="preserve"> </w:t>
      </w:r>
      <w:r w:rsidR="00F7278E">
        <w:t>in</w:t>
      </w:r>
      <w:r w:rsidR="009A0847">
        <w:t xml:space="preserve"> </w:t>
      </w:r>
      <w:r w:rsidR="00AE4AB1" w:rsidRPr="00D31D69">
        <w:t>equilibrium,</w:t>
      </w:r>
      <w:r w:rsidR="009A0847">
        <w:t xml:space="preserve"> </w:t>
      </w:r>
      <w:r w:rsidR="00CE237D" w:rsidRPr="00D31D69">
        <w:t>but</w:t>
      </w:r>
      <w:r w:rsidR="009A0847">
        <w:t xml:space="preserve"> </w:t>
      </w:r>
      <w:r w:rsidR="008345F2">
        <w:t>simple</w:t>
      </w:r>
      <w:r w:rsidR="009A0847">
        <w:t xml:space="preserve"> </w:t>
      </w:r>
      <w:r w:rsidR="008345F2">
        <w:t>enough</w:t>
      </w:r>
      <w:r w:rsidR="009A0847">
        <w:t xml:space="preserve"> </w:t>
      </w:r>
      <w:r w:rsidR="008345F2">
        <w:t>to</w:t>
      </w:r>
      <w:r w:rsidR="009A0847">
        <w:t xml:space="preserve"> </w:t>
      </w:r>
      <w:r w:rsidR="008345F2">
        <w:t>implement</w:t>
      </w:r>
      <w:r w:rsidR="009A0847">
        <w:t xml:space="preserve"> </w:t>
      </w:r>
      <w:r w:rsidRPr="00D31D69">
        <w:t>in</w:t>
      </w:r>
      <w:r w:rsidR="009A0847">
        <w:t xml:space="preserve"> </w:t>
      </w:r>
      <w:r w:rsidRPr="00D31D69">
        <w:t>the</w:t>
      </w:r>
      <w:r w:rsidR="009A0847">
        <w:t xml:space="preserve"> </w:t>
      </w:r>
      <w:r w:rsidRPr="00D31D69">
        <w:t>lab.</w:t>
      </w:r>
      <w:r w:rsidR="009A0847">
        <w:t xml:space="preserve"> </w:t>
      </w:r>
      <w:r w:rsidRPr="00D31D69">
        <w:t>Unlike</w:t>
      </w:r>
      <w:r w:rsidR="009A0847">
        <w:t xml:space="preserve"> </w:t>
      </w:r>
      <w:r w:rsidRPr="00D31D69">
        <w:t>(e.g.)</w:t>
      </w:r>
      <w:r w:rsidR="009A0847">
        <w:t xml:space="preserve"> </w:t>
      </w:r>
      <w:r w:rsidRPr="00D31D69">
        <w:t>Ennis</w:t>
      </w:r>
      <w:r w:rsidR="009A0847">
        <w:t xml:space="preserve"> </w:t>
      </w:r>
      <w:r w:rsidRPr="00D31D69">
        <w:t>and</w:t>
      </w:r>
      <w:r w:rsidR="009A0847">
        <w:t xml:space="preserve"> </w:t>
      </w:r>
      <w:r w:rsidRPr="00D31D69">
        <w:t>Weinberg</w:t>
      </w:r>
      <w:r w:rsidR="009A0847">
        <w:t xml:space="preserve"> </w:t>
      </w:r>
      <w:r w:rsidRPr="00D31D69">
        <w:t>(2013),</w:t>
      </w:r>
      <w:r w:rsidR="009A0847">
        <w:t xml:space="preserve"> </w:t>
      </w:r>
      <w:r w:rsidRPr="00D31D69">
        <w:t>we</w:t>
      </w:r>
      <w:r w:rsidR="009A0847">
        <w:t xml:space="preserve"> </w:t>
      </w:r>
      <w:r w:rsidRPr="00D31D69">
        <w:t>take</w:t>
      </w:r>
      <w:r w:rsidR="009A0847">
        <w:t xml:space="preserve"> </w:t>
      </w:r>
      <w:r w:rsidRPr="00D31D69">
        <w:t>a</w:t>
      </w:r>
      <w:r w:rsidR="009A0847">
        <w:t xml:space="preserve"> </w:t>
      </w:r>
      <w:r w:rsidRPr="00D31D69">
        <w:t>partial</w:t>
      </w:r>
      <w:r w:rsidR="009A0847">
        <w:t xml:space="preserve"> </w:t>
      </w:r>
      <w:r w:rsidRPr="00D31D69">
        <w:t>equilibrium</w:t>
      </w:r>
      <w:r w:rsidR="009A0847">
        <w:t xml:space="preserve"> </w:t>
      </w:r>
      <w:r w:rsidRPr="00D31D69">
        <w:t>perspective</w:t>
      </w:r>
      <w:r w:rsidR="009A0847">
        <w:t xml:space="preserve"> </w:t>
      </w:r>
      <w:r w:rsidRPr="00D31D69">
        <w:t>and</w:t>
      </w:r>
      <w:r w:rsidR="009A0847">
        <w:t xml:space="preserve"> </w:t>
      </w:r>
      <w:r w:rsidRPr="00D31D69">
        <w:t>do</w:t>
      </w:r>
      <w:r w:rsidR="009A0847">
        <w:t xml:space="preserve"> </w:t>
      </w:r>
      <w:r w:rsidRPr="00D31D69">
        <w:t>not</w:t>
      </w:r>
      <w:r w:rsidR="009A0847">
        <w:t xml:space="preserve"> </w:t>
      </w:r>
      <w:r w:rsidRPr="00D31D69">
        <w:t>model</w:t>
      </w:r>
      <w:r w:rsidR="009A0847">
        <w:t xml:space="preserve"> </w:t>
      </w:r>
      <w:r w:rsidRPr="00D31D69">
        <w:t>the</w:t>
      </w:r>
      <w:r w:rsidR="009A0847">
        <w:t xml:space="preserve"> </w:t>
      </w:r>
      <w:r w:rsidRPr="00D31D69">
        <w:t>interbank</w:t>
      </w:r>
      <w:r w:rsidR="009A0847">
        <w:t xml:space="preserve"> </w:t>
      </w:r>
      <w:r w:rsidRPr="00D31D69">
        <w:t>market</w:t>
      </w:r>
      <w:r w:rsidR="009A0847">
        <w:t xml:space="preserve"> </w:t>
      </w:r>
      <w:r w:rsidRPr="00D31D69">
        <w:t>for</w:t>
      </w:r>
      <w:r w:rsidR="009A0847">
        <w:t xml:space="preserve"> </w:t>
      </w:r>
      <w:r w:rsidRPr="00D31D69">
        <w:t>funds.</w:t>
      </w:r>
    </w:p>
    <w:p w14:paraId="69C83D0F" w14:textId="237D00CA" w:rsidR="00C47F76" w:rsidRDefault="00C47F76" w:rsidP="00F86E09">
      <w:pPr>
        <w:pStyle w:val="Heading3"/>
        <w:widowControl w:val="0"/>
        <w:spacing w:line="276" w:lineRule="auto"/>
      </w:pPr>
      <w:r>
        <w:t>The</w:t>
      </w:r>
      <w:r w:rsidR="009A0847">
        <w:t xml:space="preserve"> </w:t>
      </w:r>
      <w:r>
        <w:t>setting</w:t>
      </w:r>
    </w:p>
    <w:p w14:paraId="5E18113B" w14:textId="786109E4" w:rsidR="00BB6C96" w:rsidRPr="0068296B" w:rsidRDefault="004C513F" w:rsidP="00F86E09">
      <w:pPr>
        <w:pStyle w:val="Olivier1"/>
        <w:widowControl w:val="0"/>
        <w:rPr>
          <w:color w:val="FF0000"/>
        </w:rPr>
      </w:pPr>
      <w:r w:rsidRPr="0068296B">
        <w:rPr>
          <w:color w:val="000000" w:themeColor="text1"/>
        </w:rPr>
        <w:t>There</w:t>
      </w:r>
      <w:r w:rsidR="009A0847">
        <w:rPr>
          <w:color w:val="000000" w:themeColor="text1"/>
        </w:rPr>
        <w:t xml:space="preserve"> </w:t>
      </w:r>
      <w:r w:rsidR="00763C63" w:rsidRPr="0068296B">
        <w:rPr>
          <w:color w:val="000000" w:themeColor="text1"/>
        </w:rPr>
        <w:t>are</w:t>
      </w:r>
      <w:r w:rsidR="009A0847">
        <w:rPr>
          <w:color w:val="000000" w:themeColor="text1"/>
        </w:rPr>
        <w:t xml:space="preserve"> </w:t>
      </w:r>
      <w:r w:rsidR="00763C63" w:rsidRPr="0068296B">
        <w:rPr>
          <w:color w:val="000000" w:themeColor="text1"/>
        </w:rPr>
        <w:t>two</w:t>
      </w:r>
      <w:r w:rsidR="009A0847">
        <w:rPr>
          <w:color w:val="000000" w:themeColor="text1"/>
        </w:rPr>
        <w:t xml:space="preserve"> </w:t>
      </w:r>
      <w:r w:rsidR="00763C63" w:rsidRPr="0068296B">
        <w:rPr>
          <w:color w:val="000000" w:themeColor="text1"/>
        </w:rPr>
        <w:t>populations</w:t>
      </w:r>
      <w:r w:rsidR="009A0847">
        <w:rPr>
          <w:color w:val="000000" w:themeColor="text1"/>
        </w:rPr>
        <w:t xml:space="preserve"> </w:t>
      </w:r>
      <w:r w:rsidR="00763C63" w:rsidRPr="0068296B">
        <w:rPr>
          <w:color w:val="000000" w:themeColor="text1"/>
        </w:rPr>
        <w:t>of</w:t>
      </w:r>
      <w:r w:rsidR="009A0847">
        <w:rPr>
          <w:color w:val="000000" w:themeColor="text1"/>
        </w:rPr>
        <w:t xml:space="preserve"> </w:t>
      </w:r>
      <w:r w:rsidR="00763C63" w:rsidRPr="0068296B">
        <w:rPr>
          <w:color w:val="000000" w:themeColor="text1"/>
        </w:rPr>
        <w:t>players,</w:t>
      </w:r>
      <w:r w:rsidR="009A0847">
        <w:rPr>
          <w:color w:val="000000" w:themeColor="text1"/>
        </w:rPr>
        <w:t xml:space="preserve"> </w:t>
      </w:r>
      <w:r w:rsidRPr="0068296B">
        <w:rPr>
          <w:color w:val="000000" w:themeColor="text1"/>
        </w:rPr>
        <w:t>banks</w:t>
      </w:r>
      <w:r w:rsidR="009A0847">
        <w:rPr>
          <w:color w:val="000000" w:themeColor="text1"/>
        </w:rPr>
        <w:t xml:space="preserve"> </w:t>
      </w:r>
      <w:r w:rsidRPr="0068296B">
        <w:rPr>
          <w:color w:val="000000" w:themeColor="text1"/>
        </w:rPr>
        <w:t>and</w:t>
      </w:r>
      <w:r w:rsidR="009A0847">
        <w:rPr>
          <w:color w:val="000000" w:themeColor="text1"/>
        </w:rPr>
        <w:t xml:space="preserve"> </w:t>
      </w:r>
      <w:r w:rsidRPr="0068296B">
        <w:rPr>
          <w:color w:val="000000" w:themeColor="text1"/>
        </w:rPr>
        <w:t>investors</w:t>
      </w:r>
      <w:r w:rsidR="00763C63" w:rsidRPr="0068296B">
        <w:rPr>
          <w:color w:val="000000" w:themeColor="text1"/>
        </w:rPr>
        <w:t>,</w:t>
      </w:r>
      <w:r w:rsidR="009A0847">
        <w:rPr>
          <w:color w:val="000000" w:themeColor="text1"/>
        </w:rPr>
        <w:t xml:space="preserve"> </w:t>
      </w:r>
      <w:r w:rsidR="00763C63" w:rsidRPr="0068296B">
        <w:rPr>
          <w:color w:val="000000" w:themeColor="text1"/>
        </w:rPr>
        <w:t>each</w:t>
      </w:r>
      <w:r w:rsidR="009A0847">
        <w:rPr>
          <w:color w:val="000000" w:themeColor="text1"/>
        </w:rPr>
        <w:t xml:space="preserve"> </w:t>
      </w:r>
      <w:r w:rsidR="00763C63" w:rsidRPr="0068296B">
        <w:rPr>
          <w:color w:val="000000" w:themeColor="text1"/>
        </w:rPr>
        <w:t>of</w:t>
      </w:r>
      <w:r w:rsidR="009A0847">
        <w:rPr>
          <w:color w:val="000000" w:themeColor="text1"/>
        </w:rPr>
        <w:t xml:space="preserve"> </w:t>
      </w:r>
      <w:r w:rsidR="00A0124C" w:rsidRPr="0068296B">
        <w:rPr>
          <w:color w:val="000000" w:themeColor="text1"/>
        </w:rPr>
        <w:t>size</w:t>
      </w:r>
      <w:r w:rsidR="009A0847">
        <w:rPr>
          <w:color w:val="000000" w:themeColor="text1"/>
        </w:rPr>
        <w:t xml:space="preserve"> </w:t>
      </w:r>
      <m:oMath>
        <m:r>
          <w:rPr>
            <w:rFonts w:ascii="Cambria Math" w:hAnsi="Cambria Math"/>
            <w:color w:val="000000" w:themeColor="text1"/>
            <w:sz w:val="22"/>
            <w:szCs w:val="22"/>
          </w:rPr>
          <m:t>N</m:t>
        </m:r>
      </m:oMath>
      <w:r w:rsidRPr="0068296B">
        <w:rPr>
          <w:color w:val="000000" w:themeColor="text1"/>
        </w:rPr>
        <w:t>.</w:t>
      </w:r>
      <w:r w:rsidR="009A0847">
        <w:rPr>
          <w:color w:val="000000" w:themeColor="text1"/>
        </w:rPr>
        <w:t xml:space="preserve"> </w:t>
      </w:r>
      <w:r w:rsidR="00B76476" w:rsidRPr="0068296B">
        <w:rPr>
          <w:color w:val="000000" w:themeColor="text1"/>
        </w:rPr>
        <w:t>A</w:t>
      </w:r>
      <w:r w:rsidR="009A0847">
        <w:rPr>
          <w:color w:val="000000" w:themeColor="text1"/>
        </w:rPr>
        <w:t xml:space="preserve"> </w:t>
      </w:r>
      <w:r w:rsidRPr="0068296B">
        <w:rPr>
          <w:color w:val="000000" w:themeColor="text1"/>
        </w:rPr>
        <w:t>bank</w:t>
      </w:r>
      <w:r w:rsidR="009A0847">
        <w:rPr>
          <w:color w:val="000000" w:themeColor="text1"/>
        </w:rPr>
        <w:t xml:space="preserve"> </w:t>
      </w:r>
      <w:r w:rsidRPr="0068296B">
        <w:rPr>
          <w:color w:val="000000" w:themeColor="text1"/>
        </w:rPr>
        <w:t>is</w:t>
      </w:r>
      <w:r w:rsidR="009A0847">
        <w:rPr>
          <w:color w:val="000000" w:themeColor="text1"/>
        </w:rPr>
        <w:t xml:space="preserve"> </w:t>
      </w:r>
      <w:r w:rsidRPr="0068296B">
        <w:rPr>
          <w:color w:val="000000" w:themeColor="text1"/>
        </w:rPr>
        <w:t>matched</w:t>
      </w:r>
      <w:r w:rsidR="009A0847">
        <w:rPr>
          <w:color w:val="000000" w:themeColor="text1"/>
        </w:rPr>
        <w:t xml:space="preserve"> </w:t>
      </w:r>
      <w:r w:rsidRPr="0068296B">
        <w:rPr>
          <w:color w:val="000000" w:themeColor="text1"/>
        </w:rPr>
        <w:t>randomly</w:t>
      </w:r>
      <w:r w:rsidR="009A0847">
        <w:rPr>
          <w:color w:val="000000" w:themeColor="text1"/>
        </w:rPr>
        <w:t xml:space="preserve"> </w:t>
      </w:r>
      <w:r w:rsidRPr="0068296B">
        <w:rPr>
          <w:color w:val="000000" w:themeColor="text1"/>
        </w:rPr>
        <w:t>with</w:t>
      </w:r>
      <w:r w:rsidR="009A0847">
        <w:rPr>
          <w:color w:val="000000" w:themeColor="text1"/>
        </w:rPr>
        <w:t xml:space="preserve"> </w:t>
      </w:r>
      <w:r w:rsidRPr="0068296B">
        <w:rPr>
          <w:color w:val="000000" w:themeColor="text1"/>
        </w:rPr>
        <w:t>an</w:t>
      </w:r>
      <w:r w:rsidR="009A0847">
        <w:rPr>
          <w:color w:val="000000" w:themeColor="text1"/>
        </w:rPr>
        <w:t xml:space="preserve"> </w:t>
      </w:r>
      <w:r w:rsidRPr="0068296B">
        <w:rPr>
          <w:color w:val="000000" w:themeColor="text1"/>
        </w:rPr>
        <w:t>investor.</w:t>
      </w:r>
      <w:r w:rsidR="009A0847">
        <w:rPr>
          <w:color w:val="000000" w:themeColor="text1"/>
        </w:rPr>
        <w:t xml:space="preserve"> </w:t>
      </w:r>
      <w:r w:rsidRPr="0068296B">
        <w:rPr>
          <w:color w:val="000000" w:themeColor="text1"/>
        </w:rPr>
        <w:t>The</w:t>
      </w:r>
      <w:r w:rsidR="009A0847">
        <w:rPr>
          <w:color w:val="000000" w:themeColor="text1"/>
        </w:rPr>
        <w:t xml:space="preserve"> </w:t>
      </w:r>
      <w:r w:rsidRPr="0068296B">
        <w:rPr>
          <w:color w:val="000000" w:themeColor="text1"/>
        </w:rPr>
        <w:t>players</w:t>
      </w:r>
      <w:r w:rsidR="009A0847">
        <w:rPr>
          <w:color w:val="000000" w:themeColor="text1"/>
        </w:rPr>
        <w:t xml:space="preserve"> </w:t>
      </w:r>
      <w:r w:rsidRPr="0068296B">
        <w:rPr>
          <w:color w:val="000000" w:themeColor="text1"/>
        </w:rPr>
        <w:t>move</w:t>
      </w:r>
      <w:r w:rsidR="009A0847">
        <w:rPr>
          <w:color w:val="000000" w:themeColor="text1"/>
        </w:rPr>
        <w:t xml:space="preserve"> </w:t>
      </w:r>
      <w:r w:rsidRPr="0068296B">
        <w:rPr>
          <w:color w:val="000000" w:themeColor="text1"/>
        </w:rPr>
        <w:t>sequentia</w:t>
      </w:r>
      <w:r w:rsidR="00F7278E" w:rsidRPr="0068296B">
        <w:rPr>
          <w:color w:val="000000" w:themeColor="text1"/>
        </w:rPr>
        <w:t>lly.</w:t>
      </w:r>
      <w:r w:rsidR="009A0847">
        <w:rPr>
          <w:color w:val="000000" w:themeColor="text1"/>
        </w:rPr>
        <w:t xml:space="preserve"> </w:t>
      </w:r>
      <w:r w:rsidR="00F7278E" w:rsidRPr="0068296B">
        <w:rPr>
          <w:color w:val="000000" w:themeColor="text1"/>
        </w:rPr>
        <w:t>The</w:t>
      </w:r>
      <w:r w:rsidR="009A0847">
        <w:rPr>
          <w:color w:val="000000" w:themeColor="text1"/>
        </w:rPr>
        <w:t xml:space="preserve"> </w:t>
      </w:r>
      <w:r w:rsidR="00F7278E" w:rsidRPr="0068296B">
        <w:rPr>
          <w:color w:val="000000" w:themeColor="text1"/>
        </w:rPr>
        <w:t>bank</w:t>
      </w:r>
      <w:r w:rsidR="009A0847">
        <w:rPr>
          <w:color w:val="000000" w:themeColor="text1"/>
        </w:rPr>
        <w:t xml:space="preserve"> </w:t>
      </w:r>
      <w:r w:rsidR="00F7278E" w:rsidRPr="0068296B">
        <w:rPr>
          <w:color w:val="000000" w:themeColor="text1"/>
        </w:rPr>
        <w:t>moves</w:t>
      </w:r>
      <w:r w:rsidR="009A0847">
        <w:rPr>
          <w:color w:val="000000" w:themeColor="text1"/>
        </w:rPr>
        <w:t xml:space="preserve"> </w:t>
      </w:r>
      <w:r w:rsidR="00F7278E" w:rsidRPr="0068296B">
        <w:rPr>
          <w:color w:val="000000" w:themeColor="text1"/>
        </w:rPr>
        <w:t>in</w:t>
      </w:r>
      <w:r w:rsidR="009A0847">
        <w:rPr>
          <w:color w:val="000000" w:themeColor="text1"/>
        </w:rPr>
        <w:t xml:space="preserve"> </w:t>
      </w:r>
      <w:r w:rsidR="00F7278E" w:rsidRPr="0068296B">
        <w:rPr>
          <w:color w:val="000000" w:themeColor="text1"/>
        </w:rPr>
        <w:t>period</w:t>
      </w:r>
      <w:r w:rsidR="009A0847">
        <w:rPr>
          <w:color w:val="000000" w:themeColor="text1"/>
        </w:rPr>
        <w:t xml:space="preserve"> </w:t>
      </w:r>
      <w:r w:rsidR="00F7278E" w:rsidRPr="0068296B">
        <w:rPr>
          <w:color w:val="000000" w:themeColor="text1"/>
        </w:rPr>
        <w:t>1,</w:t>
      </w:r>
      <w:r w:rsidR="009A0847">
        <w:rPr>
          <w:color w:val="000000" w:themeColor="text1"/>
        </w:rPr>
        <w:t xml:space="preserve"> </w:t>
      </w:r>
      <w:r w:rsidR="00F7278E" w:rsidRPr="0068296B">
        <w:rPr>
          <w:color w:val="000000" w:themeColor="text1"/>
        </w:rPr>
        <w:t>t</w:t>
      </w:r>
      <w:r w:rsidRPr="0068296B">
        <w:rPr>
          <w:color w:val="000000" w:themeColor="text1"/>
        </w:rPr>
        <w:t>he</w:t>
      </w:r>
      <w:r w:rsidR="009A0847">
        <w:rPr>
          <w:color w:val="000000" w:themeColor="text1"/>
        </w:rPr>
        <w:t xml:space="preserve"> </w:t>
      </w:r>
      <w:r w:rsidRPr="0068296B">
        <w:rPr>
          <w:color w:val="000000" w:themeColor="text1"/>
        </w:rPr>
        <w:t>investor</w:t>
      </w:r>
      <w:r w:rsidR="009A0847">
        <w:rPr>
          <w:color w:val="000000" w:themeColor="text1"/>
        </w:rPr>
        <w:t xml:space="preserve"> </w:t>
      </w:r>
      <w:r w:rsidRPr="0068296B">
        <w:rPr>
          <w:color w:val="000000" w:themeColor="text1"/>
        </w:rPr>
        <w:t>in</w:t>
      </w:r>
      <w:r w:rsidR="009A0847">
        <w:rPr>
          <w:color w:val="000000" w:themeColor="text1"/>
        </w:rPr>
        <w:t xml:space="preserve"> </w:t>
      </w:r>
      <w:r w:rsidRPr="0068296B">
        <w:rPr>
          <w:color w:val="000000" w:themeColor="text1"/>
        </w:rPr>
        <w:t>period</w:t>
      </w:r>
      <w:r w:rsidR="009A0847">
        <w:rPr>
          <w:color w:val="000000" w:themeColor="text1"/>
        </w:rPr>
        <w:t xml:space="preserve"> </w:t>
      </w:r>
      <w:r w:rsidRPr="0068296B">
        <w:rPr>
          <w:color w:val="000000" w:themeColor="text1"/>
        </w:rPr>
        <w:t>2.</w:t>
      </w:r>
      <w:r w:rsidR="009A0847">
        <w:rPr>
          <w:color w:val="000000" w:themeColor="text1"/>
        </w:rPr>
        <w:t xml:space="preserve"> </w:t>
      </w:r>
      <w:r w:rsidR="00E97C6B" w:rsidRPr="0068296B">
        <w:rPr>
          <w:color w:val="000000" w:themeColor="text1"/>
        </w:rPr>
        <w:t>Players</w:t>
      </w:r>
      <w:r w:rsidR="009A0847">
        <w:rPr>
          <w:color w:val="000000" w:themeColor="text1"/>
        </w:rPr>
        <w:t xml:space="preserve"> </w:t>
      </w:r>
      <w:r w:rsidR="00E97C6B" w:rsidRPr="0068296B">
        <w:rPr>
          <w:color w:val="000000" w:themeColor="text1"/>
        </w:rPr>
        <w:t>are</w:t>
      </w:r>
      <w:r w:rsidR="009A0847">
        <w:rPr>
          <w:color w:val="000000" w:themeColor="text1"/>
        </w:rPr>
        <w:t xml:space="preserve"> </w:t>
      </w:r>
      <w:r w:rsidR="00E97C6B" w:rsidRPr="0068296B">
        <w:rPr>
          <w:color w:val="000000" w:themeColor="text1"/>
        </w:rPr>
        <w:t>risk</w:t>
      </w:r>
      <w:r w:rsidR="009A0847">
        <w:rPr>
          <w:color w:val="000000" w:themeColor="text1"/>
        </w:rPr>
        <w:t xml:space="preserve"> </w:t>
      </w:r>
      <w:r w:rsidR="00E97C6B" w:rsidRPr="0068296B">
        <w:rPr>
          <w:color w:val="000000" w:themeColor="text1"/>
        </w:rPr>
        <w:t>neutral</w:t>
      </w:r>
      <w:r w:rsidR="009A0847">
        <w:rPr>
          <w:color w:val="000000" w:themeColor="text1"/>
        </w:rPr>
        <w:t xml:space="preserve"> </w:t>
      </w:r>
      <w:r w:rsidR="00E97C6B" w:rsidRPr="0068296B">
        <w:rPr>
          <w:color w:val="000000" w:themeColor="text1"/>
        </w:rPr>
        <w:t>and</w:t>
      </w:r>
      <w:r w:rsidR="009A0847">
        <w:rPr>
          <w:color w:val="000000" w:themeColor="text1"/>
        </w:rPr>
        <w:t xml:space="preserve"> </w:t>
      </w:r>
      <w:r w:rsidR="00E97C6B" w:rsidRPr="0068296B">
        <w:rPr>
          <w:color w:val="000000" w:themeColor="text1"/>
        </w:rPr>
        <w:t>do</w:t>
      </w:r>
      <w:r w:rsidR="009A0847">
        <w:rPr>
          <w:color w:val="000000" w:themeColor="text1"/>
        </w:rPr>
        <w:t xml:space="preserve"> </w:t>
      </w:r>
      <w:r w:rsidR="00E97C6B" w:rsidRPr="0068296B">
        <w:rPr>
          <w:color w:val="000000" w:themeColor="text1"/>
        </w:rPr>
        <w:t>not</w:t>
      </w:r>
      <w:r w:rsidR="009A0847">
        <w:rPr>
          <w:color w:val="000000" w:themeColor="text1"/>
        </w:rPr>
        <w:t xml:space="preserve"> </w:t>
      </w:r>
      <w:r w:rsidR="00E97C6B" w:rsidRPr="0068296B">
        <w:rPr>
          <w:color w:val="000000" w:themeColor="text1"/>
        </w:rPr>
        <w:t>discou</w:t>
      </w:r>
      <w:r w:rsidR="00D1498C" w:rsidRPr="0068296B">
        <w:rPr>
          <w:color w:val="000000" w:themeColor="text1"/>
        </w:rPr>
        <w:t>nt</w:t>
      </w:r>
      <w:r w:rsidR="009A0847">
        <w:rPr>
          <w:color w:val="000000" w:themeColor="text1"/>
        </w:rPr>
        <w:t xml:space="preserve"> </w:t>
      </w:r>
      <w:r w:rsidR="00D1498C" w:rsidRPr="0068296B">
        <w:rPr>
          <w:color w:val="000000" w:themeColor="text1"/>
        </w:rPr>
        <w:t>the</w:t>
      </w:r>
      <w:r w:rsidR="009A0847">
        <w:rPr>
          <w:color w:val="000000" w:themeColor="text1"/>
        </w:rPr>
        <w:t xml:space="preserve"> </w:t>
      </w:r>
      <w:r w:rsidR="00D1498C" w:rsidRPr="0068296B">
        <w:rPr>
          <w:color w:val="000000" w:themeColor="text1"/>
        </w:rPr>
        <w:t>fut</w:t>
      </w:r>
      <w:r w:rsidR="00E97C6B" w:rsidRPr="0068296B">
        <w:rPr>
          <w:color w:val="000000" w:themeColor="text1"/>
        </w:rPr>
        <w:t>ure.</w:t>
      </w:r>
      <w:r w:rsidR="009A0847">
        <w:rPr>
          <w:color w:val="000000" w:themeColor="text1"/>
        </w:rPr>
        <w:t xml:space="preserve"> </w:t>
      </w:r>
      <w:r w:rsidR="00B76476" w:rsidRPr="0068296B">
        <w:rPr>
          <w:color w:val="000000" w:themeColor="text1"/>
        </w:rPr>
        <w:t>W</w:t>
      </w:r>
      <w:r w:rsidR="00A0124C" w:rsidRPr="0068296B">
        <w:rPr>
          <w:color w:val="000000" w:themeColor="text1"/>
        </w:rPr>
        <w:t>e</w:t>
      </w:r>
      <w:r w:rsidR="009A0847">
        <w:rPr>
          <w:color w:val="000000" w:themeColor="text1"/>
        </w:rPr>
        <w:t xml:space="preserve"> </w:t>
      </w:r>
      <w:r w:rsidR="00A0124C" w:rsidRPr="0068296B">
        <w:rPr>
          <w:color w:val="000000" w:themeColor="text1"/>
        </w:rPr>
        <w:t>focus</w:t>
      </w:r>
      <w:r w:rsidR="009A0847">
        <w:rPr>
          <w:color w:val="000000" w:themeColor="text1"/>
        </w:rPr>
        <w:t xml:space="preserve"> </w:t>
      </w:r>
      <w:r w:rsidR="00D1498C" w:rsidRPr="0068296B">
        <w:rPr>
          <w:color w:val="000000" w:themeColor="text1"/>
        </w:rPr>
        <w:t>on</w:t>
      </w:r>
      <w:r w:rsidR="009A0847">
        <w:rPr>
          <w:color w:val="000000" w:themeColor="text1"/>
        </w:rPr>
        <w:t xml:space="preserve"> </w:t>
      </w:r>
      <w:r w:rsidR="00D1498C" w:rsidRPr="0068296B">
        <w:rPr>
          <w:color w:val="000000" w:themeColor="text1"/>
        </w:rPr>
        <w:t>pure</w:t>
      </w:r>
      <w:r w:rsidR="009A0847">
        <w:rPr>
          <w:color w:val="000000" w:themeColor="text1"/>
        </w:rPr>
        <w:t xml:space="preserve"> </w:t>
      </w:r>
      <w:r w:rsidR="00597F91" w:rsidRPr="0068296B">
        <w:rPr>
          <w:color w:val="000000" w:themeColor="text1"/>
        </w:rPr>
        <w:t>strategies</w:t>
      </w:r>
      <w:r w:rsidR="00D1498C" w:rsidRPr="0068296B">
        <w:rPr>
          <w:color w:val="000000" w:themeColor="text1"/>
        </w:rPr>
        <w:t>.</w:t>
      </w:r>
    </w:p>
    <w:p w14:paraId="6011103E" w14:textId="7F70B413" w:rsidR="00C12F78" w:rsidRPr="0068296B" w:rsidRDefault="00B76260" w:rsidP="00F86E09">
      <w:pPr>
        <w:pStyle w:val="Olivier1"/>
        <w:widowControl w:val="0"/>
        <w:ind w:firstLine="360"/>
        <w:rPr>
          <w:color w:val="000000" w:themeColor="text1"/>
        </w:rPr>
      </w:pPr>
      <w:r>
        <w:rPr>
          <w:color w:val="000000" w:themeColor="text1"/>
        </w:rPr>
        <w:t>The</w:t>
      </w:r>
      <w:r w:rsidR="009A0847">
        <w:rPr>
          <w:color w:val="000000" w:themeColor="text1"/>
        </w:rPr>
        <w:t xml:space="preserve"> </w:t>
      </w:r>
      <w:r w:rsidR="00F04EB0" w:rsidRPr="0068296B">
        <w:rPr>
          <w:color w:val="000000" w:themeColor="text1"/>
        </w:rPr>
        <w:t>bank</w:t>
      </w:r>
      <w:r w:rsidR="009A0847">
        <w:rPr>
          <w:color w:val="000000" w:themeColor="text1"/>
        </w:rPr>
        <w:t xml:space="preserve"> </w:t>
      </w:r>
      <w:r w:rsidR="00F04EB0" w:rsidRPr="0068296B">
        <w:rPr>
          <w:color w:val="000000" w:themeColor="text1"/>
        </w:rPr>
        <w:t>can</w:t>
      </w:r>
      <w:r w:rsidR="009A0847">
        <w:rPr>
          <w:color w:val="000000" w:themeColor="text1"/>
        </w:rPr>
        <w:t xml:space="preserve"> </w:t>
      </w:r>
      <w:r w:rsidR="00F04EB0" w:rsidRPr="0068296B">
        <w:rPr>
          <w:color w:val="000000" w:themeColor="text1"/>
        </w:rPr>
        <w:t>be</w:t>
      </w:r>
      <w:r w:rsidR="009A0847">
        <w:rPr>
          <w:color w:val="000000" w:themeColor="text1"/>
        </w:rPr>
        <w:t xml:space="preserve"> </w:t>
      </w:r>
      <w:r w:rsidR="00F04EB0" w:rsidRPr="0068296B">
        <w:rPr>
          <w:color w:val="000000" w:themeColor="text1"/>
        </w:rPr>
        <w:t>solvent</w:t>
      </w:r>
      <w:r w:rsidR="009A0847">
        <w:rPr>
          <w:color w:val="000000" w:themeColor="text1"/>
        </w:rPr>
        <w:t xml:space="preserve"> </w:t>
      </w:r>
      <w:r w:rsidR="00F04EB0" w:rsidRPr="0068296B">
        <w:rPr>
          <w:color w:val="000000" w:themeColor="text1"/>
        </w:rPr>
        <w:t>or</w:t>
      </w:r>
      <w:r w:rsidR="009A0847">
        <w:rPr>
          <w:color w:val="000000" w:themeColor="text1"/>
        </w:rPr>
        <w:t xml:space="preserve"> </w:t>
      </w:r>
      <w:r w:rsidR="00F04EB0" w:rsidRPr="0068296B">
        <w:rPr>
          <w:color w:val="000000" w:themeColor="text1"/>
        </w:rPr>
        <w:t>insolvent,</w:t>
      </w:r>
      <w:r w:rsidR="009A0847">
        <w:rPr>
          <w:color w:val="000000" w:themeColor="text1"/>
        </w:rPr>
        <w:t xml:space="preserve"> </w:t>
      </w:r>
      <w:r w:rsidR="00F04EB0" w:rsidRPr="0068296B">
        <w:rPr>
          <w:color w:val="000000" w:themeColor="text1"/>
        </w:rPr>
        <w:t>liquid</w:t>
      </w:r>
      <w:r w:rsidR="009A0847">
        <w:rPr>
          <w:color w:val="000000" w:themeColor="text1"/>
        </w:rPr>
        <w:t xml:space="preserve"> </w:t>
      </w:r>
      <w:r w:rsidR="00F04EB0" w:rsidRPr="0068296B">
        <w:rPr>
          <w:color w:val="000000" w:themeColor="text1"/>
        </w:rPr>
        <w:t>or</w:t>
      </w:r>
      <w:r w:rsidR="009A0847">
        <w:rPr>
          <w:color w:val="000000" w:themeColor="text1"/>
        </w:rPr>
        <w:t xml:space="preserve"> </w:t>
      </w:r>
      <w:r w:rsidR="00F04EB0" w:rsidRPr="0068296B">
        <w:rPr>
          <w:color w:val="000000" w:themeColor="text1"/>
        </w:rPr>
        <w:t>illiquid.</w:t>
      </w:r>
      <w:r w:rsidR="009A0847">
        <w:rPr>
          <w:color w:val="000000" w:themeColor="text1"/>
        </w:rPr>
        <w:t xml:space="preserve"> </w:t>
      </w:r>
      <w:r>
        <w:rPr>
          <w:color w:val="000000" w:themeColor="text1"/>
        </w:rPr>
        <w:t>T</w:t>
      </w:r>
      <w:r w:rsidR="00CA49F2" w:rsidRPr="0068296B">
        <w:rPr>
          <w:color w:val="000000" w:themeColor="text1"/>
        </w:rPr>
        <w:t>he</w:t>
      </w:r>
      <w:r w:rsidR="009A0847">
        <w:rPr>
          <w:color w:val="000000" w:themeColor="text1"/>
        </w:rPr>
        <w:t xml:space="preserve"> </w:t>
      </w:r>
      <w:r w:rsidR="00CA49F2" w:rsidRPr="0068296B">
        <w:rPr>
          <w:color w:val="000000" w:themeColor="text1"/>
        </w:rPr>
        <w:t>bank</w:t>
      </w:r>
      <w:r w:rsidR="009A0847">
        <w:rPr>
          <w:color w:val="000000" w:themeColor="text1"/>
        </w:rPr>
        <w:t xml:space="preserve"> </w:t>
      </w:r>
      <w:r>
        <w:rPr>
          <w:color w:val="000000" w:themeColor="text1"/>
        </w:rPr>
        <w:t>a</w:t>
      </w:r>
      <w:r w:rsidRPr="0068296B">
        <w:rPr>
          <w:color w:val="000000" w:themeColor="text1"/>
        </w:rPr>
        <w:t>t</w:t>
      </w:r>
      <w:r w:rsidR="009A0847">
        <w:rPr>
          <w:color w:val="000000" w:themeColor="text1"/>
        </w:rPr>
        <w:t xml:space="preserve"> </w:t>
      </w:r>
      <w:r w:rsidRPr="0068296B">
        <w:rPr>
          <w:color w:val="000000" w:themeColor="text1"/>
        </w:rPr>
        <w:t>the</w:t>
      </w:r>
      <w:r w:rsidR="009A0847">
        <w:rPr>
          <w:color w:val="000000" w:themeColor="text1"/>
        </w:rPr>
        <w:t xml:space="preserve"> </w:t>
      </w:r>
      <w:r w:rsidRPr="0068296B">
        <w:rPr>
          <w:color w:val="000000" w:themeColor="text1"/>
        </w:rPr>
        <w:t>end</w:t>
      </w:r>
      <w:r w:rsidR="009A0847">
        <w:rPr>
          <w:color w:val="000000" w:themeColor="text1"/>
        </w:rPr>
        <w:t xml:space="preserve"> </w:t>
      </w:r>
      <w:r w:rsidRPr="0068296B">
        <w:rPr>
          <w:color w:val="000000" w:themeColor="text1"/>
        </w:rPr>
        <w:t>of</w:t>
      </w:r>
      <w:r w:rsidR="009A0847">
        <w:rPr>
          <w:color w:val="000000" w:themeColor="text1"/>
        </w:rPr>
        <w:t xml:space="preserve"> </w:t>
      </w:r>
      <w:r w:rsidRPr="0068296B">
        <w:rPr>
          <w:color w:val="000000" w:themeColor="text1"/>
        </w:rPr>
        <w:t>period</w:t>
      </w:r>
      <w:r w:rsidR="009A0847">
        <w:rPr>
          <w:color w:val="000000" w:themeColor="text1"/>
        </w:rPr>
        <w:t xml:space="preserve"> </w:t>
      </w:r>
      <w:r w:rsidRPr="0068296B">
        <w:rPr>
          <w:color w:val="000000" w:themeColor="text1"/>
        </w:rPr>
        <w:t>2</w:t>
      </w:r>
      <w:r w:rsidR="009A0847">
        <w:rPr>
          <w:color w:val="000000" w:themeColor="text1"/>
        </w:rPr>
        <w:t xml:space="preserve"> </w:t>
      </w:r>
      <w:r w:rsidR="00CA49F2" w:rsidRPr="0068296B">
        <w:rPr>
          <w:color w:val="000000" w:themeColor="text1"/>
        </w:rPr>
        <w:t>is</w:t>
      </w:r>
      <w:r w:rsidR="009A0847">
        <w:rPr>
          <w:color w:val="000000" w:themeColor="text1"/>
        </w:rPr>
        <w:t xml:space="preserve"> </w:t>
      </w:r>
      <w:r w:rsidR="00CA49F2" w:rsidRPr="0068296B">
        <w:rPr>
          <w:color w:val="000000" w:themeColor="text1"/>
        </w:rPr>
        <w:t>worth</w:t>
      </w:r>
      <w:r w:rsidR="009A0847">
        <w:rPr>
          <w:color w:val="000000" w:themeColor="text1"/>
        </w:rPr>
        <w:t xml:space="preserve"> </w:t>
      </w:r>
      <m:oMath>
        <m:r>
          <w:rPr>
            <w:rFonts w:ascii="Cambria Math" w:hAnsi="Cambria Math"/>
            <w:color w:val="000000" w:themeColor="text1"/>
            <w:sz w:val="22"/>
            <w:szCs w:val="22"/>
          </w:rPr>
          <m:t>V</m:t>
        </m:r>
      </m:oMath>
      <w:r w:rsidR="009A0847">
        <w:rPr>
          <w:color w:val="000000" w:themeColor="text1"/>
        </w:rPr>
        <w:t xml:space="preserve"> </w:t>
      </w:r>
      <w:r w:rsidR="00CA49F2" w:rsidRPr="0068296B">
        <w:rPr>
          <w:color w:val="000000" w:themeColor="text1"/>
        </w:rPr>
        <w:t>if</w:t>
      </w:r>
      <w:r w:rsidR="009A0847">
        <w:rPr>
          <w:color w:val="000000" w:themeColor="text1"/>
        </w:rPr>
        <w:t xml:space="preserve"> </w:t>
      </w:r>
      <w:r w:rsidR="00CA49F2" w:rsidRPr="0068296B">
        <w:rPr>
          <w:color w:val="000000" w:themeColor="text1"/>
        </w:rPr>
        <w:t>solvent</w:t>
      </w:r>
      <w:r w:rsidR="009A0847">
        <w:rPr>
          <w:color w:val="000000" w:themeColor="text1"/>
        </w:rPr>
        <w:t xml:space="preserve"> </w:t>
      </w:r>
      <w:r w:rsidR="00CA49F2" w:rsidRPr="0068296B">
        <w:rPr>
          <w:color w:val="000000" w:themeColor="text1"/>
        </w:rPr>
        <w:t>or</w:t>
      </w:r>
      <w:r w:rsidR="009A0847">
        <w:rPr>
          <w:color w:val="000000" w:themeColor="text1"/>
        </w:rPr>
        <w:t xml:space="preserve"> </w:t>
      </w:r>
      <w:r w:rsidR="00CA49F2" w:rsidRPr="0068296B">
        <w:rPr>
          <w:color w:val="000000" w:themeColor="text1"/>
        </w:rPr>
        <w:t>0</w:t>
      </w:r>
      <w:r w:rsidR="009A0847">
        <w:rPr>
          <w:color w:val="000000" w:themeColor="text1"/>
        </w:rPr>
        <w:t xml:space="preserve"> </w:t>
      </w:r>
      <w:r w:rsidR="00CA49F2" w:rsidRPr="0068296B">
        <w:rPr>
          <w:color w:val="000000" w:themeColor="text1"/>
        </w:rPr>
        <w:t>if</w:t>
      </w:r>
      <w:r w:rsidR="009A0847">
        <w:rPr>
          <w:color w:val="000000" w:themeColor="text1"/>
        </w:rPr>
        <w:t xml:space="preserve"> </w:t>
      </w:r>
      <w:r w:rsidR="00CA49F2" w:rsidRPr="0068296B">
        <w:rPr>
          <w:color w:val="000000" w:themeColor="text1"/>
        </w:rPr>
        <w:t>insolvent.</w:t>
      </w:r>
      <w:r w:rsidR="009A0847">
        <w:rPr>
          <w:color w:val="000000" w:themeColor="text1"/>
        </w:rPr>
        <w:t xml:space="preserve"> </w:t>
      </w:r>
      <w:r w:rsidR="00C12F78" w:rsidRPr="0068296B">
        <w:rPr>
          <w:color w:val="000000" w:themeColor="text1"/>
        </w:rPr>
        <w:t>If</w:t>
      </w:r>
      <w:r w:rsidR="009A0847">
        <w:rPr>
          <w:color w:val="000000" w:themeColor="text1"/>
        </w:rPr>
        <w:t xml:space="preserve"> </w:t>
      </w:r>
      <w:r w:rsidR="00C12F78" w:rsidRPr="0068296B">
        <w:rPr>
          <w:color w:val="000000" w:themeColor="text1"/>
        </w:rPr>
        <w:t>the</w:t>
      </w:r>
      <w:r w:rsidR="009A0847">
        <w:rPr>
          <w:color w:val="000000" w:themeColor="text1"/>
        </w:rPr>
        <w:t xml:space="preserve"> </w:t>
      </w:r>
      <w:r w:rsidR="00C12F78" w:rsidRPr="0068296B">
        <w:rPr>
          <w:color w:val="000000" w:themeColor="text1"/>
        </w:rPr>
        <w:t>bank</w:t>
      </w:r>
      <w:r w:rsidR="009A0847">
        <w:rPr>
          <w:color w:val="000000" w:themeColor="text1"/>
        </w:rPr>
        <w:t xml:space="preserve"> </w:t>
      </w:r>
      <w:r w:rsidR="00C12F78" w:rsidRPr="0068296B">
        <w:rPr>
          <w:color w:val="000000" w:themeColor="text1"/>
        </w:rPr>
        <w:t>is</w:t>
      </w:r>
      <w:r w:rsidR="009A0847">
        <w:rPr>
          <w:color w:val="000000" w:themeColor="text1"/>
        </w:rPr>
        <w:t xml:space="preserve"> </w:t>
      </w:r>
      <w:r w:rsidR="00C12F78" w:rsidRPr="0068296B">
        <w:rPr>
          <w:color w:val="000000" w:themeColor="text1"/>
        </w:rPr>
        <w:t>illiquid,</w:t>
      </w:r>
      <w:r w:rsidR="009A0847">
        <w:rPr>
          <w:color w:val="000000" w:themeColor="text1"/>
        </w:rPr>
        <w:t xml:space="preserve"> </w:t>
      </w:r>
      <w:r w:rsidR="00C12F78" w:rsidRPr="0068296B">
        <w:rPr>
          <w:color w:val="000000" w:themeColor="text1"/>
        </w:rPr>
        <w:t>then</w:t>
      </w:r>
      <w:r w:rsidR="009A0847">
        <w:rPr>
          <w:color w:val="000000" w:themeColor="text1"/>
        </w:rPr>
        <w:t xml:space="preserve"> </w:t>
      </w:r>
      <w:r w:rsidR="00C12F78" w:rsidRPr="0068296B">
        <w:rPr>
          <w:color w:val="000000" w:themeColor="text1"/>
        </w:rPr>
        <w:t>it</w:t>
      </w:r>
      <w:r w:rsidR="009A0847">
        <w:rPr>
          <w:color w:val="000000" w:themeColor="text1"/>
        </w:rPr>
        <w:t xml:space="preserve"> </w:t>
      </w:r>
      <w:r w:rsidR="00C12F78" w:rsidRPr="0068296B">
        <w:rPr>
          <w:color w:val="000000" w:themeColor="text1"/>
        </w:rPr>
        <w:t>must</w:t>
      </w:r>
      <w:r w:rsidR="009A0847">
        <w:rPr>
          <w:color w:val="000000" w:themeColor="text1"/>
        </w:rPr>
        <w:t xml:space="preserve"> </w:t>
      </w:r>
      <w:r w:rsidR="00C12F78" w:rsidRPr="0068296B">
        <w:rPr>
          <w:color w:val="000000" w:themeColor="text1"/>
        </w:rPr>
        <w:t>come</w:t>
      </w:r>
      <w:r w:rsidR="009A0847">
        <w:rPr>
          <w:color w:val="000000" w:themeColor="text1"/>
        </w:rPr>
        <w:t xml:space="preserve"> </w:t>
      </w:r>
      <w:r w:rsidR="00C12F78" w:rsidRPr="0068296B">
        <w:rPr>
          <w:color w:val="000000" w:themeColor="text1"/>
        </w:rPr>
        <w:t>up</w:t>
      </w:r>
      <w:r w:rsidR="009A0847">
        <w:rPr>
          <w:color w:val="000000" w:themeColor="text1"/>
        </w:rPr>
        <w:t xml:space="preserve"> </w:t>
      </w:r>
      <w:r w:rsidR="00C12F78" w:rsidRPr="0068296B">
        <w:rPr>
          <w:color w:val="000000" w:themeColor="text1"/>
        </w:rPr>
        <w:t>with</w:t>
      </w:r>
      <w:r w:rsidR="009A0847">
        <w:rPr>
          <w:color w:val="000000" w:themeColor="text1"/>
        </w:rPr>
        <w:t xml:space="preserve"> </w:t>
      </w:r>
      <w:r w:rsidR="00C12F78" w:rsidRPr="0068296B">
        <w:rPr>
          <w:color w:val="000000" w:themeColor="text1"/>
        </w:rPr>
        <w:t>1</w:t>
      </w:r>
      <w:r w:rsidR="009A0847">
        <w:rPr>
          <w:color w:val="000000" w:themeColor="text1"/>
        </w:rPr>
        <w:t xml:space="preserve"> </w:t>
      </w:r>
      <w:r w:rsidR="00C12F78" w:rsidRPr="0068296B">
        <w:rPr>
          <w:color w:val="000000" w:themeColor="text1"/>
        </w:rPr>
        <w:t>unit</w:t>
      </w:r>
      <w:r w:rsidR="009A0847">
        <w:rPr>
          <w:color w:val="000000" w:themeColor="text1"/>
        </w:rPr>
        <w:t xml:space="preserve"> </w:t>
      </w:r>
      <w:r w:rsidR="00C12F78" w:rsidRPr="0068296B">
        <w:rPr>
          <w:color w:val="000000" w:themeColor="text1"/>
        </w:rPr>
        <w:t>of</w:t>
      </w:r>
      <w:r w:rsidR="009A0847">
        <w:rPr>
          <w:color w:val="000000" w:themeColor="text1"/>
        </w:rPr>
        <w:t xml:space="preserve"> </w:t>
      </w:r>
      <w:r w:rsidR="00C12F78" w:rsidRPr="0068296B">
        <w:rPr>
          <w:color w:val="000000" w:themeColor="text1"/>
        </w:rPr>
        <w:t>liquidity</w:t>
      </w:r>
      <w:r w:rsidR="009A0847">
        <w:rPr>
          <w:color w:val="000000" w:themeColor="text1"/>
        </w:rPr>
        <w:t xml:space="preserve"> </w:t>
      </w:r>
      <w:r w:rsidR="00C12F78" w:rsidRPr="0068296B">
        <w:rPr>
          <w:color w:val="000000" w:themeColor="text1"/>
        </w:rPr>
        <w:t>in</w:t>
      </w:r>
      <w:r w:rsidR="009A0847">
        <w:rPr>
          <w:color w:val="000000" w:themeColor="text1"/>
        </w:rPr>
        <w:t xml:space="preserve"> </w:t>
      </w:r>
      <w:r w:rsidR="00C12F78" w:rsidRPr="00E818A2">
        <w:rPr>
          <w:color w:val="000000" w:themeColor="text1"/>
        </w:rPr>
        <w:t>period</w:t>
      </w:r>
      <w:r w:rsidR="009A0847">
        <w:rPr>
          <w:color w:val="000000" w:themeColor="text1"/>
        </w:rPr>
        <w:t xml:space="preserve"> </w:t>
      </w:r>
      <w:r w:rsidR="00C12F78" w:rsidRPr="00E818A2">
        <w:rPr>
          <w:color w:val="000000" w:themeColor="text1"/>
        </w:rPr>
        <w:t>1.</w:t>
      </w:r>
      <w:r w:rsidR="00E818A2" w:rsidRPr="00E818A2">
        <w:rPr>
          <w:rStyle w:val="FootnoteReference"/>
          <w:color w:val="000000" w:themeColor="text1"/>
          <w:szCs w:val="24"/>
        </w:rPr>
        <w:footnoteReference w:id="13"/>
      </w:r>
      <w:r w:rsidR="009A0847">
        <w:rPr>
          <w:color w:val="000000" w:themeColor="text1"/>
        </w:rPr>
        <w:t xml:space="preserve"> </w:t>
      </w:r>
      <w:r w:rsidR="00F04EB0" w:rsidRPr="00E818A2">
        <w:rPr>
          <w:color w:val="000000" w:themeColor="text1"/>
        </w:rPr>
        <w:t>There</w:t>
      </w:r>
      <w:r w:rsidR="009A0847">
        <w:rPr>
          <w:color w:val="000000" w:themeColor="text1"/>
        </w:rPr>
        <w:t xml:space="preserve"> </w:t>
      </w:r>
      <w:r w:rsidR="00F04EB0" w:rsidRPr="0068296B">
        <w:rPr>
          <w:color w:val="000000" w:themeColor="text1"/>
        </w:rPr>
        <w:t>is</w:t>
      </w:r>
      <w:r w:rsidR="009A0847">
        <w:rPr>
          <w:color w:val="000000" w:themeColor="text1"/>
        </w:rPr>
        <w:t xml:space="preserve"> </w:t>
      </w:r>
      <w:r w:rsidR="00F04EB0" w:rsidRPr="0068296B">
        <w:rPr>
          <w:color w:val="000000" w:themeColor="text1"/>
        </w:rPr>
        <w:t>asymmetric</w:t>
      </w:r>
      <w:r w:rsidR="009A0847">
        <w:rPr>
          <w:color w:val="000000" w:themeColor="text1"/>
        </w:rPr>
        <w:t xml:space="preserve"> </w:t>
      </w:r>
      <w:r w:rsidR="00F04EB0" w:rsidRPr="0068296B">
        <w:rPr>
          <w:color w:val="000000" w:themeColor="text1"/>
        </w:rPr>
        <w:t>information</w:t>
      </w:r>
      <w:r w:rsidR="009A0847">
        <w:rPr>
          <w:color w:val="000000" w:themeColor="text1"/>
        </w:rPr>
        <w:t xml:space="preserve"> </w:t>
      </w:r>
      <w:r w:rsidR="00F04EB0" w:rsidRPr="0068296B">
        <w:rPr>
          <w:color w:val="000000" w:themeColor="text1"/>
        </w:rPr>
        <w:t>about</w:t>
      </w:r>
      <w:r w:rsidR="009A0847">
        <w:rPr>
          <w:color w:val="000000" w:themeColor="text1"/>
        </w:rPr>
        <w:t xml:space="preserve"> </w:t>
      </w:r>
      <w:r w:rsidR="00F04EB0" w:rsidRPr="0068296B">
        <w:rPr>
          <w:color w:val="000000" w:themeColor="text1"/>
        </w:rPr>
        <w:t>the</w:t>
      </w:r>
      <w:r w:rsidR="009A0847">
        <w:rPr>
          <w:color w:val="000000" w:themeColor="text1"/>
        </w:rPr>
        <w:t xml:space="preserve"> </w:t>
      </w:r>
      <w:r w:rsidR="00F04EB0" w:rsidRPr="0068296B">
        <w:rPr>
          <w:color w:val="000000" w:themeColor="text1"/>
        </w:rPr>
        <w:t>bank’s</w:t>
      </w:r>
      <w:r w:rsidR="009A0847">
        <w:rPr>
          <w:color w:val="000000" w:themeColor="text1"/>
        </w:rPr>
        <w:t xml:space="preserve"> </w:t>
      </w:r>
      <w:r w:rsidR="00F04EB0" w:rsidRPr="0068296B">
        <w:rPr>
          <w:color w:val="000000" w:themeColor="text1"/>
        </w:rPr>
        <w:t>type:</w:t>
      </w:r>
      <w:r w:rsidR="009A0847">
        <w:rPr>
          <w:color w:val="000000" w:themeColor="text1"/>
        </w:rPr>
        <w:t xml:space="preserve"> </w:t>
      </w:r>
      <w:r w:rsidR="00F04EB0" w:rsidRPr="0068296B">
        <w:rPr>
          <w:color w:val="000000" w:themeColor="text1"/>
        </w:rPr>
        <w:t>It</w:t>
      </w:r>
      <w:r w:rsidR="009A0847">
        <w:rPr>
          <w:color w:val="000000" w:themeColor="text1"/>
        </w:rPr>
        <w:t xml:space="preserve"> </w:t>
      </w:r>
      <w:r w:rsidR="00F04EB0" w:rsidRPr="0068296B">
        <w:rPr>
          <w:color w:val="000000" w:themeColor="text1"/>
        </w:rPr>
        <w:t>is</w:t>
      </w:r>
      <w:r w:rsidR="009A0847">
        <w:rPr>
          <w:color w:val="000000" w:themeColor="text1"/>
        </w:rPr>
        <w:t xml:space="preserve"> </w:t>
      </w:r>
      <w:r w:rsidR="00F04EB0" w:rsidRPr="0068296B">
        <w:rPr>
          <w:color w:val="000000" w:themeColor="text1"/>
        </w:rPr>
        <w:t>known</w:t>
      </w:r>
      <w:r w:rsidR="009A0847">
        <w:rPr>
          <w:color w:val="000000" w:themeColor="text1"/>
        </w:rPr>
        <w:t xml:space="preserve"> </w:t>
      </w:r>
      <w:r w:rsidR="00F04EB0" w:rsidRPr="0068296B">
        <w:rPr>
          <w:color w:val="000000" w:themeColor="text1"/>
        </w:rPr>
        <w:t>to</w:t>
      </w:r>
      <w:r w:rsidR="009A0847">
        <w:rPr>
          <w:color w:val="000000" w:themeColor="text1"/>
        </w:rPr>
        <w:t xml:space="preserve"> </w:t>
      </w:r>
      <w:r w:rsidR="00F04EB0" w:rsidRPr="0068296B">
        <w:rPr>
          <w:color w:val="000000" w:themeColor="text1"/>
        </w:rPr>
        <w:t>the</w:t>
      </w:r>
      <w:r w:rsidR="009A0847">
        <w:rPr>
          <w:color w:val="000000" w:themeColor="text1"/>
        </w:rPr>
        <w:t xml:space="preserve"> </w:t>
      </w:r>
      <w:r w:rsidR="00F04EB0" w:rsidRPr="0068296B">
        <w:rPr>
          <w:color w:val="000000" w:themeColor="text1"/>
        </w:rPr>
        <w:t>bank</w:t>
      </w:r>
      <w:r w:rsidR="009A0847">
        <w:rPr>
          <w:color w:val="000000" w:themeColor="text1"/>
        </w:rPr>
        <w:t xml:space="preserve"> </w:t>
      </w:r>
      <w:r w:rsidR="00F04EB0" w:rsidRPr="0068296B">
        <w:rPr>
          <w:color w:val="000000" w:themeColor="text1"/>
        </w:rPr>
        <w:t>at</w:t>
      </w:r>
      <w:r w:rsidR="009A0847">
        <w:rPr>
          <w:color w:val="000000" w:themeColor="text1"/>
        </w:rPr>
        <w:t xml:space="preserve"> </w:t>
      </w:r>
      <w:r w:rsidR="00F04EB0" w:rsidRPr="0068296B">
        <w:rPr>
          <w:color w:val="000000" w:themeColor="text1"/>
        </w:rPr>
        <w:t>the</w:t>
      </w:r>
      <w:r w:rsidR="009A0847">
        <w:rPr>
          <w:color w:val="000000" w:themeColor="text1"/>
        </w:rPr>
        <w:t xml:space="preserve"> </w:t>
      </w:r>
      <w:r w:rsidR="00F04EB0" w:rsidRPr="0068296B">
        <w:rPr>
          <w:color w:val="000000" w:themeColor="text1"/>
        </w:rPr>
        <w:lastRenderedPageBreak/>
        <w:t>beginning</w:t>
      </w:r>
      <w:r w:rsidR="009A0847">
        <w:rPr>
          <w:color w:val="000000" w:themeColor="text1"/>
        </w:rPr>
        <w:t xml:space="preserve"> </w:t>
      </w:r>
      <w:r w:rsidR="00F04EB0" w:rsidRPr="0068296B">
        <w:rPr>
          <w:color w:val="000000" w:themeColor="text1"/>
        </w:rPr>
        <w:t>of</w:t>
      </w:r>
      <w:r w:rsidR="009A0847">
        <w:rPr>
          <w:color w:val="000000" w:themeColor="text1"/>
        </w:rPr>
        <w:t xml:space="preserve"> </w:t>
      </w:r>
      <w:r w:rsidR="00F04EB0" w:rsidRPr="0068296B">
        <w:rPr>
          <w:color w:val="000000" w:themeColor="text1"/>
        </w:rPr>
        <w:t>the</w:t>
      </w:r>
      <w:r w:rsidR="009A0847">
        <w:rPr>
          <w:color w:val="000000" w:themeColor="text1"/>
        </w:rPr>
        <w:t xml:space="preserve"> </w:t>
      </w:r>
      <w:r w:rsidR="00F04EB0" w:rsidRPr="0068296B">
        <w:rPr>
          <w:color w:val="000000" w:themeColor="text1"/>
        </w:rPr>
        <w:t>game,</w:t>
      </w:r>
      <w:r w:rsidR="009A0847">
        <w:rPr>
          <w:color w:val="000000" w:themeColor="text1"/>
        </w:rPr>
        <w:t xml:space="preserve"> </w:t>
      </w:r>
      <w:r w:rsidR="00F04EB0" w:rsidRPr="0068296B">
        <w:rPr>
          <w:color w:val="000000" w:themeColor="text1"/>
        </w:rPr>
        <w:t>but</w:t>
      </w:r>
      <w:r w:rsidR="009A0847">
        <w:rPr>
          <w:color w:val="000000" w:themeColor="text1"/>
        </w:rPr>
        <w:t xml:space="preserve"> </w:t>
      </w:r>
      <w:r w:rsidR="00F04EB0" w:rsidRPr="0068296B">
        <w:rPr>
          <w:color w:val="000000" w:themeColor="text1"/>
        </w:rPr>
        <w:t>it</w:t>
      </w:r>
      <w:r w:rsidR="009A0847">
        <w:rPr>
          <w:color w:val="000000" w:themeColor="text1"/>
        </w:rPr>
        <w:t xml:space="preserve"> </w:t>
      </w:r>
      <w:r w:rsidR="00F04EB0" w:rsidRPr="0068296B">
        <w:rPr>
          <w:color w:val="000000" w:themeColor="text1"/>
        </w:rPr>
        <w:t>is</w:t>
      </w:r>
      <w:r w:rsidR="009A0847">
        <w:rPr>
          <w:color w:val="000000" w:themeColor="text1"/>
        </w:rPr>
        <w:t xml:space="preserve"> </w:t>
      </w:r>
      <w:r w:rsidR="00F04EB0" w:rsidRPr="0068296B">
        <w:rPr>
          <w:color w:val="000000" w:themeColor="text1"/>
        </w:rPr>
        <w:t>revealed</w:t>
      </w:r>
      <w:r w:rsidR="009A0847">
        <w:rPr>
          <w:color w:val="000000" w:themeColor="text1"/>
        </w:rPr>
        <w:t xml:space="preserve"> </w:t>
      </w:r>
      <w:r w:rsidR="00F04EB0" w:rsidRPr="0068296B">
        <w:rPr>
          <w:color w:val="000000" w:themeColor="text1"/>
        </w:rPr>
        <w:t>to</w:t>
      </w:r>
      <w:r w:rsidR="009A0847">
        <w:rPr>
          <w:color w:val="000000" w:themeColor="text1"/>
        </w:rPr>
        <w:t xml:space="preserve"> </w:t>
      </w:r>
      <w:r w:rsidR="00F04EB0" w:rsidRPr="0068296B">
        <w:rPr>
          <w:color w:val="000000" w:themeColor="text1"/>
        </w:rPr>
        <w:t>the</w:t>
      </w:r>
      <w:r w:rsidR="009A0847">
        <w:rPr>
          <w:color w:val="000000" w:themeColor="text1"/>
        </w:rPr>
        <w:t xml:space="preserve"> </w:t>
      </w:r>
      <w:r w:rsidR="00F04EB0" w:rsidRPr="0068296B">
        <w:rPr>
          <w:color w:val="000000" w:themeColor="text1"/>
        </w:rPr>
        <w:t>investor</w:t>
      </w:r>
      <w:r w:rsidR="009A0847">
        <w:rPr>
          <w:color w:val="000000" w:themeColor="text1"/>
        </w:rPr>
        <w:t xml:space="preserve"> </w:t>
      </w:r>
      <w:r w:rsidR="00F04EB0" w:rsidRPr="0068296B">
        <w:rPr>
          <w:color w:val="000000" w:themeColor="text1"/>
        </w:rPr>
        <w:t>only</w:t>
      </w:r>
      <w:r w:rsidR="009A0847">
        <w:rPr>
          <w:color w:val="000000" w:themeColor="text1"/>
        </w:rPr>
        <w:t xml:space="preserve"> </w:t>
      </w:r>
      <w:r w:rsidR="00F04EB0" w:rsidRPr="0068296B">
        <w:rPr>
          <w:color w:val="000000" w:themeColor="text1"/>
        </w:rPr>
        <w:t>at</w:t>
      </w:r>
      <w:r w:rsidR="009A0847">
        <w:rPr>
          <w:color w:val="000000" w:themeColor="text1"/>
        </w:rPr>
        <w:t xml:space="preserve"> </w:t>
      </w:r>
      <w:r w:rsidR="00F04EB0" w:rsidRPr="0068296B">
        <w:rPr>
          <w:color w:val="000000" w:themeColor="text1"/>
        </w:rPr>
        <w:t>the</w:t>
      </w:r>
      <w:r w:rsidR="009A0847">
        <w:rPr>
          <w:color w:val="000000" w:themeColor="text1"/>
        </w:rPr>
        <w:t xml:space="preserve"> </w:t>
      </w:r>
      <w:r w:rsidR="00F04EB0" w:rsidRPr="0068296B">
        <w:rPr>
          <w:color w:val="000000" w:themeColor="text1"/>
        </w:rPr>
        <w:t>end</w:t>
      </w:r>
      <w:r w:rsidR="009A0847">
        <w:rPr>
          <w:color w:val="000000" w:themeColor="text1"/>
        </w:rPr>
        <w:t xml:space="preserve"> </w:t>
      </w:r>
      <w:r w:rsidR="00F04EB0" w:rsidRPr="0068296B">
        <w:rPr>
          <w:color w:val="000000" w:themeColor="text1"/>
        </w:rPr>
        <w:t>of</w:t>
      </w:r>
      <w:r w:rsidR="009A0847">
        <w:rPr>
          <w:color w:val="000000" w:themeColor="text1"/>
        </w:rPr>
        <w:t xml:space="preserve"> </w:t>
      </w:r>
      <w:r w:rsidR="00F04EB0" w:rsidRPr="0068296B">
        <w:rPr>
          <w:color w:val="000000" w:themeColor="text1"/>
        </w:rPr>
        <w:t>the</w:t>
      </w:r>
      <w:r w:rsidR="009A0847">
        <w:rPr>
          <w:color w:val="000000" w:themeColor="text1"/>
        </w:rPr>
        <w:t xml:space="preserve"> </w:t>
      </w:r>
      <w:r w:rsidR="00F04EB0" w:rsidRPr="0068296B">
        <w:rPr>
          <w:color w:val="000000" w:themeColor="text1"/>
        </w:rPr>
        <w:t>game.</w:t>
      </w:r>
      <w:r w:rsidR="009A0847">
        <w:rPr>
          <w:color w:val="000000" w:themeColor="text1"/>
        </w:rPr>
        <w:t xml:space="preserve"> </w:t>
      </w:r>
      <w:r w:rsidR="00F04EB0" w:rsidRPr="0068296B">
        <w:rPr>
          <w:color w:val="000000" w:themeColor="text1"/>
        </w:rPr>
        <w:t>To</w:t>
      </w:r>
      <w:r w:rsidR="009A0847">
        <w:rPr>
          <w:color w:val="000000" w:themeColor="text1"/>
        </w:rPr>
        <w:t xml:space="preserve"> </w:t>
      </w:r>
      <w:r w:rsidR="00F04EB0" w:rsidRPr="0068296B">
        <w:rPr>
          <w:color w:val="000000" w:themeColor="text1"/>
        </w:rPr>
        <w:t>simplify,</w:t>
      </w:r>
      <w:r w:rsidR="009A0847">
        <w:rPr>
          <w:color w:val="000000" w:themeColor="text1"/>
        </w:rPr>
        <w:t xml:space="preserve"> </w:t>
      </w:r>
      <w:r w:rsidR="00F04EB0" w:rsidRPr="0068296B">
        <w:rPr>
          <w:color w:val="000000" w:themeColor="text1"/>
        </w:rPr>
        <w:t>we</w:t>
      </w:r>
      <w:r w:rsidR="009A0847">
        <w:rPr>
          <w:color w:val="000000" w:themeColor="text1"/>
        </w:rPr>
        <w:t xml:space="preserve"> </w:t>
      </w:r>
      <w:r w:rsidR="00F04EB0" w:rsidRPr="0068296B">
        <w:rPr>
          <w:color w:val="000000" w:themeColor="text1"/>
        </w:rPr>
        <w:t>assume</w:t>
      </w:r>
      <w:r w:rsidR="009A0847">
        <w:rPr>
          <w:color w:val="000000" w:themeColor="text1"/>
        </w:rPr>
        <w:t xml:space="preserve"> </w:t>
      </w:r>
      <w:r w:rsidR="00F04EB0" w:rsidRPr="0068296B">
        <w:rPr>
          <w:color w:val="000000" w:themeColor="text1"/>
        </w:rPr>
        <w:t>that</w:t>
      </w:r>
      <w:r w:rsidR="009A0847">
        <w:rPr>
          <w:color w:val="000000" w:themeColor="text1"/>
        </w:rPr>
        <w:t xml:space="preserve"> </w:t>
      </w:r>
      <w:r w:rsidR="00F04EB0" w:rsidRPr="0068296B">
        <w:rPr>
          <w:color w:val="000000" w:themeColor="text1"/>
        </w:rPr>
        <w:t>all</w:t>
      </w:r>
      <w:r w:rsidR="009A0847">
        <w:rPr>
          <w:color w:val="000000" w:themeColor="text1"/>
        </w:rPr>
        <w:t xml:space="preserve"> </w:t>
      </w:r>
      <w:r w:rsidR="00F04EB0" w:rsidRPr="0068296B">
        <w:rPr>
          <w:color w:val="000000" w:themeColor="text1"/>
        </w:rPr>
        <w:t>insolvent</w:t>
      </w:r>
      <w:r w:rsidR="009A0847">
        <w:rPr>
          <w:color w:val="000000" w:themeColor="text1"/>
        </w:rPr>
        <w:t xml:space="preserve"> </w:t>
      </w:r>
      <w:r w:rsidR="00F04EB0" w:rsidRPr="0068296B">
        <w:rPr>
          <w:color w:val="000000" w:themeColor="text1"/>
        </w:rPr>
        <w:t>banks</w:t>
      </w:r>
      <w:r w:rsidR="009A0847">
        <w:rPr>
          <w:color w:val="000000" w:themeColor="text1"/>
        </w:rPr>
        <w:t xml:space="preserve"> </w:t>
      </w:r>
      <w:r w:rsidR="00F04EB0" w:rsidRPr="0068296B">
        <w:rPr>
          <w:color w:val="000000" w:themeColor="text1"/>
        </w:rPr>
        <w:t>are</w:t>
      </w:r>
      <w:r w:rsidR="009A0847">
        <w:rPr>
          <w:color w:val="000000" w:themeColor="text1"/>
        </w:rPr>
        <w:t xml:space="preserve"> </w:t>
      </w:r>
      <w:r w:rsidR="00F04EB0" w:rsidRPr="0068296B">
        <w:rPr>
          <w:color w:val="000000" w:themeColor="text1"/>
        </w:rPr>
        <w:t>illiquid.</w:t>
      </w:r>
      <w:r w:rsidR="00C62DDF" w:rsidRPr="0068296B">
        <w:rPr>
          <w:rStyle w:val="FootnoteReference"/>
          <w:color w:val="000000" w:themeColor="text1"/>
          <w:szCs w:val="24"/>
        </w:rPr>
        <w:footnoteReference w:id="14"/>
      </w:r>
      <w:r w:rsidR="009A0847">
        <w:rPr>
          <w:color w:val="000000" w:themeColor="text1"/>
        </w:rPr>
        <w:t xml:space="preserve"> </w:t>
      </w:r>
      <w:r w:rsidR="00F04EB0" w:rsidRPr="0068296B">
        <w:rPr>
          <w:color w:val="000000" w:themeColor="text1"/>
        </w:rPr>
        <w:t>Thus,</w:t>
      </w:r>
      <w:r w:rsidR="009A0847">
        <w:rPr>
          <w:color w:val="000000" w:themeColor="text1"/>
        </w:rPr>
        <w:t xml:space="preserve"> </w:t>
      </w:r>
      <w:r w:rsidR="00F04EB0" w:rsidRPr="0068296B">
        <w:rPr>
          <w:color w:val="000000" w:themeColor="text1"/>
        </w:rPr>
        <w:t>there</w:t>
      </w:r>
      <w:r w:rsidR="009A0847">
        <w:rPr>
          <w:color w:val="000000" w:themeColor="text1"/>
        </w:rPr>
        <w:t xml:space="preserve"> </w:t>
      </w:r>
      <w:r w:rsidR="00F04EB0" w:rsidRPr="0068296B">
        <w:rPr>
          <w:color w:val="000000" w:themeColor="text1"/>
        </w:rPr>
        <w:t>are</w:t>
      </w:r>
      <w:r w:rsidR="009A0847">
        <w:rPr>
          <w:color w:val="000000" w:themeColor="text1"/>
        </w:rPr>
        <w:t xml:space="preserve"> </w:t>
      </w:r>
      <w:r w:rsidR="00F04EB0" w:rsidRPr="0068296B">
        <w:rPr>
          <w:color w:val="000000" w:themeColor="text1"/>
        </w:rPr>
        <w:t>three</w:t>
      </w:r>
      <w:r w:rsidR="009A0847">
        <w:rPr>
          <w:color w:val="000000" w:themeColor="text1"/>
        </w:rPr>
        <w:t xml:space="preserve"> </w:t>
      </w:r>
      <w:r w:rsidR="00F04EB0" w:rsidRPr="0068296B">
        <w:rPr>
          <w:color w:val="000000" w:themeColor="text1"/>
        </w:rPr>
        <w:t>types</w:t>
      </w:r>
      <w:r w:rsidR="009A0847">
        <w:rPr>
          <w:color w:val="000000" w:themeColor="text1"/>
        </w:rPr>
        <w:t xml:space="preserve"> </w:t>
      </w:r>
      <w:r w:rsidR="00F04EB0" w:rsidRPr="0068296B">
        <w:rPr>
          <w:color w:val="000000" w:themeColor="text1"/>
        </w:rPr>
        <w:t>of</w:t>
      </w:r>
      <w:r w:rsidR="009A0847">
        <w:rPr>
          <w:color w:val="000000" w:themeColor="text1"/>
        </w:rPr>
        <w:t xml:space="preserve"> </w:t>
      </w:r>
      <w:r w:rsidR="00F04EB0" w:rsidRPr="0068296B">
        <w:rPr>
          <w:color w:val="000000" w:themeColor="text1"/>
        </w:rPr>
        <w:t>banks:</w:t>
      </w:r>
      <w:r w:rsidR="009A0847">
        <w:rPr>
          <w:color w:val="000000" w:themeColor="text1"/>
        </w:rPr>
        <w:t xml:space="preserve"> </w:t>
      </w:r>
      <w:r w:rsidR="00F04EB0" w:rsidRPr="0068296B">
        <w:rPr>
          <w:color w:val="000000" w:themeColor="text1"/>
        </w:rPr>
        <w:t>solvent-liquid</w:t>
      </w:r>
      <w:r w:rsidR="009A0847">
        <w:rPr>
          <w:color w:val="000000" w:themeColor="text1"/>
        </w:rPr>
        <w:t xml:space="preserve"> </w:t>
      </w:r>
      <w:r w:rsidR="00F04EB0" w:rsidRPr="0068296B">
        <w:rPr>
          <w:color w:val="000000" w:themeColor="text1"/>
        </w:rPr>
        <w:t>with</w:t>
      </w:r>
      <w:r w:rsidR="009A0847">
        <w:rPr>
          <w:color w:val="000000" w:themeColor="text1"/>
        </w:rPr>
        <w:t xml:space="preserve"> </w:t>
      </w:r>
      <w:r w:rsidR="00F04EB0" w:rsidRPr="0068296B">
        <w:rPr>
          <w:color w:val="000000" w:themeColor="text1"/>
        </w:rPr>
        <w:t>probability</w:t>
      </w:r>
      <w:r w:rsidR="009A0847">
        <w:rPr>
          <w:color w:val="000000" w:themeColor="text1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2"/>
                <w:szCs w:val="22"/>
              </w:rPr>
              <m:t>P</m:t>
            </m:r>
          </m:e>
          <m:sub>
            <m:r>
              <w:rPr>
                <w:rFonts w:ascii="Cambria Math" w:hAnsi="Cambria Math"/>
                <w:color w:val="000000" w:themeColor="text1"/>
                <w:sz w:val="22"/>
                <w:szCs w:val="22"/>
              </w:rPr>
              <m:t>SL</m:t>
            </m:r>
          </m:sub>
        </m:sSub>
      </m:oMath>
      <w:r w:rsidR="00F04EB0" w:rsidRPr="0068296B">
        <w:rPr>
          <w:color w:val="000000" w:themeColor="text1"/>
        </w:rPr>
        <w:t>,</w:t>
      </w:r>
      <w:r w:rsidR="009A0847">
        <w:rPr>
          <w:color w:val="000000" w:themeColor="text1"/>
        </w:rPr>
        <w:t xml:space="preserve"> </w:t>
      </w:r>
      <w:r w:rsidR="00F04EB0" w:rsidRPr="0068296B">
        <w:rPr>
          <w:color w:val="000000" w:themeColor="text1"/>
        </w:rPr>
        <w:t>solvent-illiquid</w:t>
      </w:r>
      <w:r w:rsidR="009A0847">
        <w:rPr>
          <w:color w:val="000000" w:themeColor="text1"/>
        </w:rPr>
        <w:t xml:space="preserve"> </w:t>
      </w:r>
      <w:r w:rsidR="00F04EB0" w:rsidRPr="0068296B">
        <w:rPr>
          <w:color w:val="000000" w:themeColor="text1"/>
        </w:rPr>
        <w:t>with</w:t>
      </w:r>
      <w:r w:rsidR="009A0847">
        <w:rPr>
          <w:color w:val="000000" w:themeColor="text1"/>
        </w:rPr>
        <w:t xml:space="preserve"> </w:t>
      </w:r>
      <w:r w:rsidR="00F04EB0" w:rsidRPr="0068296B">
        <w:rPr>
          <w:color w:val="000000" w:themeColor="text1"/>
        </w:rPr>
        <w:t>probability</w:t>
      </w:r>
      <w:r w:rsidR="009A0847">
        <w:rPr>
          <w:color w:val="000000" w:themeColor="text1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P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S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accPr>
              <m:e>
                <m:r>
                  <w:rPr>
                    <w:rFonts w:ascii="Cambria Math" w:hAnsi="Cambria Math"/>
                    <w:color w:val="000000" w:themeColor="text1"/>
                  </w:rPr>
                  <m:t>L</m:t>
                </m:r>
              </m:e>
            </m:acc>
          </m:sub>
        </m:sSub>
      </m:oMath>
      <w:r w:rsidR="009A0847">
        <w:rPr>
          <w:color w:val="000000" w:themeColor="text1"/>
        </w:rPr>
        <w:t xml:space="preserve"> </w:t>
      </w:r>
      <w:r w:rsidR="00F04EB0" w:rsidRPr="0068296B">
        <w:rPr>
          <w:color w:val="000000" w:themeColor="text1"/>
        </w:rPr>
        <w:t>and</w:t>
      </w:r>
      <w:r w:rsidR="009A0847">
        <w:rPr>
          <w:color w:val="000000" w:themeColor="text1"/>
        </w:rPr>
        <w:t xml:space="preserve"> </w:t>
      </w:r>
      <w:r w:rsidR="00F04EB0" w:rsidRPr="0068296B">
        <w:rPr>
          <w:color w:val="000000" w:themeColor="text1"/>
        </w:rPr>
        <w:t>insolvent-illiquid</w:t>
      </w:r>
      <w:r w:rsidR="009A0847">
        <w:rPr>
          <w:color w:val="000000" w:themeColor="text1"/>
        </w:rPr>
        <w:t xml:space="preserve"> </w:t>
      </w:r>
      <w:r w:rsidR="00F04EB0" w:rsidRPr="0068296B">
        <w:rPr>
          <w:color w:val="000000" w:themeColor="text1"/>
        </w:rPr>
        <w:t>with</w:t>
      </w:r>
      <w:r w:rsidR="009A0847">
        <w:rPr>
          <w:color w:val="000000" w:themeColor="text1"/>
        </w:rPr>
        <w:t xml:space="preserve"> </w:t>
      </w:r>
      <w:r w:rsidR="00F04EB0" w:rsidRPr="0068296B">
        <w:rPr>
          <w:color w:val="000000" w:themeColor="text1"/>
        </w:rPr>
        <w:t>probability</w:t>
      </w:r>
      <w:r w:rsidR="009A0847">
        <w:rPr>
          <w:color w:val="000000" w:themeColor="text1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2"/>
                <w:szCs w:val="22"/>
              </w:rPr>
              <m:t>P</m:t>
            </m:r>
          </m:e>
          <m:sub>
            <m:acc>
              <m:accPr>
                <m:chr m:val="̅"/>
                <m:ctrlPr>
                  <w:rPr>
                    <w:rFonts w:ascii="Cambria Math" w:hAnsi="Cambria Math"/>
                    <w:i/>
                    <w:color w:val="000000" w:themeColor="text1"/>
                    <w:sz w:val="22"/>
                    <w:szCs w:val="22"/>
                  </w:rPr>
                </m:ctrlPr>
              </m:accPr>
              <m:e>
                <m:r>
                  <w:rPr>
                    <w:rFonts w:ascii="Cambria Math" w:hAnsi="Cambria Math"/>
                    <w:color w:val="000000" w:themeColor="text1"/>
                    <w:sz w:val="22"/>
                    <w:szCs w:val="22"/>
                  </w:rPr>
                  <m:t>S</m:t>
                </m:r>
              </m:e>
            </m:acc>
            <m:acc>
              <m:accPr>
                <m:chr m:val="̅"/>
                <m:ctrlPr>
                  <w:rPr>
                    <w:rFonts w:ascii="Cambria Math" w:hAnsi="Cambria Math"/>
                    <w:i/>
                    <w:color w:val="000000" w:themeColor="text1"/>
                    <w:sz w:val="22"/>
                    <w:szCs w:val="22"/>
                  </w:rPr>
                </m:ctrlPr>
              </m:accPr>
              <m:e>
                <m:r>
                  <w:rPr>
                    <w:rFonts w:ascii="Cambria Math" w:hAnsi="Cambria Math"/>
                    <w:color w:val="000000" w:themeColor="text1"/>
                    <w:sz w:val="22"/>
                    <w:szCs w:val="22"/>
                  </w:rPr>
                  <m:t>L</m:t>
                </m:r>
              </m:e>
            </m:acc>
          </m:sub>
        </m:sSub>
        <m:r>
          <w:rPr>
            <w:rFonts w:ascii="Cambria Math" w:hAnsi="Cambria Math"/>
            <w:color w:val="000000" w:themeColor="text1"/>
            <w:sz w:val="22"/>
            <w:szCs w:val="22"/>
          </w:rPr>
          <m:t>=1-</m:t>
        </m:r>
        <m:r>
          <m:rPr>
            <m:sty m:val="p"/>
          </m:rPr>
          <w:rPr>
            <w:rFonts w:ascii="Cambria Math" w:hAnsi="Cambria Math"/>
            <w:color w:val="000000" w:themeColor="text1"/>
            <w:sz w:val="22"/>
            <w:szCs w:val="22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color w:val="000000" w:themeColor="text1"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2"/>
                <w:szCs w:val="22"/>
              </w:rPr>
              <m:t>P</m:t>
            </m:r>
          </m:e>
          <m:sub>
            <m:r>
              <w:rPr>
                <w:rFonts w:ascii="Cambria Math" w:hAnsi="Cambria Math"/>
                <w:color w:val="000000" w:themeColor="text1"/>
                <w:sz w:val="22"/>
                <w:szCs w:val="22"/>
              </w:rPr>
              <m:t>S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  <w:color w:val="000000" w:themeColor="text1"/>
                    <w:sz w:val="22"/>
                    <w:szCs w:val="22"/>
                  </w:rPr>
                </m:ctrlPr>
              </m:accPr>
              <m:e>
                <m:r>
                  <w:rPr>
                    <w:rFonts w:ascii="Cambria Math" w:hAnsi="Cambria Math"/>
                    <w:color w:val="000000" w:themeColor="text1"/>
                    <w:sz w:val="22"/>
                    <w:szCs w:val="22"/>
                  </w:rPr>
                  <m:t>L</m:t>
                </m:r>
              </m:e>
            </m:acc>
          </m:sub>
        </m:sSub>
        <m:r>
          <w:rPr>
            <w:rFonts w:ascii="Cambria Math" w:hAnsi="Cambria Math"/>
            <w:color w:val="000000" w:themeColor="text1"/>
            <w:sz w:val="22"/>
            <w:szCs w:val="22"/>
          </w:rPr>
          <m:t>-</m:t>
        </m:r>
        <m:sSub>
          <m:sSubPr>
            <m:ctrlPr>
              <w:rPr>
                <w:rFonts w:ascii="Cambria Math" w:hAnsi="Cambria Math"/>
                <w:i/>
                <w:color w:val="000000" w:themeColor="text1"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2"/>
                <w:szCs w:val="22"/>
              </w:rPr>
              <m:t>P</m:t>
            </m:r>
          </m:e>
          <m:sub>
            <m:r>
              <w:rPr>
                <w:rFonts w:ascii="Cambria Math" w:hAnsi="Cambria Math"/>
                <w:color w:val="000000" w:themeColor="text1"/>
                <w:sz w:val="22"/>
                <w:szCs w:val="22"/>
              </w:rPr>
              <m:t>SL</m:t>
            </m:r>
          </m:sub>
        </m:sSub>
      </m:oMath>
      <w:r w:rsidR="00CA49F2" w:rsidRPr="0068296B">
        <w:rPr>
          <w:color w:val="000000" w:themeColor="text1"/>
        </w:rPr>
        <w:t>.</w:t>
      </w:r>
      <w:r w:rsidR="009A0847">
        <w:rPr>
          <w:color w:val="000000" w:themeColor="text1"/>
        </w:rPr>
        <w:t xml:space="preserve"> </w:t>
      </w:r>
      <w:r w:rsidR="001C1C47">
        <w:rPr>
          <w:color w:val="000000" w:themeColor="text1"/>
        </w:rPr>
        <w:t>While a bank’s type is private, t</w:t>
      </w:r>
      <w:r w:rsidR="00C12F78" w:rsidRPr="0068296B">
        <w:rPr>
          <w:color w:val="000000" w:themeColor="text1"/>
        </w:rPr>
        <w:t>he</w:t>
      </w:r>
      <w:r>
        <w:rPr>
          <w:color w:val="000000" w:themeColor="text1"/>
        </w:rPr>
        <w:t>se</w:t>
      </w:r>
      <w:r w:rsidR="009A0847">
        <w:rPr>
          <w:color w:val="000000" w:themeColor="text1"/>
        </w:rPr>
        <w:t xml:space="preserve"> </w:t>
      </w:r>
      <w:r w:rsidR="00C12F78" w:rsidRPr="0068296B">
        <w:rPr>
          <w:color w:val="000000" w:themeColor="text1"/>
        </w:rPr>
        <w:t>probabilities</w:t>
      </w:r>
      <w:r w:rsidR="009A0847">
        <w:rPr>
          <w:color w:val="000000" w:themeColor="text1"/>
        </w:rPr>
        <w:t xml:space="preserve"> </w:t>
      </w:r>
      <w:r w:rsidR="00C12F78" w:rsidRPr="0068296B">
        <w:rPr>
          <w:color w:val="000000" w:themeColor="text1"/>
        </w:rPr>
        <w:t>are</w:t>
      </w:r>
      <w:r w:rsidR="009A0847">
        <w:rPr>
          <w:color w:val="000000" w:themeColor="text1"/>
        </w:rPr>
        <w:t xml:space="preserve"> </w:t>
      </w:r>
      <w:r w:rsidR="00C12F78" w:rsidRPr="0068296B">
        <w:rPr>
          <w:color w:val="000000" w:themeColor="text1"/>
        </w:rPr>
        <w:t>common</w:t>
      </w:r>
      <w:r w:rsidR="009A0847">
        <w:rPr>
          <w:color w:val="000000" w:themeColor="text1"/>
        </w:rPr>
        <w:t xml:space="preserve"> </w:t>
      </w:r>
      <w:r w:rsidR="00C12F78" w:rsidRPr="0068296B">
        <w:rPr>
          <w:color w:val="000000" w:themeColor="text1"/>
        </w:rPr>
        <w:t>knowledge.</w:t>
      </w:r>
    </w:p>
    <w:p w14:paraId="1FB9C91A" w14:textId="22B2FB97" w:rsidR="00E46305" w:rsidRDefault="00C12F78" w:rsidP="00F86E09">
      <w:pPr>
        <w:pStyle w:val="Olivier1"/>
        <w:widowControl w:val="0"/>
        <w:ind w:firstLine="360"/>
        <w:rPr>
          <w:color w:val="FF0000"/>
        </w:rPr>
      </w:pPr>
      <w:r w:rsidRPr="00B76260">
        <w:rPr>
          <w:color w:val="000000" w:themeColor="text1"/>
        </w:rPr>
        <w:t>In</w:t>
      </w:r>
      <w:r w:rsidR="009A0847">
        <w:rPr>
          <w:color w:val="000000" w:themeColor="text1"/>
        </w:rPr>
        <w:t xml:space="preserve"> </w:t>
      </w:r>
      <w:r w:rsidRPr="00B76260">
        <w:rPr>
          <w:color w:val="000000" w:themeColor="text1"/>
        </w:rPr>
        <w:t>period</w:t>
      </w:r>
      <w:r w:rsidR="009A0847">
        <w:rPr>
          <w:color w:val="000000" w:themeColor="text1"/>
        </w:rPr>
        <w:t xml:space="preserve"> </w:t>
      </w:r>
      <w:r w:rsidRPr="00B76260">
        <w:rPr>
          <w:color w:val="000000" w:themeColor="text1"/>
        </w:rPr>
        <w:t>1</w:t>
      </w:r>
      <w:r w:rsidR="00B76260">
        <w:rPr>
          <w:color w:val="000000" w:themeColor="text1"/>
        </w:rPr>
        <w:t>,</w:t>
      </w:r>
      <w:r w:rsidR="009A0847">
        <w:rPr>
          <w:color w:val="000000" w:themeColor="text1"/>
        </w:rPr>
        <w:t xml:space="preserve"> </w:t>
      </w:r>
      <w:r w:rsidRPr="00B76260">
        <w:rPr>
          <w:color w:val="000000" w:themeColor="text1"/>
        </w:rPr>
        <w:t>an</w:t>
      </w:r>
      <w:r w:rsidR="009A0847">
        <w:rPr>
          <w:color w:val="000000" w:themeColor="text1"/>
        </w:rPr>
        <w:t xml:space="preserve"> </w:t>
      </w:r>
      <w:r w:rsidRPr="00B76260">
        <w:rPr>
          <w:color w:val="000000" w:themeColor="text1"/>
        </w:rPr>
        <w:t>illiquid</w:t>
      </w:r>
      <w:r w:rsidR="009A0847">
        <w:rPr>
          <w:color w:val="000000" w:themeColor="text1"/>
        </w:rPr>
        <w:t xml:space="preserve"> </w:t>
      </w:r>
      <w:r w:rsidRPr="00B76260">
        <w:rPr>
          <w:color w:val="000000" w:themeColor="text1"/>
        </w:rPr>
        <w:t>bank</w:t>
      </w:r>
      <w:r w:rsidR="009A0847">
        <w:rPr>
          <w:color w:val="000000" w:themeColor="text1"/>
        </w:rPr>
        <w:t xml:space="preserve"> </w:t>
      </w:r>
      <w:r w:rsidR="00B76260">
        <w:rPr>
          <w:color w:val="000000" w:themeColor="text1"/>
        </w:rPr>
        <w:t>choose</w:t>
      </w:r>
      <w:r w:rsidR="00E46305">
        <w:rPr>
          <w:color w:val="000000" w:themeColor="text1"/>
        </w:rPr>
        <w:t>s</w:t>
      </w:r>
      <w:r w:rsidR="009A0847">
        <w:rPr>
          <w:color w:val="000000" w:themeColor="text1"/>
        </w:rPr>
        <w:t xml:space="preserve"> </w:t>
      </w:r>
      <w:r w:rsidRPr="00B76260">
        <w:rPr>
          <w:color w:val="000000" w:themeColor="text1"/>
        </w:rPr>
        <w:t>between</w:t>
      </w:r>
      <w:r w:rsidR="009A0847">
        <w:rPr>
          <w:color w:val="000000" w:themeColor="text1"/>
        </w:rPr>
        <w:t xml:space="preserve"> </w:t>
      </w:r>
      <w:r w:rsidRPr="00B76260">
        <w:rPr>
          <w:color w:val="000000" w:themeColor="text1"/>
        </w:rPr>
        <w:t>borrowing</w:t>
      </w:r>
      <w:r w:rsidR="009A0847">
        <w:rPr>
          <w:color w:val="000000" w:themeColor="text1"/>
        </w:rPr>
        <w:t xml:space="preserve"> </w:t>
      </w:r>
      <w:r w:rsidRPr="00B76260">
        <w:rPr>
          <w:color w:val="000000" w:themeColor="text1"/>
        </w:rPr>
        <w:t>1</w:t>
      </w:r>
      <w:r w:rsidR="009A0847">
        <w:rPr>
          <w:color w:val="000000" w:themeColor="text1"/>
        </w:rPr>
        <w:t xml:space="preserve"> </w:t>
      </w:r>
      <w:r w:rsidRPr="00B76260">
        <w:rPr>
          <w:color w:val="000000" w:themeColor="text1"/>
        </w:rPr>
        <w:t>unit</w:t>
      </w:r>
      <w:r w:rsidR="009A0847">
        <w:rPr>
          <w:color w:val="000000" w:themeColor="text1"/>
        </w:rPr>
        <w:t xml:space="preserve"> </w:t>
      </w:r>
      <w:r w:rsidRPr="00B76260">
        <w:rPr>
          <w:color w:val="000000" w:themeColor="text1"/>
        </w:rPr>
        <w:t>of</w:t>
      </w:r>
      <w:r w:rsidR="009A0847">
        <w:rPr>
          <w:color w:val="000000" w:themeColor="text1"/>
        </w:rPr>
        <w:t xml:space="preserve"> </w:t>
      </w:r>
      <w:r w:rsidRPr="00B76260">
        <w:rPr>
          <w:color w:val="000000" w:themeColor="text1"/>
        </w:rPr>
        <w:t>liquidity</w:t>
      </w:r>
      <w:r w:rsidR="009A0847">
        <w:rPr>
          <w:color w:val="000000" w:themeColor="text1"/>
        </w:rPr>
        <w:t xml:space="preserve"> </w:t>
      </w:r>
      <w:r w:rsidRPr="00B76260">
        <w:rPr>
          <w:color w:val="000000" w:themeColor="text1"/>
        </w:rPr>
        <w:t>at</w:t>
      </w:r>
      <w:r w:rsidR="009A0847">
        <w:rPr>
          <w:color w:val="000000" w:themeColor="text1"/>
        </w:rPr>
        <w:t xml:space="preserve"> </w:t>
      </w:r>
      <w:r w:rsidRPr="00B76260">
        <w:rPr>
          <w:color w:val="000000" w:themeColor="text1"/>
        </w:rPr>
        <w:t>the</w:t>
      </w:r>
      <w:r w:rsidR="009A0847">
        <w:rPr>
          <w:color w:val="000000" w:themeColor="text1"/>
        </w:rPr>
        <w:t xml:space="preserve"> </w:t>
      </w:r>
      <w:r w:rsidRPr="00B76260">
        <w:rPr>
          <w:color w:val="000000" w:themeColor="text1"/>
        </w:rPr>
        <w:t>DW</w:t>
      </w:r>
      <w:r w:rsidR="009A0847">
        <w:rPr>
          <w:color w:val="000000" w:themeColor="text1"/>
        </w:rPr>
        <w:t xml:space="preserve"> </w:t>
      </w:r>
      <w:r w:rsidRPr="00B76260">
        <w:rPr>
          <w:color w:val="000000" w:themeColor="text1"/>
        </w:rPr>
        <w:t>at</w:t>
      </w:r>
      <w:r w:rsidR="009A0847">
        <w:rPr>
          <w:color w:val="000000" w:themeColor="text1"/>
        </w:rPr>
        <w:t xml:space="preserve"> </w:t>
      </w:r>
      <w:r w:rsidRPr="00B76260">
        <w:rPr>
          <w:color w:val="000000" w:themeColor="text1"/>
        </w:rPr>
        <w:t>a</w:t>
      </w:r>
      <w:r w:rsidR="009A0847">
        <w:rPr>
          <w:color w:val="000000" w:themeColor="text1"/>
        </w:rPr>
        <w:t xml:space="preserve"> </w:t>
      </w:r>
      <w:r w:rsidRPr="00B76260">
        <w:rPr>
          <w:color w:val="000000" w:themeColor="text1"/>
        </w:rPr>
        <w:t>cost</w:t>
      </w:r>
      <w:r w:rsidR="009A0847">
        <w:rPr>
          <w:color w:val="000000" w:themeColor="text1"/>
        </w:rPr>
        <w:t xml:space="preserve"> </w:t>
      </w:r>
      <m:oMath>
        <m:r>
          <w:rPr>
            <w:rFonts w:ascii="Cambria Math" w:hAnsi="Cambria Math"/>
            <w:color w:val="000000" w:themeColor="text1"/>
            <w:sz w:val="22"/>
            <w:szCs w:val="22"/>
          </w:rPr>
          <m:t>dw</m:t>
        </m:r>
      </m:oMath>
      <w:r w:rsidR="009A0847">
        <w:rPr>
          <w:color w:val="000000" w:themeColor="text1"/>
        </w:rPr>
        <w:t xml:space="preserve"> </w:t>
      </w:r>
      <w:r w:rsidRPr="00B76260">
        <w:rPr>
          <w:color w:val="000000" w:themeColor="text1"/>
        </w:rPr>
        <w:t>or</w:t>
      </w:r>
      <w:r w:rsidR="009A0847">
        <w:rPr>
          <w:color w:val="000000" w:themeColor="text1"/>
        </w:rPr>
        <w:t xml:space="preserve"> </w:t>
      </w:r>
      <w:r w:rsidRPr="00B76260">
        <w:rPr>
          <w:color w:val="000000" w:themeColor="text1"/>
        </w:rPr>
        <w:t>incurring</w:t>
      </w:r>
      <w:r w:rsidR="009A0847">
        <w:rPr>
          <w:color w:val="000000" w:themeColor="text1"/>
        </w:rPr>
        <w:t xml:space="preserve"> </w:t>
      </w:r>
      <w:r w:rsidRPr="00B76260">
        <w:rPr>
          <w:color w:val="000000" w:themeColor="text1"/>
        </w:rPr>
        <w:t>a</w:t>
      </w:r>
      <w:r w:rsidR="009A0847">
        <w:rPr>
          <w:color w:val="000000" w:themeColor="text1"/>
        </w:rPr>
        <w:t xml:space="preserve"> </w:t>
      </w:r>
      <w:r w:rsidRPr="00B76260">
        <w:rPr>
          <w:color w:val="000000" w:themeColor="text1"/>
        </w:rPr>
        <w:t>loss</w:t>
      </w:r>
      <w:r w:rsidR="009A0847">
        <w:rPr>
          <w:color w:val="000000" w:themeColor="text1"/>
        </w:rPr>
        <w:t xml:space="preserve"> </w:t>
      </w:r>
      <m:oMath>
        <m:r>
          <w:rPr>
            <w:rFonts w:ascii="Cambria Math" w:hAnsi="Cambria Math"/>
            <w:color w:val="000000" w:themeColor="text1"/>
            <w:sz w:val="22"/>
            <w:szCs w:val="22"/>
          </w:rPr>
          <m:t xml:space="preserve"> c&gt;dw</m:t>
        </m:r>
      </m:oMath>
      <w:r w:rsidRPr="00B76260">
        <w:rPr>
          <w:color w:val="000000" w:themeColor="text1"/>
        </w:rPr>
        <w:t>.</w:t>
      </w:r>
      <w:r w:rsidR="009A0847">
        <w:rPr>
          <w:color w:val="000000" w:themeColor="text1"/>
        </w:rPr>
        <w:t xml:space="preserve"> </w:t>
      </w:r>
      <w:r w:rsidR="00E46305">
        <w:rPr>
          <w:color w:val="000000" w:themeColor="text1"/>
        </w:rPr>
        <w:t>Note</w:t>
      </w:r>
      <w:r w:rsidR="009A0847">
        <w:rPr>
          <w:color w:val="000000" w:themeColor="text1"/>
        </w:rPr>
        <w:t xml:space="preserve"> </w:t>
      </w:r>
      <w:r w:rsidR="009D5583" w:rsidRPr="00B76260">
        <w:rPr>
          <w:color w:val="000000" w:themeColor="text1"/>
        </w:rPr>
        <w:t>that</w:t>
      </w:r>
      <w:r w:rsidR="009A0847">
        <w:rPr>
          <w:color w:val="000000" w:themeColor="text1"/>
        </w:rPr>
        <w:t xml:space="preserve"> </w:t>
      </w:r>
      <w:r w:rsidR="009D5583" w:rsidRPr="00B76260">
        <w:rPr>
          <w:color w:val="000000" w:themeColor="text1"/>
        </w:rPr>
        <w:t>we</w:t>
      </w:r>
      <w:r w:rsidR="009A0847">
        <w:rPr>
          <w:color w:val="000000" w:themeColor="text1"/>
        </w:rPr>
        <w:t xml:space="preserve"> </w:t>
      </w:r>
      <w:r w:rsidR="009D5583" w:rsidRPr="00B76260">
        <w:rPr>
          <w:color w:val="000000" w:themeColor="text1"/>
        </w:rPr>
        <w:t>are</w:t>
      </w:r>
      <w:r w:rsidR="009A0847">
        <w:rPr>
          <w:color w:val="000000" w:themeColor="text1"/>
        </w:rPr>
        <w:t xml:space="preserve"> </w:t>
      </w:r>
      <w:r w:rsidR="009D5583" w:rsidRPr="00B76260">
        <w:rPr>
          <w:color w:val="000000" w:themeColor="text1"/>
        </w:rPr>
        <w:t>making</w:t>
      </w:r>
      <w:r w:rsidR="009A0847">
        <w:rPr>
          <w:color w:val="000000" w:themeColor="text1"/>
        </w:rPr>
        <w:t xml:space="preserve"> </w:t>
      </w:r>
      <w:r w:rsidR="00E818A2">
        <w:rPr>
          <w:color w:val="000000" w:themeColor="text1"/>
        </w:rPr>
        <w:t>four</w:t>
      </w:r>
      <w:r w:rsidR="009A0847">
        <w:rPr>
          <w:color w:val="000000" w:themeColor="text1"/>
        </w:rPr>
        <w:t xml:space="preserve"> </w:t>
      </w:r>
      <w:r w:rsidR="009D5583" w:rsidRPr="00B76260">
        <w:rPr>
          <w:color w:val="000000" w:themeColor="text1"/>
        </w:rPr>
        <w:t>assumptions.</w:t>
      </w:r>
      <w:r w:rsidR="009A0847">
        <w:rPr>
          <w:color w:val="000000" w:themeColor="text1"/>
        </w:rPr>
        <w:t xml:space="preserve"> </w:t>
      </w:r>
      <w:r w:rsidR="009D5583" w:rsidRPr="00B76260">
        <w:rPr>
          <w:color w:val="000000" w:themeColor="text1"/>
        </w:rPr>
        <w:t>First,</w:t>
      </w:r>
      <w:r w:rsidR="009A0847">
        <w:rPr>
          <w:color w:val="000000" w:themeColor="text1"/>
        </w:rPr>
        <w:t xml:space="preserve"> </w:t>
      </w:r>
      <w:r w:rsidR="00F6623C">
        <w:rPr>
          <w:color w:val="000000" w:themeColor="text1"/>
        </w:rPr>
        <w:t>a</w:t>
      </w:r>
      <w:r w:rsidR="009A0847">
        <w:rPr>
          <w:color w:val="000000" w:themeColor="text1"/>
        </w:rPr>
        <w:t xml:space="preserve"> </w:t>
      </w:r>
      <w:r w:rsidR="00F6623C">
        <w:rPr>
          <w:color w:val="000000" w:themeColor="text1"/>
        </w:rPr>
        <w:t>bank’s</w:t>
      </w:r>
      <w:r w:rsidR="009A0847">
        <w:rPr>
          <w:color w:val="000000" w:themeColor="text1"/>
        </w:rPr>
        <w:t xml:space="preserve"> </w:t>
      </w:r>
      <w:r w:rsidR="009D5583" w:rsidRPr="00B76260">
        <w:rPr>
          <w:color w:val="000000" w:themeColor="text1"/>
          <w:szCs w:val="24"/>
        </w:rPr>
        <w:t>liquidity</w:t>
      </w:r>
      <w:r w:rsidR="009A0847">
        <w:rPr>
          <w:color w:val="000000" w:themeColor="text1"/>
          <w:szCs w:val="24"/>
        </w:rPr>
        <w:t xml:space="preserve"> </w:t>
      </w:r>
      <w:r w:rsidR="009D5583" w:rsidRPr="00B76260">
        <w:rPr>
          <w:color w:val="000000" w:themeColor="text1"/>
          <w:szCs w:val="24"/>
        </w:rPr>
        <w:t>status</w:t>
      </w:r>
      <w:r w:rsidR="009A0847">
        <w:rPr>
          <w:color w:val="000000" w:themeColor="text1"/>
          <w:szCs w:val="24"/>
        </w:rPr>
        <w:t xml:space="preserve"> </w:t>
      </w:r>
      <w:r w:rsidR="00F6623C">
        <w:rPr>
          <w:color w:val="000000" w:themeColor="text1"/>
          <w:szCs w:val="24"/>
        </w:rPr>
        <w:t>is</w:t>
      </w:r>
      <w:r w:rsidR="009A0847">
        <w:rPr>
          <w:color w:val="000000" w:themeColor="text1"/>
          <w:szCs w:val="24"/>
        </w:rPr>
        <w:t xml:space="preserve"> </w:t>
      </w:r>
      <w:r w:rsidR="00F6623C">
        <w:rPr>
          <w:color w:val="000000" w:themeColor="text1"/>
          <w:szCs w:val="24"/>
        </w:rPr>
        <w:t>measured</w:t>
      </w:r>
      <w:r w:rsidR="009A0847">
        <w:rPr>
          <w:color w:val="000000" w:themeColor="text1"/>
          <w:szCs w:val="24"/>
        </w:rPr>
        <w:t xml:space="preserve"> </w:t>
      </w:r>
      <w:r w:rsidR="00F6623C">
        <w:rPr>
          <w:color w:val="000000" w:themeColor="text1"/>
          <w:szCs w:val="24"/>
        </w:rPr>
        <w:t>at</w:t>
      </w:r>
      <w:r w:rsidR="009A0847">
        <w:rPr>
          <w:color w:val="000000" w:themeColor="text1"/>
          <w:szCs w:val="24"/>
        </w:rPr>
        <w:t xml:space="preserve"> </w:t>
      </w:r>
      <w:r w:rsidR="00F6623C">
        <w:rPr>
          <w:color w:val="000000" w:themeColor="text1"/>
          <w:szCs w:val="24"/>
        </w:rPr>
        <w:t>the</w:t>
      </w:r>
      <w:r w:rsidR="009A0847">
        <w:rPr>
          <w:color w:val="000000" w:themeColor="text1"/>
          <w:szCs w:val="24"/>
        </w:rPr>
        <w:t xml:space="preserve"> </w:t>
      </w:r>
      <w:r w:rsidR="00F6623C">
        <w:rPr>
          <w:color w:val="000000" w:themeColor="text1"/>
          <w:szCs w:val="24"/>
        </w:rPr>
        <w:t>end</w:t>
      </w:r>
      <w:r w:rsidR="009A0847">
        <w:rPr>
          <w:color w:val="000000" w:themeColor="text1"/>
          <w:szCs w:val="24"/>
        </w:rPr>
        <w:t xml:space="preserve"> </w:t>
      </w:r>
      <w:r w:rsidR="00F6623C">
        <w:rPr>
          <w:color w:val="000000" w:themeColor="text1"/>
          <w:szCs w:val="24"/>
        </w:rPr>
        <w:t>of</w:t>
      </w:r>
      <w:r w:rsidR="009A0847">
        <w:rPr>
          <w:color w:val="000000" w:themeColor="text1"/>
          <w:szCs w:val="24"/>
        </w:rPr>
        <w:t xml:space="preserve"> </w:t>
      </w:r>
      <w:r w:rsidR="00F6623C">
        <w:rPr>
          <w:color w:val="000000" w:themeColor="text1"/>
          <w:szCs w:val="24"/>
        </w:rPr>
        <w:t>the</w:t>
      </w:r>
      <w:r w:rsidR="009A0847">
        <w:rPr>
          <w:color w:val="000000" w:themeColor="text1"/>
          <w:szCs w:val="24"/>
        </w:rPr>
        <w:t xml:space="preserve"> </w:t>
      </w:r>
      <w:r w:rsidR="009D5583" w:rsidRPr="00B76260">
        <w:rPr>
          <w:color w:val="000000" w:themeColor="text1"/>
          <w:szCs w:val="24"/>
        </w:rPr>
        <w:t>day</w:t>
      </w:r>
      <w:r w:rsidR="009A0847">
        <w:rPr>
          <w:color w:val="000000" w:themeColor="text1"/>
          <w:szCs w:val="24"/>
        </w:rPr>
        <w:t xml:space="preserve"> </w:t>
      </w:r>
      <w:r w:rsidR="009D5583" w:rsidRPr="00B76260">
        <w:rPr>
          <w:color w:val="000000" w:themeColor="text1"/>
          <w:szCs w:val="24"/>
        </w:rPr>
        <w:t>and</w:t>
      </w:r>
      <w:r w:rsidR="009A0847">
        <w:rPr>
          <w:color w:val="000000" w:themeColor="text1"/>
          <w:szCs w:val="24"/>
        </w:rPr>
        <w:t xml:space="preserve"> </w:t>
      </w:r>
      <w:r w:rsidR="009D5583" w:rsidRPr="00B76260">
        <w:rPr>
          <w:color w:val="000000" w:themeColor="text1"/>
          <w:szCs w:val="24"/>
        </w:rPr>
        <w:t>is</w:t>
      </w:r>
      <w:r w:rsidR="009A0847">
        <w:rPr>
          <w:color w:val="000000" w:themeColor="text1"/>
          <w:szCs w:val="24"/>
        </w:rPr>
        <w:t xml:space="preserve"> </w:t>
      </w:r>
      <w:r w:rsidR="009D5583" w:rsidRPr="00B76260">
        <w:rPr>
          <w:color w:val="000000" w:themeColor="text1"/>
          <w:szCs w:val="24"/>
        </w:rPr>
        <w:t>net</w:t>
      </w:r>
      <w:r w:rsidR="009A0847">
        <w:rPr>
          <w:color w:val="000000" w:themeColor="text1"/>
          <w:szCs w:val="24"/>
        </w:rPr>
        <w:t xml:space="preserve"> </w:t>
      </w:r>
      <w:r w:rsidR="009D5583" w:rsidRPr="00B76260">
        <w:rPr>
          <w:color w:val="000000" w:themeColor="text1"/>
          <w:szCs w:val="24"/>
        </w:rPr>
        <w:t>of</w:t>
      </w:r>
      <w:r w:rsidR="009A0847">
        <w:rPr>
          <w:color w:val="000000" w:themeColor="text1"/>
          <w:szCs w:val="24"/>
        </w:rPr>
        <w:t xml:space="preserve"> </w:t>
      </w:r>
      <w:r w:rsidR="009D5583" w:rsidRPr="00B76260">
        <w:rPr>
          <w:color w:val="000000" w:themeColor="text1"/>
          <w:szCs w:val="24"/>
        </w:rPr>
        <w:t>what</w:t>
      </w:r>
      <w:r w:rsidR="009A0847">
        <w:rPr>
          <w:color w:val="000000" w:themeColor="text1"/>
          <w:szCs w:val="24"/>
        </w:rPr>
        <w:t xml:space="preserve"> </w:t>
      </w:r>
      <w:r w:rsidR="009D5583" w:rsidRPr="00B76260">
        <w:rPr>
          <w:color w:val="000000" w:themeColor="text1"/>
          <w:szCs w:val="24"/>
        </w:rPr>
        <w:t>can</w:t>
      </w:r>
      <w:r w:rsidR="009A0847">
        <w:rPr>
          <w:color w:val="000000" w:themeColor="text1"/>
          <w:szCs w:val="24"/>
        </w:rPr>
        <w:t xml:space="preserve"> </w:t>
      </w:r>
      <w:r w:rsidR="00E46305">
        <w:rPr>
          <w:color w:val="000000" w:themeColor="text1"/>
          <w:szCs w:val="24"/>
        </w:rPr>
        <w:t>be</w:t>
      </w:r>
      <w:r w:rsidR="009A0847">
        <w:rPr>
          <w:color w:val="000000" w:themeColor="text1"/>
          <w:szCs w:val="24"/>
        </w:rPr>
        <w:t xml:space="preserve"> </w:t>
      </w:r>
      <w:r w:rsidR="009D5583" w:rsidRPr="00B76260">
        <w:rPr>
          <w:color w:val="000000" w:themeColor="text1"/>
          <w:szCs w:val="24"/>
        </w:rPr>
        <w:t>obtain</w:t>
      </w:r>
      <w:r w:rsidR="00E46305">
        <w:rPr>
          <w:color w:val="000000" w:themeColor="text1"/>
          <w:szCs w:val="24"/>
        </w:rPr>
        <w:t>ed</w:t>
      </w:r>
      <w:r w:rsidR="009A0847">
        <w:rPr>
          <w:color w:val="000000" w:themeColor="text1"/>
          <w:szCs w:val="24"/>
        </w:rPr>
        <w:t xml:space="preserve"> </w:t>
      </w:r>
      <w:r w:rsidR="009D5583" w:rsidRPr="00B76260">
        <w:rPr>
          <w:color w:val="000000" w:themeColor="text1"/>
          <w:szCs w:val="24"/>
        </w:rPr>
        <w:t>in</w:t>
      </w:r>
      <w:r w:rsidR="009A0847">
        <w:rPr>
          <w:color w:val="000000" w:themeColor="text1"/>
          <w:szCs w:val="24"/>
        </w:rPr>
        <w:t xml:space="preserve"> </w:t>
      </w:r>
      <w:r w:rsidR="008C4521">
        <w:rPr>
          <w:color w:val="000000" w:themeColor="text1"/>
          <w:szCs w:val="24"/>
        </w:rPr>
        <w:t>the</w:t>
      </w:r>
      <w:r w:rsidR="009A0847">
        <w:rPr>
          <w:color w:val="000000" w:themeColor="text1"/>
          <w:szCs w:val="24"/>
        </w:rPr>
        <w:t xml:space="preserve"> </w:t>
      </w:r>
      <w:r w:rsidR="008C4521">
        <w:rPr>
          <w:color w:val="000000" w:themeColor="text1"/>
          <w:szCs w:val="24"/>
        </w:rPr>
        <w:t>interbank</w:t>
      </w:r>
      <w:r w:rsidR="009A0847">
        <w:rPr>
          <w:color w:val="000000" w:themeColor="text1"/>
          <w:szCs w:val="24"/>
        </w:rPr>
        <w:t xml:space="preserve"> </w:t>
      </w:r>
      <w:r w:rsidR="008C4521">
        <w:rPr>
          <w:color w:val="000000" w:themeColor="text1"/>
          <w:szCs w:val="24"/>
        </w:rPr>
        <w:t>market.</w:t>
      </w:r>
      <w:r w:rsidR="009A0847">
        <w:rPr>
          <w:color w:val="000000" w:themeColor="text1"/>
          <w:szCs w:val="24"/>
        </w:rPr>
        <w:t xml:space="preserve"> </w:t>
      </w:r>
      <w:r w:rsidR="00E818A2">
        <w:rPr>
          <w:color w:val="000000" w:themeColor="text1"/>
          <w:szCs w:val="24"/>
        </w:rPr>
        <w:t>Second</w:t>
      </w:r>
      <w:r w:rsidR="00E818A2" w:rsidRPr="00E818A2">
        <w:rPr>
          <w:color w:val="000000" w:themeColor="text1"/>
          <w:szCs w:val="24"/>
        </w:rPr>
        <w:t>,</w:t>
      </w:r>
      <w:r w:rsidR="009A0847">
        <w:rPr>
          <w:color w:val="000000" w:themeColor="text1"/>
          <w:szCs w:val="24"/>
        </w:rPr>
        <w:t xml:space="preserve"> </w:t>
      </w:r>
      <w:r w:rsidR="00E818A2" w:rsidRPr="00E818A2">
        <w:rPr>
          <w:color w:val="000000" w:themeColor="text1"/>
          <w:szCs w:val="24"/>
        </w:rPr>
        <w:t>consistent</w:t>
      </w:r>
      <w:r w:rsidR="009A0847">
        <w:rPr>
          <w:color w:val="000000" w:themeColor="text1"/>
          <w:szCs w:val="24"/>
        </w:rPr>
        <w:t xml:space="preserve"> </w:t>
      </w:r>
      <w:r w:rsidR="00E818A2" w:rsidRPr="00E818A2">
        <w:rPr>
          <w:color w:val="000000" w:themeColor="text1"/>
          <w:szCs w:val="24"/>
        </w:rPr>
        <w:t>with</w:t>
      </w:r>
      <w:r w:rsidR="009A0847">
        <w:rPr>
          <w:color w:val="000000" w:themeColor="text1"/>
          <w:szCs w:val="24"/>
        </w:rPr>
        <w:t xml:space="preserve"> </w:t>
      </w:r>
      <w:r w:rsidR="00E818A2" w:rsidRPr="00E818A2">
        <w:rPr>
          <w:szCs w:val="24"/>
        </w:rPr>
        <w:t>Ennis</w:t>
      </w:r>
      <w:r w:rsidR="009A0847">
        <w:rPr>
          <w:szCs w:val="24"/>
        </w:rPr>
        <w:t xml:space="preserve"> </w:t>
      </w:r>
      <w:r w:rsidR="00E818A2" w:rsidRPr="00E818A2">
        <w:rPr>
          <w:szCs w:val="24"/>
        </w:rPr>
        <w:t>and</w:t>
      </w:r>
      <w:r w:rsidR="009A0847">
        <w:rPr>
          <w:szCs w:val="24"/>
        </w:rPr>
        <w:t xml:space="preserve"> </w:t>
      </w:r>
      <w:r w:rsidR="00E818A2" w:rsidRPr="00E818A2">
        <w:rPr>
          <w:szCs w:val="24"/>
        </w:rPr>
        <w:t>Weinberg</w:t>
      </w:r>
      <w:r w:rsidR="009A0847">
        <w:rPr>
          <w:szCs w:val="24"/>
        </w:rPr>
        <w:t xml:space="preserve"> </w:t>
      </w:r>
      <w:r w:rsidR="00E818A2" w:rsidRPr="00E818A2">
        <w:rPr>
          <w:szCs w:val="24"/>
        </w:rPr>
        <w:t>(2013),</w:t>
      </w:r>
      <w:r w:rsidR="009A0847">
        <w:rPr>
          <w:szCs w:val="24"/>
        </w:rPr>
        <w:t xml:space="preserve"> </w:t>
      </w:r>
      <w:r w:rsidR="00E818A2">
        <w:rPr>
          <w:szCs w:val="24"/>
        </w:rPr>
        <w:t>a</w:t>
      </w:r>
      <w:r w:rsidR="009A0847">
        <w:rPr>
          <w:szCs w:val="24"/>
        </w:rPr>
        <w:t xml:space="preserve"> </w:t>
      </w:r>
      <w:r w:rsidR="00E818A2" w:rsidRPr="00E818A2">
        <w:rPr>
          <w:color w:val="000000" w:themeColor="text1"/>
          <w:szCs w:val="24"/>
        </w:rPr>
        <w:t>solvent</w:t>
      </w:r>
      <w:r w:rsidR="009A0847">
        <w:rPr>
          <w:color w:val="000000" w:themeColor="text1"/>
          <w:szCs w:val="24"/>
        </w:rPr>
        <w:t xml:space="preserve"> </w:t>
      </w:r>
      <w:r w:rsidR="00E818A2" w:rsidRPr="00E818A2">
        <w:rPr>
          <w:color w:val="000000" w:themeColor="text1"/>
          <w:szCs w:val="24"/>
        </w:rPr>
        <w:t>ban</w:t>
      </w:r>
      <w:r w:rsidR="00E818A2">
        <w:rPr>
          <w:color w:val="000000" w:themeColor="text1"/>
          <w:szCs w:val="24"/>
        </w:rPr>
        <w:t>k</w:t>
      </w:r>
      <w:r w:rsidR="009A0847">
        <w:rPr>
          <w:color w:val="000000" w:themeColor="text1"/>
          <w:szCs w:val="24"/>
        </w:rPr>
        <w:t xml:space="preserve"> </w:t>
      </w:r>
      <w:r w:rsidR="00E818A2" w:rsidRPr="00E818A2">
        <w:rPr>
          <w:color w:val="000000" w:themeColor="text1"/>
          <w:szCs w:val="24"/>
        </w:rPr>
        <w:t>may</w:t>
      </w:r>
      <w:r w:rsidR="009A0847">
        <w:rPr>
          <w:color w:val="000000" w:themeColor="text1"/>
          <w:szCs w:val="24"/>
        </w:rPr>
        <w:t xml:space="preserve"> </w:t>
      </w:r>
      <w:r w:rsidR="00E818A2" w:rsidRPr="00E818A2">
        <w:rPr>
          <w:color w:val="000000" w:themeColor="text1"/>
          <w:szCs w:val="24"/>
        </w:rPr>
        <w:t>need</w:t>
      </w:r>
      <w:r w:rsidR="009A0847">
        <w:rPr>
          <w:color w:val="000000" w:themeColor="text1"/>
          <w:szCs w:val="24"/>
        </w:rPr>
        <w:t xml:space="preserve"> </w:t>
      </w:r>
      <w:r w:rsidR="00E84688">
        <w:rPr>
          <w:color w:val="000000" w:themeColor="text1"/>
          <w:szCs w:val="24"/>
        </w:rPr>
        <w:t>to</w:t>
      </w:r>
      <w:r w:rsidR="009A0847">
        <w:rPr>
          <w:color w:val="000000" w:themeColor="text1"/>
          <w:szCs w:val="24"/>
        </w:rPr>
        <w:t xml:space="preserve"> </w:t>
      </w:r>
      <w:r w:rsidR="00E84688">
        <w:rPr>
          <w:color w:val="000000" w:themeColor="text1"/>
          <w:szCs w:val="24"/>
        </w:rPr>
        <w:t>borrow</w:t>
      </w:r>
      <w:r w:rsidR="009A0847">
        <w:rPr>
          <w:color w:val="000000" w:themeColor="text1"/>
          <w:szCs w:val="24"/>
        </w:rPr>
        <w:t xml:space="preserve"> </w:t>
      </w:r>
      <w:r w:rsidR="00E84688">
        <w:rPr>
          <w:color w:val="000000" w:themeColor="text1"/>
          <w:szCs w:val="24"/>
        </w:rPr>
        <w:t>at</w:t>
      </w:r>
      <w:r w:rsidR="009A0847">
        <w:rPr>
          <w:color w:val="000000" w:themeColor="text1"/>
          <w:szCs w:val="24"/>
        </w:rPr>
        <w:t xml:space="preserve"> </w:t>
      </w:r>
      <w:r w:rsidR="00E84688">
        <w:rPr>
          <w:color w:val="000000" w:themeColor="text1"/>
          <w:szCs w:val="24"/>
        </w:rPr>
        <w:t>the</w:t>
      </w:r>
      <w:r w:rsidR="009A0847">
        <w:rPr>
          <w:color w:val="000000" w:themeColor="text1"/>
          <w:szCs w:val="24"/>
        </w:rPr>
        <w:t xml:space="preserve"> </w:t>
      </w:r>
      <w:r w:rsidR="00E84688">
        <w:rPr>
          <w:color w:val="000000" w:themeColor="text1"/>
          <w:szCs w:val="24"/>
        </w:rPr>
        <w:t>DW</w:t>
      </w:r>
      <w:r w:rsidR="009A0847">
        <w:rPr>
          <w:color w:val="000000" w:themeColor="text1"/>
          <w:szCs w:val="24"/>
        </w:rPr>
        <w:t xml:space="preserve"> </w:t>
      </w:r>
      <w:r w:rsidR="00E84688">
        <w:rPr>
          <w:color w:val="000000" w:themeColor="text1"/>
          <w:szCs w:val="24"/>
        </w:rPr>
        <w:t>because</w:t>
      </w:r>
      <w:r w:rsidR="009A0847">
        <w:rPr>
          <w:color w:val="000000" w:themeColor="text1"/>
          <w:szCs w:val="24"/>
        </w:rPr>
        <w:t xml:space="preserve"> </w:t>
      </w:r>
      <w:r w:rsidR="00E84688">
        <w:rPr>
          <w:color w:val="000000" w:themeColor="text1"/>
          <w:szCs w:val="24"/>
        </w:rPr>
        <w:t>frictions</w:t>
      </w:r>
      <w:r w:rsidR="009A0847">
        <w:rPr>
          <w:color w:val="000000" w:themeColor="text1"/>
          <w:szCs w:val="24"/>
        </w:rPr>
        <w:t xml:space="preserve"> </w:t>
      </w:r>
      <w:r w:rsidR="00E84688">
        <w:rPr>
          <w:color w:val="000000" w:themeColor="text1"/>
          <w:szCs w:val="24"/>
        </w:rPr>
        <w:t>can</w:t>
      </w:r>
      <w:r w:rsidR="009A0847">
        <w:rPr>
          <w:color w:val="000000" w:themeColor="text1"/>
          <w:szCs w:val="24"/>
        </w:rPr>
        <w:t xml:space="preserve"> </w:t>
      </w:r>
      <w:r w:rsidR="00E84688">
        <w:rPr>
          <w:color w:val="000000" w:themeColor="text1"/>
          <w:szCs w:val="24"/>
        </w:rPr>
        <w:t>impair</w:t>
      </w:r>
      <w:r w:rsidR="009A0847">
        <w:rPr>
          <w:color w:val="000000" w:themeColor="text1"/>
          <w:szCs w:val="24"/>
        </w:rPr>
        <w:t xml:space="preserve"> </w:t>
      </w:r>
      <w:r w:rsidR="00E818A2" w:rsidRPr="00E818A2">
        <w:rPr>
          <w:color w:val="000000" w:themeColor="text1"/>
          <w:szCs w:val="24"/>
        </w:rPr>
        <w:t>the</w:t>
      </w:r>
      <w:r w:rsidR="009A0847">
        <w:rPr>
          <w:color w:val="000000" w:themeColor="text1"/>
          <w:szCs w:val="24"/>
        </w:rPr>
        <w:t xml:space="preserve"> </w:t>
      </w:r>
      <w:r w:rsidR="00E818A2" w:rsidRPr="00E818A2">
        <w:rPr>
          <w:color w:val="000000" w:themeColor="text1"/>
          <w:szCs w:val="24"/>
        </w:rPr>
        <w:t>interbank</w:t>
      </w:r>
      <w:r w:rsidR="009A0847">
        <w:rPr>
          <w:color w:val="000000" w:themeColor="text1"/>
          <w:szCs w:val="24"/>
        </w:rPr>
        <w:t xml:space="preserve"> </w:t>
      </w:r>
      <w:r w:rsidR="00E818A2" w:rsidRPr="00E818A2">
        <w:rPr>
          <w:color w:val="000000" w:themeColor="text1"/>
          <w:szCs w:val="24"/>
        </w:rPr>
        <w:t>market</w:t>
      </w:r>
      <w:r w:rsidR="00E84688">
        <w:rPr>
          <w:color w:val="000000" w:themeColor="text1"/>
          <w:szCs w:val="24"/>
        </w:rPr>
        <w:t>.</w:t>
      </w:r>
      <w:r w:rsidR="009A0847">
        <w:rPr>
          <w:color w:val="000000" w:themeColor="text1"/>
          <w:szCs w:val="24"/>
        </w:rPr>
        <w:t xml:space="preserve"> </w:t>
      </w:r>
      <w:r w:rsidR="00E84688">
        <w:rPr>
          <w:color w:val="000000" w:themeColor="text1"/>
          <w:szCs w:val="24"/>
        </w:rPr>
        <w:t>Third,</w:t>
      </w:r>
      <w:r w:rsidR="009A0847">
        <w:rPr>
          <w:color w:val="000000" w:themeColor="text1"/>
          <w:szCs w:val="24"/>
        </w:rPr>
        <w:t xml:space="preserve"> </w:t>
      </w:r>
      <w:r w:rsidR="009D5583" w:rsidRPr="00B76260">
        <w:rPr>
          <w:color w:val="000000" w:themeColor="text1"/>
          <w:szCs w:val="24"/>
        </w:rPr>
        <w:t>the</w:t>
      </w:r>
      <w:r w:rsidR="009A0847">
        <w:rPr>
          <w:color w:val="000000" w:themeColor="text1"/>
          <w:szCs w:val="24"/>
        </w:rPr>
        <w:t xml:space="preserve"> </w:t>
      </w:r>
      <w:r w:rsidR="009D5583" w:rsidRPr="00B76260">
        <w:rPr>
          <w:color w:val="000000" w:themeColor="text1"/>
          <w:szCs w:val="24"/>
        </w:rPr>
        <w:t>central</w:t>
      </w:r>
      <w:r w:rsidR="009A0847">
        <w:rPr>
          <w:color w:val="000000" w:themeColor="text1"/>
          <w:szCs w:val="24"/>
        </w:rPr>
        <w:t xml:space="preserve"> </w:t>
      </w:r>
      <w:r w:rsidR="009D5583" w:rsidRPr="00B76260">
        <w:rPr>
          <w:color w:val="000000" w:themeColor="text1"/>
          <w:szCs w:val="24"/>
        </w:rPr>
        <w:t>ba</w:t>
      </w:r>
      <w:r w:rsidR="00B76260">
        <w:rPr>
          <w:color w:val="000000" w:themeColor="text1"/>
          <w:szCs w:val="24"/>
        </w:rPr>
        <w:t>nk</w:t>
      </w:r>
      <w:r w:rsidR="009A0847">
        <w:rPr>
          <w:color w:val="000000" w:themeColor="text1"/>
          <w:szCs w:val="24"/>
        </w:rPr>
        <w:t xml:space="preserve"> </w:t>
      </w:r>
      <w:r w:rsidR="00B76260">
        <w:rPr>
          <w:color w:val="000000" w:themeColor="text1"/>
          <w:szCs w:val="24"/>
        </w:rPr>
        <w:t>is</w:t>
      </w:r>
      <w:r w:rsidR="009A0847">
        <w:rPr>
          <w:color w:val="000000" w:themeColor="text1"/>
          <w:szCs w:val="24"/>
        </w:rPr>
        <w:t xml:space="preserve"> </w:t>
      </w:r>
      <w:r w:rsidR="00B76260">
        <w:rPr>
          <w:color w:val="000000" w:themeColor="text1"/>
          <w:szCs w:val="24"/>
        </w:rPr>
        <w:t>unable</w:t>
      </w:r>
      <w:r w:rsidR="009A0847">
        <w:rPr>
          <w:color w:val="000000" w:themeColor="text1"/>
          <w:szCs w:val="24"/>
        </w:rPr>
        <w:t xml:space="preserve"> </w:t>
      </w:r>
      <w:r w:rsidR="00B76260">
        <w:rPr>
          <w:color w:val="000000" w:themeColor="text1"/>
          <w:szCs w:val="24"/>
        </w:rPr>
        <w:t>to</w:t>
      </w:r>
      <w:r w:rsidR="009A0847">
        <w:rPr>
          <w:color w:val="000000" w:themeColor="text1"/>
          <w:szCs w:val="24"/>
        </w:rPr>
        <w:t xml:space="preserve"> </w:t>
      </w:r>
      <w:r w:rsidR="00B76260">
        <w:rPr>
          <w:color w:val="000000" w:themeColor="text1"/>
          <w:szCs w:val="24"/>
        </w:rPr>
        <w:t>distinguish</w:t>
      </w:r>
      <w:r w:rsidR="009A0847">
        <w:rPr>
          <w:color w:val="000000" w:themeColor="text1"/>
          <w:szCs w:val="24"/>
        </w:rPr>
        <w:t xml:space="preserve"> </w:t>
      </w:r>
      <w:r w:rsidR="009D5583" w:rsidRPr="00B76260">
        <w:rPr>
          <w:color w:val="000000" w:themeColor="text1"/>
          <w:szCs w:val="24"/>
        </w:rPr>
        <w:t>solvent</w:t>
      </w:r>
      <w:r w:rsidR="00B76260">
        <w:rPr>
          <w:color w:val="000000" w:themeColor="text1"/>
          <w:szCs w:val="24"/>
        </w:rPr>
        <w:t>-illiquid</w:t>
      </w:r>
      <w:r w:rsidR="009A0847">
        <w:rPr>
          <w:color w:val="000000" w:themeColor="text1"/>
          <w:szCs w:val="24"/>
        </w:rPr>
        <w:t xml:space="preserve"> </w:t>
      </w:r>
      <w:r w:rsidR="009D5583" w:rsidRPr="00B76260">
        <w:rPr>
          <w:color w:val="000000" w:themeColor="text1"/>
          <w:szCs w:val="24"/>
        </w:rPr>
        <w:t>from</w:t>
      </w:r>
      <w:r w:rsidR="009A0847">
        <w:rPr>
          <w:color w:val="000000" w:themeColor="text1"/>
          <w:szCs w:val="24"/>
        </w:rPr>
        <w:t xml:space="preserve"> </w:t>
      </w:r>
      <w:r w:rsidR="00B76260">
        <w:rPr>
          <w:color w:val="000000" w:themeColor="text1"/>
          <w:szCs w:val="24"/>
        </w:rPr>
        <w:t>insolvent-</w:t>
      </w:r>
      <w:r w:rsidR="009D5583" w:rsidRPr="00B76260">
        <w:rPr>
          <w:color w:val="000000" w:themeColor="text1"/>
          <w:szCs w:val="24"/>
        </w:rPr>
        <w:t>illiqui</w:t>
      </w:r>
      <w:r w:rsidR="00E46305">
        <w:rPr>
          <w:color w:val="000000" w:themeColor="text1"/>
          <w:szCs w:val="24"/>
        </w:rPr>
        <w:t>d</w:t>
      </w:r>
      <w:r w:rsidR="009A0847">
        <w:rPr>
          <w:color w:val="000000" w:themeColor="text1"/>
          <w:szCs w:val="24"/>
        </w:rPr>
        <w:t xml:space="preserve"> </w:t>
      </w:r>
      <w:r w:rsidR="00E46305">
        <w:rPr>
          <w:color w:val="000000" w:themeColor="text1"/>
          <w:szCs w:val="24"/>
        </w:rPr>
        <w:t>banks,</w:t>
      </w:r>
      <w:r w:rsidR="009A0847">
        <w:rPr>
          <w:color w:val="000000" w:themeColor="text1"/>
          <w:szCs w:val="24"/>
        </w:rPr>
        <w:t xml:space="preserve"> </w:t>
      </w:r>
      <w:r w:rsidR="00E46305">
        <w:rPr>
          <w:color w:val="000000" w:themeColor="text1"/>
          <w:szCs w:val="24"/>
        </w:rPr>
        <w:t>and</w:t>
      </w:r>
      <w:r w:rsidR="009A0847">
        <w:rPr>
          <w:color w:val="000000" w:themeColor="text1"/>
          <w:szCs w:val="24"/>
        </w:rPr>
        <w:t xml:space="preserve"> </w:t>
      </w:r>
      <w:r w:rsidR="00E46305">
        <w:rPr>
          <w:color w:val="000000" w:themeColor="text1"/>
          <w:szCs w:val="24"/>
        </w:rPr>
        <w:t>thus</w:t>
      </w:r>
      <w:r w:rsidR="009A0847">
        <w:rPr>
          <w:color w:val="000000" w:themeColor="text1"/>
          <w:szCs w:val="24"/>
        </w:rPr>
        <w:t xml:space="preserve"> </w:t>
      </w:r>
      <w:r w:rsidR="00E46305">
        <w:rPr>
          <w:color w:val="000000" w:themeColor="text1"/>
          <w:szCs w:val="24"/>
        </w:rPr>
        <w:t>lends</w:t>
      </w:r>
      <w:r w:rsidR="009A0847">
        <w:rPr>
          <w:color w:val="000000" w:themeColor="text1"/>
          <w:szCs w:val="24"/>
        </w:rPr>
        <w:t xml:space="preserve"> </w:t>
      </w:r>
      <w:r w:rsidR="00E46305">
        <w:rPr>
          <w:color w:val="000000" w:themeColor="text1"/>
          <w:szCs w:val="24"/>
        </w:rPr>
        <w:t>to</w:t>
      </w:r>
      <w:r w:rsidR="009A0847">
        <w:rPr>
          <w:color w:val="000000" w:themeColor="text1"/>
          <w:szCs w:val="24"/>
        </w:rPr>
        <w:t xml:space="preserve"> </w:t>
      </w:r>
      <w:r w:rsidR="00E46305">
        <w:rPr>
          <w:color w:val="000000" w:themeColor="text1"/>
          <w:szCs w:val="24"/>
        </w:rPr>
        <w:t>any</w:t>
      </w:r>
      <w:r w:rsidR="009A0847">
        <w:rPr>
          <w:color w:val="000000" w:themeColor="text1"/>
          <w:szCs w:val="24"/>
        </w:rPr>
        <w:t xml:space="preserve"> </w:t>
      </w:r>
      <w:r w:rsidR="00E46305">
        <w:rPr>
          <w:color w:val="000000" w:themeColor="text1"/>
          <w:szCs w:val="24"/>
        </w:rPr>
        <w:t>bank</w:t>
      </w:r>
      <w:r w:rsidR="009A0847">
        <w:rPr>
          <w:color w:val="000000" w:themeColor="text1"/>
          <w:szCs w:val="24"/>
        </w:rPr>
        <w:t xml:space="preserve"> </w:t>
      </w:r>
      <w:r w:rsidR="009D5583" w:rsidRPr="00B76260">
        <w:rPr>
          <w:color w:val="000000" w:themeColor="text1"/>
          <w:szCs w:val="24"/>
        </w:rPr>
        <w:t>at</w:t>
      </w:r>
      <w:r w:rsidR="009A0847">
        <w:rPr>
          <w:color w:val="000000" w:themeColor="text1"/>
          <w:szCs w:val="24"/>
        </w:rPr>
        <w:t xml:space="preserve"> </w:t>
      </w:r>
      <w:r w:rsidR="009D5583" w:rsidRPr="00B76260">
        <w:rPr>
          <w:color w:val="000000" w:themeColor="text1"/>
          <w:szCs w:val="24"/>
        </w:rPr>
        <w:t>the</w:t>
      </w:r>
      <w:r w:rsidR="009A0847">
        <w:rPr>
          <w:color w:val="000000" w:themeColor="text1"/>
          <w:szCs w:val="24"/>
        </w:rPr>
        <w:t xml:space="preserve"> </w:t>
      </w:r>
      <w:r w:rsidR="009D5583" w:rsidRPr="00B76260">
        <w:rPr>
          <w:color w:val="000000" w:themeColor="text1"/>
          <w:szCs w:val="24"/>
        </w:rPr>
        <w:t>DW.</w:t>
      </w:r>
      <w:r w:rsidR="009A0847">
        <w:rPr>
          <w:color w:val="000000" w:themeColor="text1"/>
          <w:szCs w:val="24"/>
        </w:rPr>
        <w:t xml:space="preserve"> </w:t>
      </w:r>
      <w:r w:rsidR="009D5583" w:rsidRPr="00B76260">
        <w:rPr>
          <w:color w:val="000000" w:themeColor="text1"/>
          <w:szCs w:val="24"/>
        </w:rPr>
        <w:t>In</w:t>
      </w:r>
      <w:r w:rsidR="009A0847">
        <w:rPr>
          <w:color w:val="000000" w:themeColor="text1"/>
          <w:szCs w:val="24"/>
        </w:rPr>
        <w:t xml:space="preserve"> </w:t>
      </w:r>
      <w:r w:rsidR="009D5583" w:rsidRPr="00B76260">
        <w:rPr>
          <w:color w:val="000000" w:themeColor="text1"/>
          <w:szCs w:val="24"/>
        </w:rPr>
        <w:t>practice,</w:t>
      </w:r>
      <w:r w:rsidR="009A0847">
        <w:rPr>
          <w:color w:val="000000" w:themeColor="text1"/>
          <w:szCs w:val="24"/>
        </w:rPr>
        <w:t xml:space="preserve"> </w:t>
      </w:r>
      <w:r w:rsidR="009D5583" w:rsidRPr="00B76260">
        <w:rPr>
          <w:color w:val="000000" w:themeColor="text1"/>
          <w:szCs w:val="24"/>
        </w:rPr>
        <w:t>the</w:t>
      </w:r>
      <w:r w:rsidR="009A0847">
        <w:rPr>
          <w:color w:val="000000" w:themeColor="text1"/>
          <w:szCs w:val="24"/>
        </w:rPr>
        <w:t xml:space="preserve"> </w:t>
      </w:r>
      <w:r w:rsidR="009D5583" w:rsidRPr="00B76260">
        <w:rPr>
          <w:color w:val="000000" w:themeColor="text1"/>
          <w:szCs w:val="24"/>
        </w:rPr>
        <w:t>Fed</w:t>
      </w:r>
      <w:r w:rsidR="009A0847">
        <w:rPr>
          <w:color w:val="000000" w:themeColor="text1"/>
          <w:szCs w:val="24"/>
        </w:rPr>
        <w:t xml:space="preserve"> </w:t>
      </w:r>
      <w:r w:rsidR="009D5583" w:rsidRPr="00B76260">
        <w:rPr>
          <w:color w:val="000000" w:themeColor="text1"/>
          <w:szCs w:val="24"/>
        </w:rPr>
        <w:t>should</w:t>
      </w:r>
      <w:r w:rsidR="009A0847">
        <w:rPr>
          <w:color w:val="000000" w:themeColor="text1"/>
          <w:szCs w:val="24"/>
        </w:rPr>
        <w:t xml:space="preserve"> </w:t>
      </w:r>
      <w:r w:rsidR="009D5583" w:rsidRPr="00B76260">
        <w:rPr>
          <w:color w:val="000000" w:themeColor="text1"/>
          <w:szCs w:val="24"/>
        </w:rPr>
        <w:t>not</w:t>
      </w:r>
      <w:r w:rsidR="009A0847">
        <w:rPr>
          <w:color w:val="000000" w:themeColor="text1"/>
          <w:szCs w:val="24"/>
        </w:rPr>
        <w:t xml:space="preserve"> </w:t>
      </w:r>
      <w:r w:rsidR="009D5583" w:rsidRPr="00B76260">
        <w:rPr>
          <w:color w:val="000000" w:themeColor="text1"/>
          <w:szCs w:val="24"/>
        </w:rPr>
        <w:t>lend</w:t>
      </w:r>
      <w:r w:rsidR="009A0847">
        <w:rPr>
          <w:color w:val="000000" w:themeColor="text1"/>
          <w:szCs w:val="24"/>
        </w:rPr>
        <w:t xml:space="preserve"> </w:t>
      </w:r>
      <w:r w:rsidR="009D5583" w:rsidRPr="00B76260">
        <w:rPr>
          <w:color w:val="000000" w:themeColor="text1"/>
          <w:szCs w:val="24"/>
        </w:rPr>
        <w:t>to</w:t>
      </w:r>
      <w:r w:rsidR="009A0847">
        <w:rPr>
          <w:color w:val="000000" w:themeColor="text1"/>
          <w:szCs w:val="24"/>
        </w:rPr>
        <w:t xml:space="preserve"> </w:t>
      </w:r>
      <w:r w:rsidR="009D5583" w:rsidRPr="00B76260">
        <w:rPr>
          <w:color w:val="000000" w:themeColor="text1"/>
          <w:szCs w:val="24"/>
        </w:rPr>
        <w:t>insolvent</w:t>
      </w:r>
      <w:r w:rsidR="009A0847">
        <w:rPr>
          <w:color w:val="000000" w:themeColor="text1"/>
          <w:szCs w:val="24"/>
        </w:rPr>
        <w:t xml:space="preserve"> </w:t>
      </w:r>
      <w:r w:rsidR="009D5583" w:rsidRPr="00B76260">
        <w:rPr>
          <w:color w:val="000000" w:themeColor="text1"/>
          <w:szCs w:val="24"/>
        </w:rPr>
        <w:t>banks,</w:t>
      </w:r>
      <w:r w:rsidR="009A0847">
        <w:rPr>
          <w:color w:val="000000" w:themeColor="text1"/>
          <w:szCs w:val="24"/>
        </w:rPr>
        <w:t xml:space="preserve"> </w:t>
      </w:r>
      <w:r w:rsidR="009D5583" w:rsidRPr="00B76260">
        <w:rPr>
          <w:color w:val="000000" w:themeColor="text1"/>
          <w:szCs w:val="24"/>
        </w:rPr>
        <w:t>but</w:t>
      </w:r>
      <w:r w:rsidR="009A0847">
        <w:rPr>
          <w:color w:val="000000" w:themeColor="text1"/>
          <w:szCs w:val="24"/>
        </w:rPr>
        <w:t xml:space="preserve"> </w:t>
      </w:r>
      <w:r w:rsidR="00E46305">
        <w:rPr>
          <w:color w:val="000000" w:themeColor="text1"/>
          <w:szCs w:val="24"/>
        </w:rPr>
        <w:t>solvency</w:t>
      </w:r>
      <w:r w:rsidR="009A0847">
        <w:rPr>
          <w:color w:val="000000" w:themeColor="text1"/>
          <w:szCs w:val="24"/>
        </w:rPr>
        <w:t xml:space="preserve"> </w:t>
      </w:r>
      <w:r w:rsidR="00E46305">
        <w:rPr>
          <w:color w:val="000000" w:themeColor="text1"/>
          <w:szCs w:val="24"/>
        </w:rPr>
        <w:t>screening</w:t>
      </w:r>
      <w:r w:rsidR="009A0847">
        <w:rPr>
          <w:color w:val="000000" w:themeColor="text1"/>
          <w:szCs w:val="24"/>
        </w:rPr>
        <w:t xml:space="preserve"> </w:t>
      </w:r>
      <w:r w:rsidR="009D5583" w:rsidRPr="00B76260">
        <w:rPr>
          <w:color w:val="000000" w:themeColor="text1"/>
          <w:szCs w:val="24"/>
        </w:rPr>
        <w:t>is</w:t>
      </w:r>
      <w:r w:rsidR="009A0847">
        <w:rPr>
          <w:color w:val="000000" w:themeColor="text1"/>
          <w:szCs w:val="24"/>
        </w:rPr>
        <w:t xml:space="preserve"> </w:t>
      </w:r>
      <w:r w:rsidR="009D5583" w:rsidRPr="00B76260">
        <w:rPr>
          <w:color w:val="000000" w:themeColor="text1"/>
          <w:szCs w:val="24"/>
        </w:rPr>
        <w:t>difficult,</w:t>
      </w:r>
      <w:r w:rsidR="009A0847">
        <w:rPr>
          <w:color w:val="000000" w:themeColor="text1"/>
          <w:szCs w:val="24"/>
        </w:rPr>
        <w:t xml:space="preserve"> </w:t>
      </w:r>
      <w:r w:rsidR="009D5583" w:rsidRPr="00B76260">
        <w:rPr>
          <w:color w:val="000000" w:themeColor="text1"/>
          <w:szCs w:val="24"/>
        </w:rPr>
        <w:t>especially</w:t>
      </w:r>
      <w:r w:rsidR="009A0847">
        <w:rPr>
          <w:color w:val="000000" w:themeColor="text1"/>
          <w:szCs w:val="24"/>
        </w:rPr>
        <w:t xml:space="preserve"> </w:t>
      </w:r>
      <w:r w:rsidR="009D5583" w:rsidRPr="00B76260">
        <w:rPr>
          <w:color w:val="000000" w:themeColor="text1"/>
          <w:szCs w:val="24"/>
        </w:rPr>
        <w:t>in</w:t>
      </w:r>
      <w:r w:rsidR="009A0847">
        <w:rPr>
          <w:color w:val="000000" w:themeColor="text1"/>
          <w:szCs w:val="24"/>
        </w:rPr>
        <w:t xml:space="preserve"> </w:t>
      </w:r>
      <w:r w:rsidR="009D5583" w:rsidRPr="00B76260">
        <w:rPr>
          <w:color w:val="000000" w:themeColor="text1"/>
          <w:szCs w:val="24"/>
        </w:rPr>
        <w:t>times</w:t>
      </w:r>
      <w:r w:rsidR="009A0847">
        <w:rPr>
          <w:color w:val="000000" w:themeColor="text1"/>
          <w:szCs w:val="24"/>
        </w:rPr>
        <w:t xml:space="preserve"> </w:t>
      </w:r>
      <w:r w:rsidR="009D5583" w:rsidRPr="00B76260">
        <w:rPr>
          <w:color w:val="000000" w:themeColor="text1"/>
          <w:szCs w:val="24"/>
        </w:rPr>
        <w:t>of</w:t>
      </w:r>
      <w:r w:rsidR="009A0847">
        <w:rPr>
          <w:color w:val="000000" w:themeColor="text1"/>
          <w:szCs w:val="24"/>
        </w:rPr>
        <w:t xml:space="preserve"> </w:t>
      </w:r>
      <w:r w:rsidR="009D5583" w:rsidRPr="00B76260">
        <w:rPr>
          <w:color w:val="000000" w:themeColor="text1"/>
          <w:szCs w:val="24"/>
        </w:rPr>
        <w:t>crises</w:t>
      </w:r>
      <w:r w:rsidR="009A0847">
        <w:rPr>
          <w:color w:val="000000" w:themeColor="text1"/>
          <w:szCs w:val="24"/>
        </w:rPr>
        <w:t xml:space="preserve"> </w:t>
      </w:r>
      <w:r w:rsidR="00AB5DE6">
        <w:rPr>
          <w:color w:val="000000" w:themeColor="text1"/>
          <w:szCs w:val="24"/>
        </w:rPr>
        <w:t>(</w:t>
      </w:r>
      <w:r w:rsidR="009D5583" w:rsidRPr="00B76260">
        <w:rPr>
          <w:color w:val="000000" w:themeColor="text1"/>
          <w:szCs w:val="24"/>
        </w:rPr>
        <w:t>Freixas</w:t>
      </w:r>
      <w:r w:rsidR="009A0847">
        <w:rPr>
          <w:color w:val="000000" w:themeColor="text1"/>
          <w:szCs w:val="24"/>
        </w:rPr>
        <w:t xml:space="preserve"> </w:t>
      </w:r>
      <w:r w:rsidR="009D5583" w:rsidRPr="00B76260">
        <w:rPr>
          <w:color w:val="000000" w:themeColor="text1"/>
          <w:szCs w:val="24"/>
        </w:rPr>
        <w:t>et</w:t>
      </w:r>
      <w:r w:rsidR="009A0847">
        <w:rPr>
          <w:color w:val="000000" w:themeColor="text1"/>
          <w:szCs w:val="24"/>
        </w:rPr>
        <w:t xml:space="preserve"> </w:t>
      </w:r>
      <w:r w:rsidR="009D5583" w:rsidRPr="00B76260">
        <w:rPr>
          <w:color w:val="000000" w:themeColor="text1"/>
          <w:szCs w:val="24"/>
        </w:rPr>
        <w:t>al.</w:t>
      </w:r>
      <w:r w:rsidR="009A0847">
        <w:rPr>
          <w:color w:val="000000" w:themeColor="text1"/>
          <w:szCs w:val="24"/>
        </w:rPr>
        <w:t xml:space="preserve"> </w:t>
      </w:r>
      <w:r w:rsidR="009D5583" w:rsidRPr="00B76260">
        <w:rPr>
          <w:color w:val="000000" w:themeColor="text1"/>
          <w:szCs w:val="24"/>
        </w:rPr>
        <w:t>2004).</w:t>
      </w:r>
      <w:r w:rsidR="009A0847">
        <w:rPr>
          <w:color w:val="000000" w:themeColor="text1"/>
          <w:szCs w:val="24"/>
        </w:rPr>
        <w:t xml:space="preserve"> </w:t>
      </w:r>
      <w:r w:rsidR="009D5583" w:rsidRPr="00B76260">
        <w:rPr>
          <w:color w:val="000000" w:themeColor="text1"/>
          <w:szCs w:val="24"/>
        </w:rPr>
        <w:t>Here,</w:t>
      </w:r>
      <w:r w:rsidR="009A0847">
        <w:rPr>
          <w:color w:val="000000" w:themeColor="text1"/>
          <w:szCs w:val="24"/>
        </w:rPr>
        <w:t xml:space="preserve"> </w:t>
      </w:r>
      <w:r w:rsidR="009D5583" w:rsidRPr="00B76260">
        <w:rPr>
          <w:color w:val="000000" w:themeColor="text1"/>
          <w:szCs w:val="24"/>
        </w:rPr>
        <w:t>we</w:t>
      </w:r>
      <w:r w:rsidR="009A0847">
        <w:rPr>
          <w:color w:val="000000" w:themeColor="text1"/>
          <w:szCs w:val="24"/>
        </w:rPr>
        <w:t xml:space="preserve"> </w:t>
      </w:r>
      <w:r w:rsidR="009D5583" w:rsidRPr="00B76260">
        <w:rPr>
          <w:color w:val="000000" w:themeColor="text1"/>
          <w:szCs w:val="24"/>
        </w:rPr>
        <w:t>assume</w:t>
      </w:r>
      <w:r w:rsidR="009A0847">
        <w:rPr>
          <w:color w:val="000000" w:themeColor="text1"/>
          <w:szCs w:val="24"/>
        </w:rPr>
        <w:t xml:space="preserve"> </w:t>
      </w:r>
      <w:r w:rsidR="009D5583" w:rsidRPr="00B76260">
        <w:rPr>
          <w:color w:val="000000" w:themeColor="text1"/>
          <w:szCs w:val="24"/>
        </w:rPr>
        <w:t>it</w:t>
      </w:r>
      <w:r w:rsidR="009A0847">
        <w:rPr>
          <w:color w:val="000000" w:themeColor="text1"/>
          <w:szCs w:val="24"/>
        </w:rPr>
        <w:t xml:space="preserve"> </w:t>
      </w:r>
      <w:r w:rsidR="009D5583" w:rsidRPr="00B76260">
        <w:rPr>
          <w:color w:val="000000" w:themeColor="text1"/>
          <w:szCs w:val="24"/>
        </w:rPr>
        <w:t>is</w:t>
      </w:r>
      <w:r w:rsidR="009A0847">
        <w:rPr>
          <w:color w:val="000000" w:themeColor="text1"/>
          <w:szCs w:val="24"/>
        </w:rPr>
        <w:t xml:space="preserve"> </w:t>
      </w:r>
      <w:r w:rsidR="009D5583" w:rsidRPr="00B76260">
        <w:rPr>
          <w:color w:val="000000" w:themeColor="text1"/>
          <w:szCs w:val="24"/>
        </w:rPr>
        <w:t>im</w:t>
      </w:r>
      <w:r w:rsidR="00E46305">
        <w:rPr>
          <w:color w:val="000000" w:themeColor="text1"/>
          <w:szCs w:val="24"/>
        </w:rPr>
        <w:t>possible</w:t>
      </w:r>
      <w:r w:rsidR="008C4521">
        <w:rPr>
          <w:color w:val="000000" w:themeColor="text1"/>
          <w:szCs w:val="24"/>
        </w:rPr>
        <w:t>,</w:t>
      </w:r>
      <w:r w:rsidR="009A0847">
        <w:rPr>
          <w:color w:val="000000" w:themeColor="text1"/>
          <w:szCs w:val="24"/>
        </w:rPr>
        <w:t xml:space="preserve"> </w:t>
      </w:r>
      <w:r w:rsidR="008C4521">
        <w:rPr>
          <w:color w:val="000000" w:themeColor="text1"/>
          <w:szCs w:val="24"/>
        </w:rPr>
        <w:t>consistent</w:t>
      </w:r>
      <w:r w:rsidR="009A0847">
        <w:rPr>
          <w:color w:val="000000" w:themeColor="text1"/>
          <w:szCs w:val="24"/>
        </w:rPr>
        <w:t xml:space="preserve"> </w:t>
      </w:r>
      <w:r w:rsidR="008C4521">
        <w:rPr>
          <w:color w:val="000000" w:themeColor="text1"/>
          <w:szCs w:val="24"/>
        </w:rPr>
        <w:t>with</w:t>
      </w:r>
      <w:r w:rsidR="009A0847">
        <w:rPr>
          <w:color w:val="000000" w:themeColor="text1"/>
          <w:szCs w:val="24"/>
        </w:rPr>
        <w:t xml:space="preserve"> </w:t>
      </w:r>
      <w:r w:rsidR="008C4521" w:rsidRPr="00B76260">
        <w:rPr>
          <w:color w:val="000000" w:themeColor="text1"/>
          <w:szCs w:val="24"/>
        </w:rPr>
        <w:t>Ennis</w:t>
      </w:r>
      <w:r w:rsidR="009A0847">
        <w:rPr>
          <w:color w:val="000000" w:themeColor="text1"/>
          <w:szCs w:val="24"/>
        </w:rPr>
        <w:t xml:space="preserve"> </w:t>
      </w:r>
      <w:r w:rsidR="008C4521" w:rsidRPr="00B76260">
        <w:rPr>
          <w:color w:val="000000" w:themeColor="text1"/>
          <w:szCs w:val="24"/>
        </w:rPr>
        <w:t>and</w:t>
      </w:r>
      <w:r w:rsidR="009A0847">
        <w:rPr>
          <w:color w:val="000000" w:themeColor="text1"/>
          <w:szCs w:val="24"/>
        </w:rPr>
        <w:t xml:space="preserve"> </w:t>
      </w:r>
      <w:r w:rsidR="008C4521" w:rsidRPr="00B76260">
        <w:rPr>
          <w:color w:val="000000" w:themeColor="text1"/>
          <w:szCs w:val="24"/>
        </w:rPr>
        <w:t>Weinberg</w:t>
      </w:r>
      <w:r w:rsidR="009A0847">
        <w:rPr>
          <w:color w:val="000000" w:themeColor="text1"/>
          <w:szCs w:val="24"/>
        </w:rPr>
        <w:t xml:space="preserve"> </w:t>
      </w:r>
      <w:r w:rsidR="008C4521" w:rsidRPr="00B76260">
        <w:rPr>
          <w:color w:val="000000" w:themeColor="text1"/>
          <w:szCs w:val="24"/>
        </w:rPr>
        <w:t>(2013)</w:t>
      </w:r>
      <w:r w:rsidR="009D5583" w:rsidRPr="00B76260">
        <w:rPr>
          <w:color w:val="000000" w:themeColor="text1"/>
          <w:szCs w:val="24"/>
        </w:rPr>
        <w:t>.</w:t>
      </w:r>
      <w:r w:rsidR="00CA04BF" w:rsidRPr="00B76260">
        <w:rPr>
          <w:rStyle w:val="FootnoteReference"/>
          <w:color w:val="000000" w:themeColor="text1"/>
          <w:szCs w:val="24"/>
        </w:rPr>
        <w:footnoteReference w:id="15"/>
      </w:r>
      <w:r w:rsidR="009A0847">
        <w:rPr>
          <w:color w:val="000000" w:themeColor="text1"/>
          <w:szCs w:val="24"/>
        </w:rPr>
        <w:t xml:space="preserve"> </w:t>
      </w:r>
      <w:r w:rsidR="00E84688">
        <w:rPr>
          <w:color w:val="000000" w:themeColor="text1"/>
          <w:szCs w:val="24"/>
        </w:rPr>
        <w:t>Fourth</w:t>
      </w:r>
      <w:r w:rsidR="00CA04BF" w:rsidRPr="00B76260">
        <w:rPr>
          <w:color w:val="000000" w:themeColor="text1"/>
          <w:szCs w:val="24"/>
        </w:rPr>
        <w:t>,</w:t>
      </w:r>
      <w:r w:rsidR="009A0847">
        <w:rPr>
          <w:color w:val="000000" w:themeColor="text1"/>
          <w:szCs w:val="24"/>
        </w:rPr>
        <w:t xml:space="preserve"> </w:t>
      </w:r>
      <w:r w:rsidR="00CA04BF" w:rsidRPr="00B76260">
        <w:rPr>
          <w:color w:val="000000" w:themeColor="text1"/>
        </w:rPr>
        <w:t>consistent</w:t>
      </w:r>
      <w:r w:rsidR="009A0847">
        <w:rPr>
          <w:color w:val="000000" w:themeColor="text1"/>
        </w:rPr>
        <w:t xml:space="preserve"> </w:t>
      </w:r>
      <w:r w:rsidR="00CA04BF" w:rsidRPr="00B76260">
        <w:rPr>
          <w:color w:val="000000" w:themeColor="text1"/>
        </w:rPr>
        <w:t>with</w:t>
      </w:r>
      <w:r w:rsidR="009A0847">
        <w:rPr>
          <w:color w:val="000000" w:themeColor="text1"/>
        </w:rPr>
        <w:t xml:space="preserve"> </w:t>
      </w:r>
      <w:r w:rsidR="00CA04BF" w:rsidRPr="00B76260">
        <w:rPr>
          <w:color w:val="000000" w:themeColor="text1"/>
        </w:rPr>
        <w:t>Ennis</w:t>
      </w:r>
      <w:r w:rsidR="009A0847">
        <w:rPr>
          <w:color w:val="000000" w:themeColor="text1"/>
        </w:rPr>
        <w:t xml:space="preserve"> </w:t>
      </w:r>
      <w:r w:rsidR="00CA04BF" w:rsidRPr="00B76260">
        <w:rPr>
          <w:color w:val="000000" w:themeColor="text1"/>
        </w:rPr>
        <w:t>and</w:t>
      </w:r>
      <w:r w:rsidR="009A0847">
        <w:rPr>
          <w:color w:val="000000" w:themeColor="text1"/>
        </w:rPr>
        <w:t xml:space="preserve"> </w:t>
      </w:r>
      <w:r w:rsidR="00CA04BF" w:rsidRPr="00B76260">
        <w:rPr>
          <w:color w:val="000000" w:themeColor="text1"/>
        </w:rPr>
        <w:t>Weinberg</w:t>
      </w:r>
      <w:r w:rsidR="009A0847">
        <w:rPr>
          <w:color w:val="000000" w:themeColor="text1"/>
        </w:rPr>
        <w:t xml:space="preserve"> </w:t>
      </w:r>
      <w:r w:rsidR="00CA04BF" w:rsidRPr="00B76260">
        <w:rPr>
          <w:color w:val="000000" w:themeColor="text1"/>
        </w:rPr>
        <w:t>(2013),</w:t>
      </w:r>
      <w:r w:rsidR="009A0847">
        <w:rPr>
          <w:color w:val="000000" w:themeColor="text1"/>
        </w:rPr>
        <w:t xml:space="preserve"> </w:t>
      </w:r>
      <w:r w:rsidR="00CA04BF" w:rsidRPr="00B76260">
        <w:rPr>
          <w:color w:val="000000" w:themeColor="text1"/>
        </w:rPr>
        <w:t>the</w:t>
      </w:r>
      <w:r w:rsidR="009A0847">
        <w:rPr>
          <w:color w:val="000000" w:themeColor="text1"/>
        </w:rPr>
        <w:t xml:space="preserve"> </w:t>
      </w:r>
      <w:r w:rsidR="00CA04BF" w:rsidRPr="00B76260">
        <w:rPr>
          <w:color w:val="000000" w:themeColor="text1"/>
        </w:rPr>
        <w:t>cost</w:t>
      </w:r>
      <w:r w:rsidR="009A0847">
        <w:rPr>
          <w:color w:val="000000" w:themeColor="text1"/>
        </w:rPr>
        <w:t xml:space="preserve"> </w:t>
      </w:r>
      <w:r w:rsidR="00CA04BF" w:rsidRPr="00B76260">
        <w:rPr>
          <w:color w:val="000000" w:themeColor="text1"/>
        </w:rPr>
        <w:t>of</w:t>
      </w:r>
      <w:r w:rsidR="009A0847">
        <w:rPr>
          <w:color w:val="000000" w:themeColor="text1"/>
        </w:rPr>
        <w:t xml:space="preserve"> </w:t>
      </w:r>
      <w:r w:rsidR="00CA04BF" w:rsidRPr="00B76260">
        <w:rPr>
          <w:color w:val="000000" w:themeColor="text1"/>
        </w:rPr>
        <w:t>the</w:t>
      </w:r>
      <w:r w:rsidR="009A0847">
        <w:rPr>
          <w:color w:val="000000" w:themeColor="text1"/>
        </w:rPr>
        <w:t xml:space="preserve"> </w:t>
      </w:r>
      <w:r w:rsidR="00CA04BF" w:rsidRPr="00B76260">
        <w:rPr>
          <w:color w:val="000000" w:themeColor="text1"/>
        </w:rPr>
        <w:t>alternative</w:t>
      </w:r>
      <w:r w:rsidR="009A0847">
        <w:rPr>
          <w:color w:val="000000" w:themeColor="text1"/>
        </w:rPr>
        <w:t xml:space="preserve"> </w:t>
      </w:r>
      <m:oMath>
        <m:r>
          <w:rPr>
            <w:rFonts w:ascii="Cambria Math" w:hAnsi="Cambria Math"/>
            <w:color w:val="000000" w:themeColor="text1"/>
          </w:rPr>
          <m:t>c</m:t>
        </m:r>
      </m:oMath>
      <w:r w:rsidR="009A0847">
        <w:rPr>
          <w:color w:val="000000" w:themeColor="text1"/>
        </w:rPr>
        <w:t xml:space="preserve"> </w:t>
      </w:r>
      <w:r w:rsidR="00CA04BF" w:rsidRPr="00B76260">
        <w:rPr>
          <w:color w:val="000000" w:themeColor="text1"/>
        </w:rPr>
        <w:t>is</w:t>
      </w:r>
      <w:r w:rsidR="009A0847">
        <w:rPr>
          <w:color w:val="000000" w:themeColor="text1"/>
        </w:rPr>
        <w:t xml:space="preserve"> </w:t>
      </w:r>
      <w:r w:rsidR="00CA04BF" w:rsidRPr="00B76260">
        <w:rPr>
          <w:color w:val="000000" w:themeColor="text1"/>
        </w:rPr>
        <w:t>higher</w:t>
      </w:r>
      <w:r w:rsidR="009A0847">
        <w:rPr>
          <w:color w:val="000000" w:themeColor="text1"/>
        </w:rPr>
        <w:t xml:space="preserve"> </w:t>
      </w:r>
      <w:r w:rsidR="00CA04BF" w:rsidRPr="00B76260">
        <w:rPr>
          <w:color w:val="000000" w:themeColor="text1"/>
        </w:rPr>
        <w:t>than</w:t>
      </w:r>
      <w:r w:rsidR="009A0847">
        <w:rPr>
          <w:color w:val="000000" w:themeColor="text1"/>
        </w:rPr>
        <w:t xml:space="preserve"> </w:t>
      </w:r>
      <w:r w:rsidR="00CA04BF" w:rsidRPr="00B76260">
        <w:rPr>
          <w:color w:val="000000" w:themeColor="text1"/>
        </w:rPr>
        <w:t>the</w:t>
      </w:r>
      <w:r w:rsidR="009A0847">
        <w:rPr>
          <w:color w:val="000000" w:themeColor="text1"/>
        </w:rPr>
        <w:t xml:space="preserve"> </w:t>
      </w:r>
      <w:r w:rsidR="00CA04BF" w:rsidRPr="00B76260">
        <w:rPr>
          <w:color w:val="000000" w:themeColor="text1"/>
        </w:rPr>
        <w:t>DW</w:t>
      </w:r>
      <w:r w:rsidR="009A0847">
        <w:rPr>
          <w:color w:val="000000" w:themeColor="text1"/>
        </w:rPr>
        <w:t xml:space="preserve"> </w:t>
      </w:r>
      <w:r w:rsidR="00CA04BF" w:rsidRPr="00B76260">
        <w:rPr>
          <w:color w:val="000000" w:themeColor="text1"/>
        </w:rPr>
        <w:t>rate</w:t>
      </w:r>
      <w:r w:rsidR="009A0847">
        <w:rPr>
          <w:color w:val="000000" w:themeColor="text1"/>
        </w:rPr>
        <w:t xml:space="preserve"> </w:t>
      </w:r>
      <w:r w:rsidR="00CA04BF" w:rsidRPr="00B76260">
        <w:rPr>
          <w:color w:val="000000" w:themeColor="text1"/>
        </w:rPr>
        <w:t>as</w:t>
      </w:r>
      <w:r w:rsidR="009A0847">
        <w:rPr>
          <w:color w:val="000000" w:themeColor="text1"/>
        </w:rPr>
        <w:t xml:space="preserve"> </w:t>
      </w:r>
      <w:r w:rsidR="00CA04BF" w:rsidRPr="00B76260">
        <w:rPr>
          <w:color w:val="000000" w:themeColor="text1"/>
        </w:rPr>
        <w:t>it</w:t>
      </w:r>
      <w:r w:rsidR="009A0847">
        <w:rPr>
          <w:color w:val="000000" w:themeColor="text1"/>
        </w:rPr>
        <w:t xml:space="preserve"> </w:t>
      </w:r>
      <w:r w:rsidR="00CA04BF" w:rsidRPr="00B76260">
        <w:rPr>
          <w:color w:val="000000" w:themeColor="text1"/>
        </w:rPr>
        <w:t>captures</w:t>
      </w:r>
      <w:r w:rsidR="009A0847">
        <w:rPr>
          <w:color w:val="000000" w:themeColor="text1"/>
        </w:rPr>
        <w:t xml:space="preserve"> </w:t>
      </w:r>
      <w:r w:rsidR="00CA04BF" w:rsidRPr="00B76260">
        <w:rPr>
          <w:color w:val="000000" w:themeColor="text1"/>
        </w:rPr>
        <w:t>both</w:t>
      </w:r>
      <w:r w:rsidR="009A0847">
        <w:rPr>
          <w:color w:val="000000" w:themeColor="text1"/>
        </w:rPr>
        <w:t xml:space="preserve"> </w:t>
      </w:r>
      <w:r w:rsidR="00CA04BF" w:rsidRPr="00B76260">
        <w:rPr>
          <w:color w:val="000000" w:themeColor="text1"/>
        </w:rPr>
        <w:t>monetary</w:t>
      </w:r>
      <w:r w:rsidR="009A0847">
        <w:rPr>
          <w:color w:val="000000" w:themeColor="text1"/>
        </w:rPr>
        <w:t xml:space="preserve"> </w:t>
      </w:r>
      <w:r w:rsidR="00CA04BF" w:rsidRPr="00B76260">
        <w:rPr>
          <w:color w:val="000000" w:themeColor="text1"/>
        </w:rPr>
        <w:t>(e.g.</w:t>
      </w:r>
      <w:r w:rsidR="009A0847">
        <w:rPr>
          <w:color w:val="000000" w:themeColor="text1"/>
        </w:rPr>
        <w:t xml:space="preserve"> </w:t>
      </w:r>
      <w:r w:rsidR="00CA04BF" w:rsidRPr="00B76260">
        <w:rPr>
          <w:color w:val="000000" w:themeColor="text1"/>
        </w:rPr>
        <w:t>losses</w:t>
      </w:r>
      <w:r w:rsidR="009A0847">
        <w:rPr>
          <w:color w:val="000000" w:themeColor="text1"/>
        </w:rPr>
        <w:t xml:space="preserve"> </w:t>
      </w:r>
      <w:r w:rsidR="00CA04BF" w:rsidRPr="00B76260">
        <w:rPr>
          <w:color w:val="000000" w:themeColor="text1"/>
        </w:rPr>
        <w:t>from</w:t>
      </w:r>
      <w:r w:rsidR="009A0847">
        <w:rPr>
          <w:color w:val="000000" w:themeColor="text1"/>
        </w:rPr>
        <w:t xml:space="preserve"> </w:t>
      </w:r>
      <w:r w:rsidR="00CA04BF" w:rsidRPr="00B76260">
        <w:rPr>
          <w:color w:val="000000" w:themeColor="text1"/>
        </w:rPr>
        <w:t>fire</w:t>
      </w:r>
      <w:r w:rsidR="009A0847">
        <w:rPr>
          <w:color w:val="000000" w:themeColor="text1"/>
        </w:rPr>
        <w:t xml:space="preserve"> </w:t>
      </w:r>
      <w:r w:rsidR="00CA04BF" w:rsidRPr="00B76260">
        <w:rPr>
          <w:color w:val="000000" w:themeColor="text1"/>
        </w:rPr>
        <w:t>sales)</w:t>
      </w:r>
      <w:r w:rsidR="009A0847">
        <w:rPr>
          <w:color w:val="000000" w:themeColor="text1"/>
        </w:rPr>
        <w:t xml:space="preserve"> </w:t>
      </w:r>
      <w:r w:rsidR="00CA04BF" w:rsidRPr="00B76260">
        <w:rPr>
          <w:color w:val="000000" w:themeColor="text1"/>
        </w:rPr>
        <w:t>and</w:t>
      </w:r>
      <w:r w:rsidR="009A0847">
        <w:rPr>
          <w:color w:val="000000" w:themeColor="text1"/>
        </w:rPr>
        <w:t xml:space="preserve"> </w:t>
      </w:r>
      <w:r w:rsidR="00CA04BF" w:rsidRPr="00B76260">
        <w:rPr>
          <w:color w:val="000000" w:themeColor="text1"/>
        </w:rPr>
        <w:t>non-monetary</w:t>
      </w:r>
      <w:r w:rsidR="009A0847">
        <w:rPr>
          <w:color w:val="000000" w:themeColor="text1"/>
        </w:rPr>
        <w:t xml:space="preserve"> </w:t>
      </w:r>
      <w:r w:rsidR="00CA04BF" w:rsidRPr="00B76260">
        <w:rPr>
          <w:color w:val="000000" w:themeColor="text1"/>
        </w:rPr>
        <w:t>(e.g.</w:t>
      </w:r>
      <w:r w:rsidR="009A0847">
        <w:rPr>
          <w:color w:val="000000" w:themeColor="text1"/>
        </w:rPr>
        <w:t xml:space="preserve"> </w:t>
      </w:r>
      <w:r w:rsidR="00CA04BF" w:rsidRPr="00B76260">
        <w:rPr>
          <w:color w:val="000000" w:themeColor="text1"/>
        </w:rPr>
        <w:t>loss</w:t>
      </w:r>
      <w:r w:rsidR="009A0847">
        <w:rPr>
          <w:color w:val="000000" w:themeColor="text1"/>
        </w:rPr>
        <w:t xml:space="preserve"> </w:t>
      </w:r>
      <w:r w:rsidR="00CA04BF" w:rsidRPr="00B76260">
        <w:rPr>
          <w:color w:val="000000" w:themeColor="text1"/>
        </w:rPr>
        <w:t>of</w:t>
      </w:r>
      <w:r w:rsidR="009A0847">
        <w:rPr>
          <w:color w:val="000000" w:themeColor="text1"/>
        </w:rPr>
        <w:t xml:space="preserve"> </w:t>
      </w:r>
      <w:r w:rsidR="00CA04BF" w:rsidRPr="00B76260">
        <w:rPr>
          <w:color w:val="000000" w:themeColor="text1"/>
        </w:rPr>
        <w:t>reputation)</w:t>
      </w:r>
      <w:r w:rsidR="009A0847">
        <w:rPr>
          <w:color w:val="000000" w:themeColor="text1"/>
        </w:rPr>
        <w:t xml:space="preserve"> </w:t>
      </w:r>
      <w:r w:rsidR="00CA04BF" w:rsidRPr="00B76260">
        <w:rPr>
          <w:color w:val="000000" w:themeColor="text1"/>
        </w:rPr>
        <w:t>elements.</w:t>
      </w:r>
      <w:r w:rsidR="009A0847">
        <w:rPr>
          <w:color w:val="000000" w:themeColor="text1"/>
        </w:rPr>
        <w:t xml:space="preserve"> </w:t>
      </w:r>
    </w:p>
    <w:p w14:paraId="17519435" w14:textId="0AD14312" w:rsidR="00F27466" w:rsidRDefault="00C12F78" w:rsidP="00F86E09">
      <w:pPr>
        <w:pStyle w:val="Olivier1"/>
        <w:widowControl w:val="0"/>
        <w:ind w:firstLine="360"/>
        <w:rPr>
          <w:color w:val="000000" w:themeColor="text1"/>
        </w:rPr>
      </w:pPr>
      <w:r w:rsidRPr="00E46305">
        <w:rPr>
          <w:color w:val="000000" w:themeColor="text1"/>
        </w:rPr>
        <w:t>In</w:t>
      </w:r>
      <w:r w:rsidR="009A0847">
        <w:rPr>
          <w:color w:val="000000" w:themeColor="text1"/>
        </w:rPr>
        <w:t xml:space="preserve"> </w:t>
      </w:r>
      <w:r w:rsidRPr="00E46305">
        <w:rPr>
          <w:color w:val="000000" w:themeColor="text1"/>
        </w:rPr>
        <w:t>period</w:t>
      </w:r>
      <w:r w:rsidR="009A0847">
        <w:rPr>
          <w:color w:val="000000" w:themeColor="text1"/>
        </w:rPr>
        <w:t xml:space="preserve"> </w:t>
      </w:r>
      <w:r w:rsidRPr="00E46305">
        <w:rPr>
          <w:color w:val="000000" w:themeColor="text1"/>
        </w:rPr>
        <w:t>2,</w:t>
      </w:r>
      <w:r w:rsidR="009A0847">
        <w:rPr>
          <w:color w:val="000000" w:themeColor="text1"/>
        </w:rPr>
        <w:t xml:space="preserve"> </w:t>
      </w:r>
      <w:r w:rsidRPr="00E46305">
        <w:rPr>
          <w:color w:val="000000" w:themeColor="text1"/>
        </w:rPr>
        <w:t>the</w:t>
      </w:r>
      <w:r w:rsidR="009A0847">
        <w:rPr>
          <w:color w:val="000000" w:themeColor="text1"/>
        </w:rPr>
        <w:t xml:space="preserve"> </w:t>
      </w:r>
      <w:r w:rsidRPr="00E46305">
        <w:rPr>
          <w:color w:val="000000" w:themeColor="text1"/>
        </w:rPr>
        <w:t>investor</w:t>
      </w:r>
      <w:r w:rsidR="009A0847">
        <w:rPr>
          <w:color w:val="000000" w:themeColor="text1"/>
        </w:rPr>
        <w:t xml:space="preserve"> </w:t>
      </w:r>
      <w:r w:rsidRPr="00E46305">
        <w:rPr>
          <w:color w:val="000000" w:themeColor="text1"/>
        </w:rPr>
        <w:t>decides</w:t>
      </w:r>
      <w:r w:rsidR="009A0847">
        <w:rPr>
          <w:color w:val="000000" w:themeColor="text1"/>
        </w:rPr>
        <w:t xml:space="preserve"> </w:t>
      </w:r>
      <w:r w:rsidRPr="00E46305">
        <w:rPr>
          <w:color w:val="000000" w:themeColor="text1"/>
        </w:rPr>
        <w:t>whether</w:t>
      </w:r>
      <w:r w:rsidR="009A0847">
        <w:rPr>
          <w:color w:val="000000" w:themeColor="text1"/>
        </w:rPr>
        <w:t xml:space="preserve"> </w:t>
      </w:r>
      <w:r w:rsidRPr="00E46305">
        <w:rPr>
          <w:color w:val="000000" w:themeColor="text1"/>
        </w:rPr>
        <w:t>or</w:t>
      </w:r>
      <w:r w:rsidR="009A0847">
        <w:rPr>
          <w:color w:val="000000" w:themeColor="text1"/>
        </w:rPr>
        <w:t xml:space="preserve"> </w:t>
      </w:r>
      <w:r w:rsidRPr="00E46305">
        <w:rPr>
          <w:color w:val="000000" w:themeColor="text1"/>
        </w:rPr>
        <w:t>not</w:t>
      </w:r>
      <w:r w:rsidR="009A0847">
        <w:rPr>
          <w:color w:val="000000" w:themeColor="text1"/>
        </w:rPr>
        <w:t xml:space="preserve"> </w:t>
      </w:r>
      <w:r w:rsidRPr="00E46305">
        <w:rPr>
          <w:color w:val="000000" w:themeColor="text1"/>
        </w:rPr>
        <w:t>to</w:t>
      </w:r>
      <w:r w:rsidR="009A0847">
        <w:rPr>
          <w:color w:val="000000" w:themeColor="text1"/>
        </w:rPr>
        <w:t xml:space="preserve"> </w:t>
      </w:r>
      <w:r w:rsidRPr="00E46305">
        <w:rPr>
          <w:color w:val="000000" w:themeColor="text1"/>
        </w:rPr>
        <w:t>take</w:t>
      </w:r>
      <w:r w:rsidR="009A0847">
        <w:rPr>
          <w:color w:val="000000" w:themeColor="text1"/>
        </w:rPr>
        <w:t xml:space="preserve"> </w:t>
      </w:r>
      <w:r w:rsidRPr="00E46305">
        <w:rPr>
          <w:color w:val="000000" w:themeColor="text1"/>
        </w:rPr>
        <w:t>a</w:t>
      </w:r>
      <w:r w:rsidR="009A0847">
        <w:rPr>
          <w:color w:val="000000" w:themeColor="text1"/>
        </w:rPr>
        <w:t xml:space="preserve"> </w:t>
      </w:r>
      <w:r w:rsidRPr="00E46305">
        <w:rPr>
          <w:color w:val="000000" w:themeColor="text1"/>
        </w:rPr>
        <w:t>stake</w:t>
      </w:r>
      <w:r w:rsidR="009A0847">
        <w:rPr>
          <w:color w:val="000000" w:themeColor="text1"/>
        </w:rPr>
        <w:t xml:space="preserve"> </w:t>
      </w:r>
      <w:r w:rsidRPr="00E46305">
        <w:rPr>
          <w:color w:val="000000" w:themeColor="text1"/>
        </w:rPr>
        <w:t>in</w:t>
      </w:r>
      <w:r w:rsidR="009A0847">
        <w:rPr>
          <w:color w:val="000000" w:themeColor="text1"/>
        </w:rPr>
        <w:t xml:space="preserve"> </w:t>
      </w:r>
      <w:r w:rsidRPr="00E46305">
        <w:rPr>
          <w:color w:val="000000" w:themeColor="text1"/>
        </w:rPr>
        <w:t>the</w:t>
      </w:r>
      <w:r w:rsidR="009A0847">
        <w:rPr>
          <w:color w:val="000000" w:themeColor="text1"/>
        </w:rPr>
        <w:t xml:space="preserve"> </w:t>
      </w:r>
      <w:r w:rsidRPr="00E46305">
        <w:rPr>
          <w:color w:val="000000" w:themeColor="text1"/>
        </w:rPr>
        <w:t>bank.</w:t>
      </w:r>
      <w:r w:rsidR="009A0847">
        <w:rPr>
          <w:color w:val="000000" w:themeColor="text1"/>
        </w:rPr>
        <w:t xml:space="preserve"> </w:t>
      </w:r>
      <w:r w:rsidRPr="00E46305">
        <w:rPr>
          <w:color w:val="000000" w:themeColor="text1"/>
        </w:rPr>
        <w:t>To</w:t>
      </w:r>
      <w:r w:rsidR="009A0847">
        <w:rPr>
          <w:color w:val="000000" w:themeColor="text1"/>
        </w:rPr>
        <w:t xml:space="preserve"> </w:t>
      </w:r>
      <w:r w:rsidRPr="00E46305">
        <w:rPr>
          <w:color w:val="000000" w:themeColor="text1"/>
        </w:rPr>
        <w:t>simplify,</w:t>
      </w:r>
      <w:r w:rsidR="009A0847">
        <w:rPr>
          <w:color w:val="000000" w:themeColor="text1"/>
        </w:rPr>
        <w:t xml:space="preserve"> </w:t>
      </w:r>
      <w:r w:rsidRPr="00E46305">
        <w:rPr>
          <w:color w:val="000000" w:themeColor="text1"/>
        </w:rPr>
        <w:t>we</w:t>
      </w:r>
      <w:r w:rsidR="009A0847">
        <w:rPr>
          <w:color w:val="000000" w:themeColor="text1"/>
        </w:rPr>
        <w:t xml:space="preserve"> </w:t>
      </w:r>
      <w:r w:rsidRPr="00E46305">
        <w:rPr>
          <w:color w:val="000000" w:themeColor="text1"/>
        </w:rPr>
        <w:t>say</w:t>
      </w:r>
      <w:r w:rsidR="009A0847">
        <w:rPr>
          <w:color w:val="000000" w:themeColor="text1"/>
        </w:rPr>
        <w:t xml:space="preserve"> </w:t>
      </w:r>
      <w:r w:rsidRPr="00E46305">
        <w:rPr>
          <w:color w:val="000000" w:themeColor="text1"/>
        </w:rPr>
        <w:t>that</w:t>
      </w:r>
      <w:r w:rsidR="009A0847">
        <w:rPr>
          <w:color w:val="000000" w:themeColor="text1"/>
        </w:rPr>
        <w:t xml:space="preserve"> </w:t>
      </w:r>
      <w:r w:rsidRPr="00E46305">
        <w:rPr>
          <w:color w:val="000000" w:themeColor="text1"/>
        </w:rPr>
        <w:t>the</w:t>
      </w:r>
      <w:r w:rsidR="009A0847">
        <w:rPr>
          <w:color w:val="000000" w:themeColor="text1"/>
        </w:rPr>
        <w:t xml:space="preserve"> </w:t>
      </w:r>
      <w:r w:rsidRPr="00E46305">
        <w:rPr>
          <w:color w:val="000000" w:themeColor="text1"/>
        </w:rPr>
        <w:t>investor</w:t>
      </w:r>
      <w:r w:rsidR="009A0847">
        <w:rPr>
          <w:color w:val="000000" w:themeColor="text1"/>
        </w:rPr>
        <w:t xml:space="preserve"> </w:t>
      </w:r>
      <w:r w:rsidRPr="00E46305">
        <w:rPr>
          <w:color w:val="000000" w:themeColor="text1"/>
        </w:rPr>
        <w:t>either</w:t>
      </w:r>
      <w:r w:rsidR="009A0847">
        <w:rPr>
          <w:color w:val="000000" w:themeColor="text1"/>
        </w:rPr>
        <w:t xml:space="preserve"> </w:t>
      </w:r>
      <w:r w:rsidRPr="00E46305">
        <w:rPr>
          <w:color w:val="000000" w:themeColor="text1"/>
        </w:rPr>
        <w:t>funds</w:t>
      </w:r>
      <w:r w:rsidR="009A0847">
        <w:rPr>
          <w:color w:val="000000" w:themeColor="text1"/>
        </w:rPr>
        <w:t xml:space="preserve"> </w:t>
      </w:r>
      <w:r w:rsidRPr="00E46305">
        <w:rPr>
          <w:color w:val="000000" w:themeColor="text1"/>
        </w:rPr>
        <w:t>or</w:t>
      </w:r>
      <w:r w:rsidR="009A0847">
        <w:rPr>
          <w:color w:val="000000" w:themeColor="text1"/>
        </w:rPr>
        <w:t xml:space="preserve"> </w:t>
      </w:r>
      <w:r w:rsidRPr="00E46305">
        <w:rPr>
          <w:color w:val="000000" w:themeColor="text1"/>
        </w:rPr>
        <w:t>does</w:t>
      </w:r>
      <w:r w:rsidR="009A0847">
        <w:rPr>
          <w:color w:val="000000" w:themeColor="text1"/>
        </w:rPr>
        <w:t xml:space="preserve"> </w:t>
      </w:r>
      <w:r w:rsidRPr="00E46305">
        <w:rPr>
          <w:color w:val="000000" w:themeColor="text1"/>
        </w:rPr>
        <w:t>not</w:t>
      </w:r>
      <w:r w:rsidR="009A0847">
        <w:rPr>
          <w:color w:val="000000" w:themeColor="text1"/>
        </w:rPr>
        <w:t xml:space="preserve"> </w:t>
      </w:r>
      <w:r w:rsidRPr="00E46305">
        <w:rPr>
          <w:color w:val="000000" w:themeColor="text1"/>
        </w:rPr>
        <w:t>fund</w:t>
      </w:r>
      <w:r w:rsidR="009A0847">
        <w:rPr>
          <w:color w:val="000000" w:themeColor="text1"/>
        </w:rPr>
        <w:t xml:space="preserve"> </w:t>
      </w:r>
      <w:r w:rsidRPr="00E46305">
        <w:rPr>
          <w:color w:val="000000" w:themeColor="text1"/>
        </w:rPr>
        <w:t>the</w:t>
      </w:r>
      <w:r w:rsidR="009A0847">
        <w:rPr>
          <w:color w:val="000000" w:themeColor="text1"/>
        </w:rPr>
        <w:t xml:space="preserve"> </w:t>
      </w:r>
      <w:r w:rsidRPr="00E46305">
        <w:rPr>
          <w:color w:val="000000" w:themeColor="text1"/>
        </w:rPr>
        <w:t>bank.</w:t>
      </w:r>
      <w:r w:rsidR="009A0847">
        <w:rPr>
          <w:color w:val="000000" w:themeColor="text1"/>
        </w:rPr>
        <w:t xml:space="preserve"> </w:t>
      </w:r>
      <w:r w:rsidRPr="00E46305">
        <w:rPr>
          <w:color w:val="000000" w:themeColor="text1"/>
        </w:rPr>
        <w:t>When</w:t>
      </w:r>
      <w:r w:rsidR="009A0847">
        <w:rPr>
          <w:color w:val="000000" w:themeColor="text1"/>
        </w:rPr>
        <w:t xml:space="preserve"> </w:t>
      </w:r>
      <w:r w:rsidRPr="00E46305">
        <w:rPr>
          <w:color w:val="000000" w:themeColor="text1"/>
        </w:rPr>
        <w:t>the</w:t>
      </w:r>
      <w:r w:rsidR="009A0847">
        <w:rPr>
          <w:color w:val="000000" w:themeColor="text1"/>
        </w:rPr>
        <w:t xml:space="preserve"> </w:t>
      </w:r>
      <w:r w:rsidRPr="00E46305">
        <w:rPr>
          <w:color w:val="000000" w:themeColor="text1"/>
        </w:rPr>
        <w:t>investor</w:t>
      </w:r>
      <w:r w:rsidR="009A0847">
        <w:rPr>
          <w:color w:val="000000" w:themeColor="text1"/>
        </w:rPr>
        <w:t xml:space="preserve"> </w:t>
      </w:r>
      <w:r w:rsidRPr="00E46305">
        <w:rPr>
          <w:color w:val="000000" w:themeColor="text1"/>
        </w:rPr>
        <w:t>does</w:t>
      </w:r>
      <w:r w:rsidR="009A0847">
        <w:rPr>
          <w:color w:val="000000" w:themeColor="text1"/>
        </w:rPr>
        <w:t xml:space="preserve"> </w:t>
      </w:r>
      <w:r w:rsidRPr="00E46305">
        <w:rPr>
          <w:color w:val="000000" w:themeColor="text1"/>
        </w:rPr>
        <w:t>not</w:t>
      </w:r>
      <w:r w:rsidR="009A0847">
        <w:rPr>
          <w:color w:val="000000" w:themeColor="text1"/>
        </w:rPr>
        <w:t xml:space="preserve"> </w:t>
      </w:r>
      <w:r w:rsidRPr="00E46305">
        <w:rPr>
          <w:color w:val="000000" w:themeColor="text1"/>
        </w:rPr>
        <w:t>fund</w:t>
      </w:r>
      <w:r w:rsidR="009A0847">
        <w:rPr>
          <w:color w:val="000000" w:themeColor="text1"/>
        </w:rPr>
        <w:t xml:space="preserve"> </w:t>
      </w:r>
      <w:r w:rsidRPr="00E46305">
        <w:rPr>
          <w:color w:val="000000" w:themeColor="text1"/>
        </w:rPr>
        <w:t>the</w:t>
      </w:r>
      <w:r w:rsidR="009A0847">
        <w:rPr>
          <w:color w:val="000000" w:themeColor="text1"/>
        </w:rPr>
        <w:t xml:space="preserve"> </w:t>
      </w:r>
      <w:r w:rsidRPr="00E46305">
        <w:rPr>
          <w:color w:val="000000" w:themeColor="text1"/>
        </w:rPr>
        <w:t>bank,</w:t>
      </w:r>
      <w:r w:rsidR="009A0847">
        <w:rPr>
          <w:color w:val="000000" w:themeColor="text1"/>
        </w:rPr>
        <w:t xml:space="preserve"> </w:t>
      </w:r>
      <w:r w:rsidRPr="00E46305">
        <w:rPr>
          <w:color w:val="000000" w:themeColor="text1"/>
        </w:rPr>
        <w:t>the</w:t>
      </w:r>
      <w:r w:rsidR="009A0847">
        <w:rPr>
          <w:color w:val="000000" w:themeColor="text1"/>
        </w:rPr>
        <w:t xml:space="preserve"> </w:t>
      </w:r>
      <w:r w:rsidRPr="00E46305">
        <w:rPr>
          <w:color w:val="000000" w:themeColor="text1"/>
        </w:rPr>
        <w:t>bank</w:t>
      </w:r>
      <w:r w:rsidR="009A0847">
        <w:rPr>
          <w:color w:val="000000" w:themeColor="text1"/>
        </w:rPr>
        <w:t xml:space="preserve"> </w:t>
      </w:r>
      <w:r w:rsidRPr="00E46305">
        <w:rPr>
          <w:color w:val="000000" w:themeColor="text1"/>
        </w:rPr>
        <w:t>effectively</w:t>
      </w:r>
      <w:r w:rsidR="009A0847">
        <w:rPr>
          <w:color w:val="000000" w:themeColor="text1"/>
        </w:rPr>
        <w:t xml:space="preserve"> </w:t>
      </w:r>
      <w:r w:rsidRPr="00E46305">
        <w:rPr>
          <w:color w:val="000000" w:themeColor="text1"/>
        </w:rPr>
        <w:t>ceases</w:t>
      </w:r>
      <w:r w:rsidR="009A0847">
        <w:rPr>
          <w:color w:val="000000" w:themeColor="text1"/>
        </w:rPr>
        <w:t xml:space="preserve"> </w:t>
      </w:r>
      <w:r w:rsidRPr="00E46305">
        <w:rPr>
          <w:color w:val="000000" w:themeColor="text1"/>
        </w:rPr>
        <w:t>to</w:t>
      </w:r>
      <w:r w:rsidR="009A0847">
        <w:rPr>
          <w:color w:val="000000" w:themeColor="text1"/>
        </w:rPr>
        <w:t xml:space="preserve"> </w:t>
      </w:r>
      <w:r w:rsidRPr="00E46305">
        <w:rPr>
          <w:color w:val="000000" w:themeColor="text1"/>
        </w:rPr>
        <w:t>operate.</w:t>
      </w:r>
      <w:r w:rsidR="009A0847">
        <w:rPr>
          <w:color w:val="000000" w:themeColor="text1"/>
        </w:rPr>
        <w:t xml:space="preserve"> </w:t>
      </w:r>
      <w:r w:rsidRPr="00E46305">
        <w:rPr>
          <w:color w:val="000000" w:themeColor="text1"/>
        </w:rPr>
        <w:t>In</w:t>
      </w:r>
      <w:r w:rsidR="009A0847">
        <w:rPr>
          <w:color w:val="000000" w:themeColor="text1"/>
        </w:rPr>
        <w:t xml:space="preserve"> </w:t>
      </w:r>
      <w:r w:rsidRPr="00E46305">
        <w:rPr>
          <w:color w:val="000000" w:themeColor="text1"/>
        </w:rPr>
        <w:t>this</w:t>
      </w:r>
      <w:r w:rsidR="009A0847">
        <w:rPr>
          <w:color w:val="000000" w:themeColor="text1"/>
        </w:rPr>
        <w:t xml:space="preserve"> </w:t>
      </w:r>
      <w:r w:rsidRPr="00E46305">
        <w:rPr>
          <w:color w:val="000000" w:themeColor="text1"/>
        </w:rPr>
        <w:t>case,</w:t>
      </w:r>
      <w:r w:rsidR="009A0847">
        <w:rPr>
          <w:color w:val="000000" w:themeColor="text1"/>
        </w:rPr>
        <w:t xml:space="preserve"> </w:t>
      </w:r>
      <w:r w:rsidRPr="00E46305">
        <w:rPr>
          <w:color w:val="000000" w:themeColor="text1"/>
        </w:rPr>
        <w:t>the</w:t>
      </w:r>
      <w:r w:rsidR="009A0847">
        <w:rPr>
          <w:color w:val="000000" w:themeColor="text1"/>
        </w:rPr>
        <w:t xml:space="preserve"> </w:t>
      </w:r>
      <w:r w:rsidRPr="00E46305">
        <w:rPr>
          <w:color w:val="000000" w:themeColor="text1"/>
        </w:rPr>
        <w:t>investor</w:t>
      </w:r>
      <w:r w:rsidR="009A0847">
        <w:rPr>
          <w:color w:val="000000" w:themeColor="text1"/>
        </w:rPr>
        <w:t xml:space="preserve"> </w:t>
      </w:r>
      <w:r w:rsidRPr="00E46305">
        <w:rPr>
          <w:color w:val="000000" w:themeColor="text1"/>
        </w:rPr>
        <w:t>gets</w:t>
      </w:r>
      <w:r w:rsidR="009A0847">
        <w:rPr>
          <w:color w:val="000000" w:themeColor="text1"/>
        </w:rPr>
        <w:t xml:space="preserve"> </w:t>
      </w:r>
      <w:r w:rsidRPr="00E46305">
        <w:rPr>
          <w:color w:val="000000" w:themeColor="text1"/>
        </w:rPr>
        <w:t>an</w:t>
      </w:r>
      <w:r w:rsidR="009A0847">
        <w:rPr>
          <w:color w:val="000000" w:themeColor="text1"/>
        </w:rPr>
        <w:t xml:space="preserve"> </w:t>
      </w:r>
      <w:r w:rsidRPr="00E46305">
        <w:rPr>
          <w:color w:val="000000" w:themeColor="text1"/>
        </w:rPr>
        <w:t>outside</w:t>
      </w:r>
      <w:r w:rsidR="009A0847">
        <w:rPr>
          <w:color w:val="000000" w:themeColor="text1"/>
        </w:rPr>
        <w:t xml:space="preserve"> </w:t>
      </w:r>
      <w:r w:rsidRPr="00E46305">
        <w:rPr>
          <w:color w:val="000000" w:themeColor="text1"/>
        </w:rPr>
        <w:t>option</w:t>
      </w:r>
      <w:r w:rsidR="009A0847">
        <w:rPr>
          <w:color w:val="000000" w:themeColor="text1"/>
        </w:rPr>
        <w:t xml:space="preserve"> </w:t>
      </w:r>
      <m:oMath>
        <m:r>
          <w:rPr>
            <w:rFonts w:ascii="Cambria Math" w:hAnsi="Cambria Math"/>
            <w:color w:val="000000" w:themeColor="text1"/>
            <w:sz w:val="22"/>
            <w:szCs w:val="22"/>
          </w:rPr>
          <m:t>v</m:t>
        </m:r>
      </m:oMath>
      <w:r w:rsidR="009A0847">
        <w:rPr>
          <w:color w:val="000000" w:themeColor="text1"/>
        </w:rPr>
        <w:t xml:space="preserve"> </w:t>
      </w:r>
      <w:r w:rsidRPr="00E46305">
        <w:rPr>
          <w:color w:val="000000" w:themeColor="text1"/>
        </w:rPr>
        <w:t>and</w:t>
      </w:r>
      <w:r w:rsidR="009A0847">
        <w:rPr>
          <w:color w:val="000000" w:themeColor="text1"/>
        </w:rPr>
        <w:t xml:space="preserve"> </w:t>
      </w:r>
      <w:r w:rsidRPr="00E46305">
        <w:rPr>
          <w:color w:val="000000" w:themeColor="text1"/>
        </w:rPr>
        <w:t>the</w:t>
      </w:r>
      <w:r w:rsidR="009A0847">
        <w:rPr>
          <w:color w:val="000000" w:themeColor="text1"/>
        </w:rPr>
        <w:t xml:space="preserve"> </w:t>
      </w:r>
      <w:r w:rsidRPr="00E46305">
        <w:rPr>
          <w:color w:val="000000" w:themeColor="text1"/>
        </w:rPr>
        <w:t>bank</w:t>
      </w:r>
      <w:r w:rsidR="009A0847">
        <w:rPr>
          <w:color w:val="000000" w:themeColor="text1"/>
        </w:rPr>
        <w:t xml:space="preserve"> </w:t>
      </w:r>
      <w:r w:rsidRPr="00E46305">
        <w:rPr>
          <w:color w:val="000000" w:themeColor="text1"/>
        </w:rPr>
        <w:t>gets</w:t>
      </w:r>
      <w:r w:rsidR="009A0847">
        <w:rPr>
          <w:color w:val="000000" w:themeColor="text1"/>
        </w:rPr>
        <w:t xml:space="preserve"> </w:t>
      </w:r>
      <w:r w:rsidRPr="00E46305">
        <w:rPr>
          <w:color w:val="000000" w:themeColor="text1"/>
        </w:rPr>
        <w:t>0</w:t>
      </w:r>
      <w:r w:rsidR="009A0847">
        <w:rPr>
          <w:color w:val="000000" w:themeColor="text1"/>
        </w:rPr>
        <w:t xml:space="preserve"> </w:t>
      </w:r>
      <w:r w:rsidRPr="008C4521">
        <w:rPr>
          <w:color w:val="000000" w:themeColor="text1"/>
        </w:rPr>
        <w:t>in</w:t>
      </w:r>
      <w:r w:rsidR="009A0847">
        <w:rPr>
          <w:color w:val="000000" w:themeColor="text1"/>
        </w:rPr>
        <w:t xml:space="preserve"> </w:t>
      </w:r>
      <w:r w:rsidRPr="008C4521">
        <w:rPr>
          <w:color w:val="000000" w:themeColor="text1"/>
        </w:rPr>
        <w:t>period</w:t>
      </w:r>
      <w:r w:rsidR="009A0847">
        <w:rPr>
          <w:color w:val="000000" w:themeColor="text1"/>
        </w:rPr>
        <w:t xml:space="preserve"> </w:t>
      </w:r>
      <w:r w:rsidRPr="008C4521">
        <w:rPr>
          <w:color w:val="000000" w:themeColor="text1"/>
        </w:rPr>
        <w:t>2.</w:t>
      </w:r>
      <w:r w:rsidR="009A0847">
        <w:rPr>
          <w:color w:val="000000" w:themeColor="text1"/>
        </w:rPr>
        <w:t xml:space="preserve"> </w:t>
      </w:r>
      <w:r w:rsidRPr="00E46305">
        <w:rPr>
          <w:color w:val="000000" w:themeColor="text1"/>
        </w:rPr>
        <w:t>If</w:t>
      </w:r>
      <w:r w:rsidR="009A0847">
        <w:rPr>
          <w:color w:val="000000" w:themeColor="text1"/>
        </w:rPr>
        <w:t xml:space="preserve"> </w:t>
      </w:r>
      <w:r w:rsidRPr="00E46305">
        <w:rPr>
          <w:color w:val="000000" w:themeColor="text1"/>
        </w:rPr>
        <w:t>the</w:t>
      </w:r>
      <w:r w:rsidR="009A0847">
        <w:rPr>
          <w:color w:val="000000" w:themeColor="text1"/>
        </w:rPr>
        <w:t xml:space="preserve"> </w:t>
      </w:r>
      <w:r w:rsidRPr="00E46305">
        <w:rPr>
          <w:color w:val="000000" w:themeColor="text1"/>
        </w:rPr>
        <w:t>investor</w:t>
      </w:r>
      <w:r w:rsidR="009A0847">
        <w:rPr>
          <w:color w:val="000000" w:themeColor="text1"/>
        </w:rPr>
        <w:t xml:space="preserve"> </w:t>
      </w:r>
      <w:r w:rsidRPr="00E46305">
        <w:rPr>
          <w:color w:val="000000" w:themeColor="text1"/>
        </w:rPr>
        <w:t>funds</w:t>
      </w:r>
      <w:r w:rsidR="009A0847">
        <w:rPr>
          <w:color w:val="000000" w:themeColor="text1"/>
        </w:rPr>
        <w:t xml:space="preserve"> </w:t>
      </w:r>
      <w:r w:rsidRPr="00E46305">
        <w:rPr>
          <w:color w:val="000000" w:themeColor="text1"/>
        </w:rPr>
        <w:t>the</w:t>
      </w:r>
      <w:r w:rsidR="009A0847">
        <w:rPr>
          <w:color w:val="000000" w:themeColor="text1"/>
        </w:rPr>
        <w:t xml:space="preserve"> </w:t>
      </w:r>
      <w:r w:rsidRPr="00E46305">
        <w:rPr>
          <w:color w:val="000000" w:themeColor="text1"/>
        </w:rPr>
        <w:t>bank,</w:t>
      </w:r>
      <w:r w:rsidR="009A0847">
        <w:rPr>
          <w:color w:val="000000" w:themeColor="text1"/>
        </w:rPr>
        <w:t xml:space="preserve"> </w:t>
      </w:r>
      <w:r w:rsidRPr="00E46305">
        <w:rPr>
          <w:color w:val="000000" w:themeColor="text1"/>
        </w:rPr>
        <w:t>then</w:t>
      </w:r>
      <w:r w:rsidR="009A0847">
        <w:rPr>
          <w:color w:val="000000" w:themeColor="text1"/>
        </w:rPr>
        <w:t xml:space="preserve"> </w:t>
      </w:r>
      <w:r w:rsidRPr="00E46305">
        <w:rPr>
          <w:color w:val="000000" w:themeColor="text1"/>
        </w:rPr>
        <w:t>the</w:t>
      </w:r>
      <w:r w:rsidR="009A0847">
        <w:rPr>
          <w:color w:val="000000" w:themeColor="text1"/>
        </w:rPr>
        <w:t xml:space="preserve"> </w:t>
      </w:r>
      <w:r w:rsidRPr="00E46305">
        <w:rPr>
          <w:color w:val="000000" w:themeColor="text1"/>
        </w:rPr>
        <w:t>investor</w:t>
      </w:r>
      <w:r w:rsidR="009A0847">
        <w:rPr>
          <w:color w:val="000000" w:themeColor="text1"/>
        </w:rPr>
        <w:t xml:space="preserve"> </w:t>
      </w:r>
      <w:r w:rsidRPr="00E46305">
        <w:rPr>
          <w:color w:val="000000" w:themeColor="text1"/>
        </w:rPr>
        <w:t>gets</w:t>
      </w:r>
      <w:r w:rsidR="009A0847">
        <w:rPr>
          <w:color w:val="000000" w:themeColor="text1"/>
        </w:rPr>
        <w:t xml:space="preserve"> </w:t>
      </w:r>
      <w:r w:rsidRPr="00E46305">
        <w:rPr>
          <w:color w:val="000000" w:themeColor="text1"/>
        </w:rPr>
        <w:t>0</w:t>
      </w:r>
      <w:r w:rsidR="009A0847">
        <w:rPr>
          <w:color w:val="000000" w:themeColor="text1"/>
        </w:rPr>
        <w:t xml:space="preserve"> </w:t>
      </w:r>
      <w:r w:rsidR="00CA49F2" w:rsidRPr="00E46305">
        <w:rPr>
          <w:color w:val="000000" w:themeColor="text1"/>
        </w:rPr>
        <w:t>if</w:t>
      </w:r>
      <w:r w:rsidR="009A0847">
        <w:rPr>
          <w:color w:val="000000" w:themeColor="text1"/>
        </w:rPr>
        <w:t xml:space="preserve"> </w:t>
      </w:r>
      <w:r w:rsidR="00CA49F2" w:rsidRPr="00E46305">
        <w:rPr>
          <w:color w:val="000000" w:themeColor="text1"/>
        </w:rPr>
        <w:t>the</w:t>
      </w:r>
      <w:r w:rsidR="009A0847">
        <w:rPr>
          <w:color w:val="000000" w:themeColor="text1"/>
        </w:rPr>
        <w:t xml:space="preserve"> </w:t>
      </w:r>
      <w:r w:rsidR="00CA49F2" w:rsidRPr="00E46305">
        <w:rPr>
          <w:color w:val="000000" w:themeColor="text1"/>
        </w:rPr>
        <w:t>bank</w:t>
      </w:r>
      <w:r w:rsidR="009A0847">
        <w:rPr>
          <w:color w:val="000000" w:themeColor="text1"/>
        </w:rPr>
        <w:t xml:space="preserve"> </w:t>
      </w:r>
      <w:r w:rsidR="00CA49F2" w:rsidRPr="00E46305">
        <w:rPr>
          <w:color w:val="000000" w:themeColor="text1"/>
        </w:rPr>
        <w:t>is</w:t>
      </w:r>
      <w:r w:rsidR="009A0847">
        <w:rPr>
          <w:color w:val="000000" w:themeColor="text1"/>
        </w:rPr>
        <w:t xml:space="preserve"> </w:t>
      </w:r>
      <w:r w:rsidR="00CA49F2" w:rsidRPr="00E46305">
        <w:rPr>
          <w:color w:val="000000" w:themeColor="text1"/>
        </w:rPr>
        <w:t>insolvent</w:t>
      </w:r>
      <w:r w:rsidR="009A0847">
        <w:rPr>
          <w:color w:val="000000" w:themeColor="text1"/>
        </w:rPr>
        <w:t xml:space="preserve"> </w:t>
      </w:r>
      <w:r w:rsidRPr="00E46305">
        <w:rPr>
          <w:color w:val="000000" w:themeColor="text1"/>
        </w:rPr>
        <w:t>or</w:t>
      </w:r>
      <w:r w:rsidR="009A0847">
        <w:rPr>
          <w:color w:val="000000" w:themeColor="text1"/>
        </w:rPr>
        <w:t xml:space="preserve"> </w:t>
      </w:r>
      <m:oMath>
        <m:r>
          <w:rPr>
            <w:rFonts w:ascii="Cambria Math" w:hAnsi="Cambria Math"/>
            <w:color w:val="000000" w:themeColor="text1"/>
            <w:sz w:val="22"/>
            <w:szCs w:val="22"/>
          </w:rPr>
          <m:t>V</m:t>
        </m:r>
      </m:oMath>
      <w:r w:rsidR="009A0847">
        <w:rPr>
          <w:color w:val="000000" w:themeColor="text1"/>
        </w:rPr>
        <w:t xml:space="preserve"> </w:t>
      </w:r>
      <w:r w:rsidR="00CA49F2" w:rsidRPr="00E46305">
        <w:rPr>
          <w:color w:val="000000" w:themeColor="text1"/>
        </w:rPr>
        <w:t>is</w:t>
      </w:r>
      <w:r w:rsidR="009A0847">
        <w:rPr>
          <w:color w:val="000000" w:themeColor="text1"/>
        </w:rPr>
        <w:t xml:space="preserve"> </w:t>
      </w:r>
      <w:r w:rsidR="00CA49F2" w:rsidRPr="00E46305">
        <w:rPr>
          <w:color w:val="000000" w:themeColor="text1"/>
        </w:rPr>
        <w:t>the</w:t>
      </w:r>
      <w:r w:rsidR="009A0847">
        <w:rPr>
          <w:color w:val="000000" w:themeColor="text1"/>
        </w:rPr>
        <w:t xml:space="preserve"> </w:t>
      </w:r>
      <w:r w:rsidR="00CA49F2" w:rsidRPr="00E46305">
        <w:rPr>
          <w:color w:val="000000" w:themeColor="text1"/>
        </w:rPr>
        <w:t>banks</w:t>
      </w:r>
      <w:r w:rsidR="009A0847">
        <w:rPr>
          <w:color w:val="000000" w:themeColor="text1"/>
        </w:rPr>
        <w:t xml:space="preserve"> </w:t>
      </w:r>
      <w:r w:rsidR="00CA49F2" w:rsidRPr="00E46305">
        <w:rPr>
          <w:color w:val="000000" w:themeColor="text1"/>
        </w:rPr>
        <w:t>is</w:t>
      </w:r>
      <w:r w:rsidR="009A0847">
        <w:rPr>
          <w:color w:val="000000" w:themeColor="text1"/>
        </w:rPr>
        <w:t xml:space="preserve"> </w:t>
      </w:r>
      <w:r w:rsidR="00CA49F2" w:rsidRPr="00E46305">
        <w:rPr>
          <w:color w:val="000000" w:themeColor="text1"/>
        </w:rPr>
        <w:t>solvent,</w:t>
      </w:r>
      <w:r w:rsidR="009A0847">
        <w:rPr>
          <w:color w:val="000000" w:themeColor="text1"/>
        </w:rPr>
        <w:t xml:space="preserve"> </w:t>
      </w:r>
      <w:r w:rsidR="00CA49F2" w:rsidRPr="00E46305">
        <w:rPr>
          <w:color w:val="000000" w:themeColor="text1"/>
        </w:rPr>
        <w:t>while</w:t>
      </w:r>
      <w:r w:rsidR="009A0847">
        <w:rPr>
          <w:color w:val="000000" w:themeColor="text1"/>
        </w:rPr>
        <w:t xml:space="preserve"> </w:t>
      </w:r>
      <w:r w:rsidR="008C4521">
        <w:rPr>
          <w:color w:val="000000" w:themeColor="text1"/>
        </w:rPr>
        <w:t>the</w:t>
      </w:r>
      <w:r w:rsidR="009A0847">
        <w:rPr>
          <w:color w:val="000000" w:themeColor="text1"/>
        </w:rPr>
        <w:t xml:space="preserve"> </w:t>
      </w:r>
      <w:r w:rsidR="008C4521">
        <w:rPr>
          <w:color w:val="000000" w:themeColor="text1"/>
        </w:rPr>
        <w:t>bank</w:t>
      </w:r>
      <w:r w:rsidR="009A0847">
        <w:rPr>
          <w:color w:val="000000" w:themeColor="text1"/>
        </w:rPr>
        <w:t xml:space="preserve"> </w:t>
      </w:r>
      <w:r w:rsidR="008C4521">
        <w:rPr>
          <w:color w:val="000000" w:themeColor="text1"/>
        </w:rPr>
        <w:t>gets</w:t>
      </w:r>
      <w:r w:rsidR="009A0847">
        <w:rPr>
          <w:color w:val="000000" w:themeColor="text1"/>
        </w:rPr>
        <w:t xml:space="preserve"> </w:t>
      </w:r>
      <w:r w:rsidR="008C4521">
        <w:rPr>
          <w:color w:val="000000" w:themeColor="text1"/>
        </w:rPr>
        <w:t>a</w:t>
      </w:r>
      <w:r w:rsidR="009A0847">
        <w:rPr>
          <w:color w:val="000000" w:themeColor="text1"/>
        </w:rPr>
        <w:t xml:space="preserve"> </w:t>
      </w:r>
      <w:r w:rsidRPr="00E46305">
        <w:rPr>
          <w:color w:val="000000" w:themeColor="text1"/>
        </w:rPr>
        <w:t>profit</w:t>
      </w:r>
      <w:r w:rsidR="009A0847">
        <w:rPr>
          <w:color w:val="000000" w:themeColor="text1"/>
        </w:rPr>
        <w:t xml:space="preserve"> </w:t>
      </w:r>
      <m:oMath>
        <m:r>
          <w:rPr>
            <w:rFonts w:ascii="Cambria Math" w:hAnsi="Cambria Math"/>
            <w:color w:val="000000" w:themeColor="text1"/>
            <w:sz w:val="22"/>
            <w:szCs w:val="22"/>
          </w:rPr>
          <m:t>k&gt;0</m:t>
        </m:r>
      </m:oMath>
      <w:r w:rsidR="009A0847">
        <w:rPr>
          <w:color w:val="000000" w:themeColor="text1"/>
        </w:rPr>
        <w:t xml:space="preserve"> </w:t>
      </w:r>
      <w:r w:rsidRPr="00E46305">
        <w:rPr>
          <w:color w:val="000000" w:themeColor="text1"/>
        </w:rPr>
        <w:t>from</w:t>
      </w:r>
      <w:r w:rsidR="009A0847">
        <w:rPr>
          <w:color w:val="000000" w:themeColor="text1"/>
        </w:rPr>
        <w:t xml:space="preserve"> </w:t>
      </w:r>
      <w:r w:rsidRPr="00E46305">
        <w:rPr>
          <w:color w:val="000000" w:themeColor="text1"/>
        </w:rPr>
        <w:t>operating</w:t>
      </w:r>
      <w:r w:rsidR="009A0847">
        <w:rPr>
          <w:color w:val="000000" w:themeColor="text1"/>
        </w:rPr>
        <w:t xml:space="preserve"> </w:t>
      </w:r>
      <w:r w:rsidRPr="00E46305">
        <w:rPr>
          <w:color w:val="000000" w:themeColor="text1"/>
        </w:rPr>
        <w:t>in</w:t>
      </w:r>
      <w:r w:rsidR="009A0847">
        <w:rPr>
          <w:color w:val="000000" w:themeColor="text1"/>
        </w:rPr>
        <w:t xml:space="preserve"> </w:t>
      </w:r>
      <w:r w:rsidRPr="00E46305">
        <w:rPr>
          <w:color w:val="000000" w:themeColor="text1"/>
        </w:rPr>
        <w:t>period</w:t>
      </w:r>
      <w:r w:rsidR="009A0847">
        <w:rPr>
          <w:color w:val="000000" w:themeColor="text1"/>
        </w:rPr>
        <w:t xml:space="preserve"> </w:t>
      </w:r>
      <w:r w:rsidRPr="00E46305">
        <w:rPr>
          <w:color w:val="000000" w:themeColor="text1"/>
        </w:rPr>
        <w:t>2.</w:t>
      </w:r>
      <w:r w:rsidRPr="00E46305">
        <w:rPr>
          <w:rStyle w:val="FootnoteReference"/>
          <w:color w:val="000000" w:themeColor="text1"/>
          <w:szCs w:val="24"/>
        </w:rPr>
        <w:footnoteReference w:id="16"/>
      </w:r>
    </w:p>
    <w:p w14:paraId="529E5CA3" w14:textId="3B082914" w:rsidR="00FD6E14" w:rsidRPr="00EC075C" w:rsidRDefault="00F27466" w:rsidP="00F86E09">
      <w:pPr>
        <w:pStyle w:val="Olivier1"/>
        <w:widowControl w:val="0"/>
        <w:ind w:firstLine="360"/>
        <w:rPr>
          <w:color w:val="000000" w:themeColor="text1"/>
        </w:rPr>
      </w:pPr>
      <w:r w:rsidRPr="00F27466">
        <w:rPr>
          <w:color w:val="000000" w:themeColor="text1"/>
        </w:rPr>
        <w:t>In</w:t>
      </w:r>
      <w:r w:rsidR="009A0847">
        <w:rPr>
          <w:color w:val="000000" w:themeColor="text1"/>
        </w:rPr>
        <w:t xml:space="preserve"> </w:t>
      </w:r>
      <w:r w:rsidRPr="00F27466">
        <w:rPr>
          <w:color w:val="000000" w:themeColor="text1"/>
        </w:rPr>
        <w:t>principle,</w:t>
      </w:r>
      <w:r w:rsidR="009A0847">
        <w:rPr>
          <w:color w:val="000000" w:themeColor="text1"/>
        </w:rPr>
        <w:t xml:space="preserve"> </w:t>
      </w:r>
      <w:r w:rsidRPr="00F27466">
        <w:rPr>
          <w:color w:val="000000" w:themeColor="text1"/>
        </w:rPr>
        <w:t>DW</w:t>
      </w:r>
      <w:r w:rsidR="009A0847">
        <w:rPr>
          <w:color w:val="000000" w:themeColor="text1"/>
        </w:rPr>
        <w:t xml:space="preserve"> </w:t>
      </w:r>
      <w:r>
        <w:rPr>
          <w:color w:val="000000" w:themeColor="text1"/>
        </w:rPr>
        <w:t>borrowing</w:t>
      </w:r>
      <w:r w:rsidR="009A0847">
        <w:rPr>
          <w:color w:val="000000" w:themeColor="text1"/>
        </w:rPr>
        <w:t xml:space="preserve"> </w:t>
      </w:r>
      <w:r>
        <w:rPr>
          <w:color w:val="000000" w:themeColor="text1"/>
        </w:rPr>
        <w:t>should</w:t>
      </w:r>
      <w:r w:rsidR="009A0847">
        <w:rPr>
          <w:color w:val="000000" w:themeColor="text1"/>
        </w:rPr>
        <w:t xml:space="preserve"> </w:t>
      </w:r>
      <w:r>
        <w:rPr>
          <w:color w:val="000000" w:themeColor="text1"/>
        </w:rPr>
        <w:t>remain</w:t>
      </w:r>
      <w:r w:rsidR="009A0847">
        <w:rPr>
          <w:color w:val="000000" w:themeColor="text1"/>
        </w:rPr>
        <w:t xml:space="preserve"> </w:t>
      </w:r>
      <w:r>
        <w:rPr>
          <w:color w:val="000000" w:themeColor="text1"/>
        </w:rPr>
        <w:t>anonymous,</w:t>
      </w:r>
      <w:r w:rsidR="009A0847">
        <w:rPr>
          <w:color w:val="000000" w:themeColor="text1"/>
        </w:rPr>
        <w:t xml:space="preserve"> </w:t>
      </w:r>
      <w:r w:rsidR="00F6623C">
        <w:rPr>
          <w:color w:val="000000" w:themeColor="text1"/>
        </w:rPr>
        <w:t>in</w:t>
      </w:r>
      <w:r w:rsidR="009A0847">
        <w:rPr>
          <w:color w:val="000000" w:themeColor="text1"/>
        </w:rPr>
        <w:t xml:space="preserve"> </w:t>
      </w:r>
      <w:r w:rsidR="00F6623C">
        <w:rPr>
          <w:color w:val="000000" w:themeColor="text1"/>
        </w:rPr>
        <w:t>which</w:t>
      </w:r>
      <w:r w:rsidR="009A0847">
        <w:rPr>
          <w:color w:val="000000" w:themeColor="text1"/>
        </w:rPr>
        <w:t xml:space="preserve"> </w:t>
      </w:r>
      <w:r w:rsidR="00F6623C">
        <w:rPr>
          <w:color w:val="000000" w:themeColor="text1"/>
        </w:rPr>
        <w:t>case</w:t>
      </w:r>
      <w:r w:rsidR="009A0847">
        <w:rPr>
          <w:color w:val="000000" w:themeColor="text1"/>
        </w:rPr>
        <w:t xml:space="preserve"> </w:t>
      </w:r>
      <w:r w:rsidR="00F6623C">
        <w:rPr>
          <w:color w:val="000000" w:themeColor="text1"/>
        </w:rPr>
        <w:t>there</w:t>
      </w:r>
      <w:r w:rsidR="009A0847">
        <w:rPr>
          <w:color w:val="000000" w:themeColor="text1"/>
        </w:rPr>
        <w:t xml:space="preserve"> </w:t>
      </w:r>
      <w:r w:rsidR="00F6623C">
        <w:rPr>
          <w:color w:val="000000" w:themeColor="text1"/>
        </w:rPr>
        <w:t>cannot</w:t>
      </w:r>
      <w:r w:rsidR="009A0847">
        <w:rPr>
          <w:color w:val="000000" w:themeColor="text1"/>
        </w:rPr>
        <w:t xml:space="preserve"> </w:t>
      </w:r>
      <w:r w:rsidR="00F6623C">
        <w:rPr>
          <w:color w:val="000000" w:themeColor="text1"/>
        </w:rPr>
        <w:t>be</w:t>
      </w:r>
      <w:r w:rsidR="009A0847">
        <w:rPr>
          <w:color w:val="000000" w:themeColor="text1"/>
        </w:rPr>
        <w:t xml:space="preserve"> </w:t>
      </w:r>
      <w:r w:rsidR="00F6623C">
        <w:rPr>
          <w:color w:val="000000" w:themeColor="text1"/>
        </w:rPr>
        <w:t>DW</w:t>
      </w:r>
      <w:r w:rsidR="009A0847">
        <w:rPr>
          <w:color w:val="000000" w:themeColor="text1"/>
        </w:rPr>
        <w:t xml:space="preserve"> </w:t>
      </w:r>
      <w:r w:rsidR="00F6623C">
        <w:rPr>
          <w:color w:val="000000" w:themeColor="text1"/>
        </w:rPr>
        <w:t>stigma</w:t>
      </w:r>
      <w:r w:rsidR="009A0847">
        <w:rPr>
          <w:color w:val="000000" w:themeColor="text1"/>
        </w:rPr>
        <w:t xml:space="preserve"> </w:t>
      </w:r>
      <w:r w:rsidR="00EC075C">
        <w:rPr>
          <w:color w:val="000000" w:themeColor="text1"/>
        </w:rPr>
        <w:t>(</w:t>
      </w:r>
      <w:r w:rsidR="00EC075C">
        <w:rPr>
          <w:color w:val="000000" w:themeColor="text1"/>
          <w:szCs w:val="24"/>
        </w:rPr>
        <w:t>Ennis</w:t>
      </w:r>
      <w:r w:rsidR="009A0847">
        <w:rPr>
          <w:color w:val="000000" w:themeColor="text1"/>
          <w:szCs w:val="24"/>
        </w:rPr>
        <w:t xml:space="preserve"> </w:t>
      </w:r>
      <w:r w:rsidR="00EC075C">
        <w:rPr>
          <w:color w:val="000000" w:themeColor="text1"/>
          <w:szCs w:val="24"/>
        </w:rPr>
        <w:t>and</w:t>
      </w:r>
      <w:r w:rsidR="009A0847">
        <w:rPr>
          <w:color w:val="000000" w:themeColor="text1"/>
          <w:szCs w:val="24"/>
        </w:rPr>
        <w:t xml:space="preserve"> </w:t>
      </w:r>
      <w:r w:rsidR="00EC075C">
        <w:rPr>
          <w:color w:val="000000" w:themeColor="text1"/>
          <w:szCs w:val="24"/>
        </w:rPr>
        <w:t>Weinberg</w:t>
      </w:r>
      <w:r w:rsidR="009A0847">
        <w:rPr>
          <w:color w:val="000000" w:themeColor="text1"/>
          <w:szCs w:val="24"/>
        </w:rPr>
        <w:t xml:space="preserve"> </w:t>
      </w:r>
      <w:r w:rsidR="00F6623C" w:rsidRPr="00F6623C">
        <w:rPr>
          <w:color w:val="000000" w:themeColor="text1"/>
          <w:szCs w:val="24"/>
        </w:rPr>
        <w:t>2013</w:t>
      </w:r>
      <w:r w:rsidR="00EC075C">
        <w:rPr>
          <w:color w:val="000000" w:themeColor="text1"/>
          <w:szCs w:val="24"/>
        </w:rPr>
        <w:t>,</w:t>
      </w:r>
      <w:r w:rsidR="009A0847">
        <w:rPr>
          <w:color w:val="000000" w:themeColor="text1"/>
          <w:szCs w:val="24"/>
        </w:rPr>
        <w:t xml:space="preserve"> </w:t>
      </w:r>
      <w:r w:rsidR="00EC075C" w:rsidRPr="005F2F6A">
        <w:rPr>
          <w:color w:val="000000" w:themeColor="text1"/>
        </w:rPr>
        <w:t>Gorton</w:t>
      </w:r>
      <w:r w:rsidR="009A0847">
        <w:rPr>
          <w:color w:val="000000" w:themeColor="text1"/>
        </w:rPr>
        <w:t xml:space="preserve"> </w:t>
      </w:r>
      <w:r w:rsidR="00EC075C" w:rsidRPr="005F2F6A">
        <w:rPr>
          <w:color w:val="000000" w:themeColor="text1"/>
        </w:rPr>
        <w:t>and</w:t>
      </w:r>
      <w:r w:rsidR="009A0847">
        <w:rPr>
          <w:color w:val="000000" w:themeColor="text1"/>
        </w:rPr>
        <w:t xml:space="preserve"> </w:t>
      </w:r>
      <w:r w:rsidR="00EC075C" w:rsidRPr="005F2F6A">
        <w:rPr>
          <w:color w:val="000000" w:themeColor="text1"/>
        </w:rPr>
        <w:t>Ordonez</w:t>
      </w:r>
      <w:r w:rsidR="009A0847">
        <w:rPr>
          <w:color w:val="000000" w:themeColor="text1"/>
        </w:rPr>
        <w:t xml:space="preserve"> </w:t>
      </w:r>
      <w:r w:rsidR="00EC075C" w:rsidRPr="005F2F6A">
        <w:rPr>
          <w:color w:val="000000" w:themeColor="text1"/>
        </w:rPr>
        <w:t>2016</w:t>
      </w:r>
      <w:r w:rsidR="00F6623C" w:rsidRPr="00F6623C">
        <w:rPr>
          <w:color w:val="000000" w:themeColor="text1"/>
          <w:szCs w:val="24"/>
        </w:rPr>
        <w:t>)</w:t>
      </w:r>
      <w:r w:rsidR="00CA49F2" w:rsidRPr="00F6623C">
        <w:rPr>
          <w:color w:val="000000" w:themeColor="text1"/>
          <w:szCs w:val="24"/>
        </w:rPr>
        <w:t>.</w:t>
      </w:r>
      <w:r w:rsidRPr="00F27466">
        <w:rPr>
          <w:rStyle w:val="FootnoteReference"/>
          <w:color w:val="000000" w:themeColor="text1"/>
          <w:szCs w:val="24"/>
        </w:rPr>
        <w:footnoteReference w:id="17"/>
      </w:r>
      <w:r w:rsidR="009A0847">
        <w:rPr>
          <w:color w:val="000000" w:themeColor="text1"/>
        </w:rPr>
        <w:t xml:space="preserve"> </w:t>
      </w:r>
      <w:r w:rsidR="00CA49F2" w:rsidRPr="00F27466">
        <w:rPr>
          <w:color w:val="000000" w:themeColor="text1"/>
        </w:rPr>
        <w:t>In</w:t>
      </w:r>
      <w:r w:rsidR="009A0847">
        <w:rPr>
          <w:color w:val="000000" w:themeColor="text1"/>
        </w:rPr>
        <w:t xml:space="preserve"> </w:t>
      </w:r>
      <w:r w:rsidR="00CA49F2" w:rsidRPr="00F27466">
        <w:rPr>
          <w:color w:val="000000" w:themeColor="text1"/>
        </w:rPr>
        <w:t>practice</w:t>
      </w:r>
      <w:r w:rsidR="009A0847">
        <w:rPr>
          <w:color w:val="000000" w:themeColor="text1"/>
        </w:rPr>
        <w:t xml:space="preserve"> </w:t>
      </w:r>
      <w:r w:rsidR="00CA49F2" w:rsidRPr="00F27466">
        <w:rPr>
          <w:color w:val="000000" w:themeColor="text1"/>
        </w:rPr>
        <w:t>however,</w:t>
      </w:r>
      <w:r w:rsidR="009A0847">
        <w:rPr>
          <w:color w:val="000000" w:themeColor="text1"/>
        </w:rPr>
        <w:t xml:space="preserve"> </w:t>
      </w:r>
      <w:r w:rsidR="00F72D79">
        <w:rPr>
          <w:color w:val="000000" w:themeColor="text1"/>
        </w:rPr>
        <w:t>public</w:t>
      </w:r>
      <w:r w:rsidR="009A0847">
        <w:rPr>
          <w:color w:val="000000" w:themeColor="text1"/>
        </w:rPr>
        <w:t xml:space="preserve"> </w:t>
      </w:r>
      <w:r w:rsidR="00FD6E14">
        <w:rPr>
          <w:color w:val="000000" w:themeColor="text1"/>
        </w:rPr>
        <w:t>identification</w:t>
      </w:r>
      <w:r w:rsidR="009A0847">
        <w:rPr>
          <w:color w:val="000000" w:themeColor="text1"/>
        </w:rPr>
        <w:t xml:space="preserve"> </w:t>
      </w:r>
      <w:r>
        <w:rPr>
          <w:color w:val="000000" w:themeColor="text1"/>
        </w:rPr>
        <w:t>has</w:t>
      </w:r>
      <w:r w:rsidR="009A0847">
        <w:rPr>
          <w:color w:val="000000" w:themeColor="text1"/>
        </w:rPr>
        <w:t xml:space="preserve"> </w:t>
      </w:r>
      <w:r>
        <w:rPr>
          <w:color w:val="000000" w:themeColor="text1"/>
        </w:rPr>
        <w:t>occurred</w:t>
      </w:r>
      <w:r w:rsidR="009A0847">
        <w:rPr>
          <w:color w:val="000000" w:themeColor="text1"/>
        </w:rPr>
        <w:t xml:space="preserve"> </w:t>
      </w:r>
      <w:r w:rsidR="00F72D79">
        <w:rPr>
          <w:color w:val="000000" w:themeColor="text1"/>
        </w:rPr>
        <w:t>in</w:t>
      </w:r>
      <w:r w:rsidR="009A0847">
        <w:rPr>
          <w:color w:val="000000" w:themeColor="text1"/>
        </w:rPr>
        <w:t xml:space="preserve"> </w:t>
      </w:r>
      <w:r w:rsidR="00F72D79">
        <w:rPr>
          <w:color w:val="000000" w:themeColor="text1"/>
        </w:rPr>
        <w:t>real-time</w:t>
      </w:r>
      <w:r w:rsidR="009A0847">
        <w:rPr>
          <w:color w:val="000000" w:themeColor="text1"/>
        </w:rPr>
        <w:t xml:space="preserve"> </w:t>
      </w:r>
      <w:r>
        <w:rPr>
          <w:color w:val="000000" w:themeColor="text1"/>
        </w:rPr>
        <w:t>on</w:t>
      </w:r>
      <w:r w:rsidR="009A0847">
        <w:rPr>
          <w:color w:val="000000" w:themeColor="text1"/>
        </w:rPr>
        <w:t xml:space="preserve"> </w:t>
      </w:r>
      <w:r>
        <w:rPr>
          <w:color w:val="000000" w:themeColor="text1"/>
        </w:rPr>
        <w:t>occasions</w:t>
      </w:r>
      <w:r w:rsidR="009A0847">
        <w:rPr>
          <w:color w:val="000000" w:themeColor="text1"/>
        </w:rPr>
        <w:t xml:space="preserve"> </w:t>
      </w:r>
      <w:r w:rsidR="00CA49F2" w:rsidRPr="00F27466">
        <w:rPr>
          <w:color w:val="000000" w:themeColor="text1"/>
        </w:rPr>
        <w:t>and</w:t>
      </w:r>
      <w:r w:rsidR="009A0847">
        <w:rPr>
          <w:color w:val="000000" w:themeColor="text1"/>
        </w:rPr>
        <w:t xml:space="preserve"> </w:t>
      </w:r>
      <w:r w:rsidR="00CA49F2" w:rsidRPr="00F27466">
        <w:rPr>
          <w:color w:val="000000" w:themeColor="text1"/>
        </w:rPr>
        <w:t>various</w:t>
      </w:r>
      <w:r w:rsidR="009A0847">
        <w:rPr>
          <w:color w:val="000000" w:themeColor="text1"/>
        </w:rPr>
        <w:t xml:space="preserve"> </w:t>
      </w:r>
      <w:r w:rsidR="00CA49F2" w:rsidRPr="00F27466">
        <w:rPr>
          <w:color w:val="000000" w:themeColor="text1"/>
        </w:rPr>
        <w:t>detection</w:t>
      </w:r>
      <w:r w:rsidR="009A0847">
        <w:rPr>
          <w:color w:val="000000" w:themeColor="text1"/>
        </w:rPr>
        <w:t xml:space="preserve"> </w:t>
      </w:r>
      <w:r w:rsidR="00CA49F2" w:rsidRPr="00F27466">
        <w:rPr>
          <w:color w:val="000000" w:themeColor="text1"/>
        </w:rPr>
        <w:t>channels</w:t>
      </w:r>
      <w:r w:rsidR="009A0847">
        <w:rPr>
          <w:color w:val="000000" w:themeColor="text1"/>
        </w:rPr>
        <w:t xml:space="preserve"> </w:t>
      </w:r>
      <w:r w:rsidR="00EC075C">
        <w:rPr>
          <w:color w:val="000000" w:themeColor="text1"/>
        </w:rPr>
        <w:t>have</w:t>
      </w:r>
      <w:r w:rsidR="009A0847">
        <w:rPr>
          <w:color w:val="000000" w:themeColor="text1"/>
        </w:rPr>
        <w:t xml:space="preserve"> </w:t>
      </w:r>
      <w:r w:rsidR="00EC075C">
        <w:rPr>
          <w:color w:val="000000" w:themeColor="text1"/>
        </w:rPr>
        <w:t>been</w:t>
      </w:r>
      <w:r w:rsidR="009A0847">
        <w:rPr>
          <w:color w:val="000000" w:themeColor="text1"/>
        </w:rPr>
        <w:t xml:space="preserve"> </w:t>
      </w:r>
      <w:r w:rsidR="00CA49F2" w:rsidRPr="00F27466">
        <w:rPr>
          <w:color w:val="000000" w:themeColor="text1"/>
        </w:rPr>
        <w:t>mentioned.</w:t>
      </w:r>
      <w:r w:rsidR="00CA49F2" w:rsidRPr="00F27466">
        <w:rPr>
          <w:rStyle w:val="FootnoteReference"/>
          <w:color w:val="000000" w:themeColor="text1"/>
          <w:szCs w:val="24"/>
        </w:rPr>
        <w:footnoteReference w:id="18"/>
      </w:r>
      <w:r w:rsidR="009A0847">
        <w:rPr>
          <w:color w:val="000000" w:themeColor="text1"/>
        </w:rPr>
        <w:t xml:space="preserve"> </w:t>
      </w:r>
      <w:r w:rsidR="00CA49F2" w:rsidRPr="00F27466">
        <w:rPr>
          <w:color w:val="000000" w:themeColor="text1"/>
        </w:rPr>
        <w:t>Further,</w:t>
      </w:r>
      <w:r w:rsidR="009A0847">
        <w:rPr>
          <w:color w:val="000000" w:themeColor="text1"/>
        </w:rPr>
        <w:t xml:space="preserve"> </w:t>
      </w:r>
      <w:r w:rsidR="00CA49F2" w:rsidRPr="00F27466">
        <w:rPr>
          <w:color w:val="000000" w:themeColor="text1"/>
        </w:rPr>
        <w:t>practitioners</w:t>
      </w:r>
      <w:r w:rsidR="009A0847">
        <w:rPr>
          <w:color w:val="000000" w:themeColor="text1"/>
        </w:rPr>
        <w:t xml:space="preserve"> </w:t>
      </w:r>
      <w:r w:rsidR="00CA49F2" w:rsidRPr="00F27466">
        <w:rPr>
          <w:color w:val="000000" w:themeColor="text1"/>
        </w:rPr>
        <w:t>argue</w:t>
      </w:r>
      <w:r w:rsidR="009A0847">
        <w:rPr>
          <w:color w:val="000000" w:themeColor="text1"/>
        </w:rPr>
        <w:t xml:space="preserve"> </w:t>
      </w:r>
      <w:r w:rsidR="00CA49F2" w:rsidRPr="00F27466">
        <w:rPr>
          <w:color w:val="000000" w:themeColor="text1"/>
        </w:rPr>
        <w:t>that</w:t>
      </w:r>
      <w:r w:rsidR="009A0847">
        <w:rPr>
          <w:color w:val="000000" w:themeColor="text1"/>
        </w:rPr>
        <w:t xml:space="preserve"> </w:t>
      </w:r>
      <w:r w:rsidR="00F72D79">
        <w:rPr>
          <w:color w:val="000000" w:themeColor="text1"/>
        </w:rPr>
        <w:t>real-time</w:t>
      </w:r>
      <w:r w:rsidR="009A0847">
        <w:rPr>
          <w:color w:val="000000" w:themeColor="text1"/>
        </w:rPr>
        <w:t xml:space="preserve"> </w:t>
      </w:r>
      <w:r w:rsidR="00FD6E14">
        <w:rPr>
          <w:color w:val="000000" w:themeColor="text1"/>
        </w:rPr>
        <w:t>detection</w:t>
      </w:r>
      <w:r w:rsidR="009A0847">
        <w:rPr>
          <w:color w:val="000000" w:themeColor="text1"/>
        </w:rPr>
        <w:t xml:space="preserve"> </w:t>
      </w:r>
      <w:r w:rsidR="00FD6E14">
        <w:rPr>
          <w:color w:val="000000" w:themeColor="text1"/>
        </w:rPr>
        <w:t>is</w:t>
      </w:r>
      <w:r w:rsidR="009A0847">
        <w:rPr>
          <w:color w:val="000000" w:themeColor="text1"/>
        </w:rPr>
        <w:t xml:space="preserve"> </w:t>
      </w:r>
      <w:r w:rsidR="00FD6E14">
        <w:rPr>
          <w:color w:val="000000" w:themeColor="text1"/>
        </w:rPr>
        <w:t>more</w:t>
      </w:r>
      <w:r w:rsidR="009A0847">
        <w:rPr>
          <w:color w:val="000000" w:themeColor="text1"/>
        </w:rPr>
        <w:t xml:space="preserve"> </w:t>
      </w:r>
      <w:r w:rsidR="00FD6E14">
        <w:rPr>
          <w:color w:val="000000" w:themeColor="text1"/>
        </w:rPr>
        <w:t>difficult</w:t>
      </w:r>
      <w:r w:rsidR="009A0847">
        <w:rPr>
          <w:color w:val="000000" w:themeColor="text1"/>
        </w:rPr>
        <w:t xml:space="preserve"> </w:t>
      </w:r>
      <w:r w:rsidR="00CA49F2" w:rsidRPr="00F27466">
        <w:rPr>
          <w:color w:val="000000" w:themeColor="text1"/>
        </w:rPr>
        <w:t>when</w:t>
      </w:r>
      <w:r w:rsidR="009A0847">
        <w:rPr>
          <w:color w:val="000000" w:themeColor="text1"/>
        </w:rPr>
        <w:t xml:space="preserve"> </w:t>
      </w:r>
      <w:r w:rsidR="00CA49F2" w:rsidRPr="00F27466">
        <w:rPr>
          <w:color w:val="000000" w:themeColor="text1"/>
        </w:rPr>
        <w:t>more</w:t>
      </w:r>
      <w:r w:rsidR="009A0847">
        <w:rPr>
          <w:color w:val="000000" w:themeColor="text1"/>
        </w:rPr>
        <w:t xml:space="preserve"> </w:t>
      </w:r>
      <w:r w:rsidR="00CA49F2" w:rsidRPr="00F27466">
        <w:rPr>
          <w:color w:val="000000" w:themeColor="text1"/>
        </w:rPr>
        <w:t>banks</w:t>
      </w:r>
      <w:r w:rsidR="009A0847">
        <w:rPr>
          <w:color w:val="000000" w:themeColor="text1"/>
        </w:rPr>
        <w:t xml:space="preserve"> </w:t>
      </w:r>
      <w:r w:rsidR="00CA49F2" w:rsidRPr="00F27466">
        <w:rPr>
          <w:color w:val="000000" w:themeColor="text1"/>
        </w:rPr>
        <w:lastRenderedPageBreak/>
        <w:t>borrow</w:t>
      </w:r>
      <w:r w:rsidR="009A0847">
        <w:rPr>
          <w:color w:val="000000" w:themeColor="text1"/>
        </w:rPr>
        <w:t xml:space="preserve"> </w:t>
      </w:r>
      <w:r w:rsidR="00CA49F2" w:rsidRPr="00F27466">
        <w:rPr>
          <w:color w:val="000000" w:themeColor="text1"/>
        </w:rPr>
        <w:t>at</w:t>
      </w:r>
      <w:r w:rsidR="009A0847">
        <w:rPr>
          <w:color w:val="000000" w:themeColor="text1"/>
        </w:rPr>
        <w:t xml:space="preserve"> </w:t>
      </w:r>
      <w:r w:rsidR="00CA49F2" w:rsidRPr="00F27466">
        <w:rPr>
          <w:color w:val="000000" w:themeColor="text1"/>
        </w:rPr>
        <w:t>the</w:t>
      </w:r>
      <w:r w:rsidR="009A0847">
        <w:rPr>
          <w:color w:val="000000" w:themeColor="text1"/>
        </w:rPr>
        <w:t xml:space="preserve"> </w:t>
      </w:r>
      <w:r w:rsidR="00CA49F2" w:rsidRPr="00F27466">
        <w:rPr>
          <w:color w:val="000000" w:themeColor="text1"/>
        </w:rPr>
        <w:t>DW</w:t>
      </w:r>
      <w:r w:rsidR="009A0847">
        <w:rPr>
          <w:color w:val="000000" w:themeColor="text1"/>
        </w:rPr>
        <w:t xml:space="preserve"> </w:t>
      </w:r>
      <w:r w:rsidR="00CA49F2" w:rsidRPr="00F27466">
        <w:rPr>
          <w:color w:val="000000" w:themeColor="text1"/>
        </w:rPr>
        <w:t>simultaneously</w:t>
      </w:r>
      <w:r w:rsidR="009A0847">
        <w:rPr>
          <w:color w:val="000000" w:themeColor="text1"/>
        </w:rPr>
        <w:t xml:space="preserve"> </w:t>
      </w:r>
      <w:r w:rsidR="00CA49F2" w:rsidRPr="00F27466">
        <w:rPr>
          <w:color w:val="000000" w:themeColor="text1"/>
        </w:rPr>
        <w:t>(Moore</w:t>
      </w:r>
      <w:r w:rsidR="009A0847">
        <w:rPr>
          <w:color w:val="000000" w:themeColor="text1"/>
        </w:rPr>
        <w:t xml:space="preserve"> </w:t>
      </w:r>
      <w:r w:rsidR="00CA49F2" w:rsidRPr="00F27466">
        <w:rPr>
          <w:color w:val="000000" w:themeColor="text1"/>
        </w:rPr>
        <w:t>2017</w:t>
      </w:r>
      <w:r w:rsidR="00502346">
        <w:rPr>
          <w:color w:val="000000" w:themeColor="text1"/>
        </w:rPr>
        <w:t xml:space="preserve">, </w:t>
      </w:r>
      <w:r w:rsidR="00502346" w:rsidRPr="00EC075C">
        <w:rPr>
          <w:color w:val="000000" w:themeColor="text1"/>
        </w:rPr>
        <w:t>Anbil</w:t>
      </w:r>
      <w:r w:rsidR="00502346">
        <w:rPr>
          <w:color w:val="000000" w:themeColor="text1"/>
        </w:rPr>
        <w:t xml:space="preserve"> </w:t>
      </w:r>
      <w:r w:rsidR="00502346" w:rsidRPr="00EC075C">
        <w:rPr>
          <w:color w:val="000000" w:themeColor="text1"/>
        </w:rPr>
        <w:t>2018</w:t>
      </w:r>
      <w:r w:rsidR="00CA49F2" w:rsidRPr="00F27466">
        <w:rPr>
          <w:color w:val="000000" w:themeColor="text1"/>
        </w:rPr>
        <w:t>).</w:t>
      </w:r>
      <w:r w:rsidR="009A0847">
        <w:rPr>
          <w:color w:val="000000" w:themeColor="text1"/>
        </w:rPr>
        <w:t xml:space="preserve"> </w:t>
      </w:r>
      <w:r w:rsidR="00F72D79">
        <w:rPr>
          <w:color w:val="000000" w:themeColor="text1"/>
        </w:rPr>
        <w:t>To</w:t>
      </w:r>
      <w:r w:rsidR="009A0847">
        <w:rPr>
          <w:color w:val="000000" w:themeColor="text1"/>
        </w:rPr>
        <w:t xml:space="preserve"> </w:t>
      </w:r>
      <w:r w:rsidR="00F72D79">
        <w:rPr>
          <w:color w:val="000000" w:themeColor="text1"/>
        </w:rPr>
        <w:t>capture</w:t>
      </w:r>
      <w:r w:rsidR="009A0847">
        <w:rPr>
          <w:color w:val="000000" w:themeColor="text1"/>
        </w:rPr>
        <w:t xml:space="preserve"> </w:t>
      </w:r>
      <w:r w:rsidR="00F72D79">
        <w:rPr>
          <w:color w:val="000000" w:themeColor="text1"/>
        </w:rPr>
        <w:t>this</w:t>
      </w:r>
      <w:r w:rsidR="009A0847">
        <w:rPr>
          <w:color w:val="000000" w:themeColor="text1"/>
        </w:rPr>
        <w:t xml:space="preserve"> </w:t>
      </w:r>
      <w:r w:rsidR="00F72D79" w:rsidRPr="00F27466">
        <w:rPr>
          <w:color w:val="000000" w:themeColor="text1"/>
        </w:rPr>
        <w:t>“safety</w:t>
      </w:r>
      <w:r w:rsidR="009A0847">
        <w:rPr>
          <w:color w:val="000000" w:themeColor="text1"/>
        </w:rPr>
        <w:t xml:space="preserve"> </w:t>
      </w:r>
      <w:r w:rsidR="00F72D79" w:rsidRPr="00F27466">
        <w:rPr>
          <w:color w:val="000000" w:themeColor="text1"/>
        </w:rPr>
        <w:t>in</w:t>
      </w:r>
      <w:r w:rsidR="009A0847">
        <w:rPr>
          <w:color w:val="000000" w:themeColor="text1"/>
        </w:rPr>
        <w:t xml:space="preserve"> </w:t>
      </w:r>
      <w:r w:rsidR="00F72D79" w:rsidRPr="00F27466">
        <w:rPr>
          <w:color w:val="000000" w:themeColor="text1"/>
        </w:rPr>
        <w:t>numbers”</w:t>
      </w:r>
      <w:r w:rsidR="009A0847">
        <w:rPr>
          <w:color w:val="000000" w:themeColor="text1"/>
        </w:rPr>
        <w:t xml:space="preserve"> </w:t>
      </w:r>
      <w:r w:rsidR="00F72D79">
        <w:rPr>
          <w:color w:val="000000" w:themeColor="text1"/>
        </w:rPr>
        <w:t>effect</w:t>
      </w:r>
      <w:r w:rsidR="009A0847">
        <w:rPr>
          <w:color w:val="000000" w:themeColor="text1"/>
        </w:rPr>
        <w:t xml:space="preserve"> </w:t>
      </w:r>
      <w:r w:rsidR="00F72D79">
        <w:rPr>
          <w:color w:val="000000" w:themeColor="text1"/>
        </w:rPr>
        <w:t>we</w:t>
      </w:r>
      <w:r w:rsidR="009A0847">
        <w:rPr>
          <w:color w:val="000000" w:themeColor="text1"/>
        </w:rPr>
        <w:t xml:space="preserve"> </w:t>
      </w:r>
      <w:r w:rsidR="00F72D79">
        <w:rPr>
          <w:color w:val="000000" w:themeColor="text1"/>
        </w:rPr>
        <w:t>assume</w:t>
      </w:r>
      <w:r w:rsidR="009A0847">
        <w:rPr>
          <w:color w:val="000000" w:themeColor="text1"/>
        </w:rPr>
        <w:t xml:space="preserve"> </w:t>
      </w:r>
      <w:r w:rsidR="00F72D79">
        <w:rPr>
          <w:color w:val="000000" w:themeColor="text1"/>
        </w:rPr>
        <w:t>that</w:t>
      </w:r>
      <w:r w:rsidR="009A0847">
        <w:rPr>
          <w:color w:val="000000" w:themeColor="text1"/>
        </w:rPr>
        <w:t xml:space="preserve"> </w:t>
      </w:r>
      <m:oMath>
        <m:r>
          <w:rPr>
            <w:rFonts w:ascii="Cambria Math" w:hAnsi="Cambria Math"/>
            <w:sz w:val="22"/>
            <w:szCs w:val="22"/>
          </w:rPr>
          <m:t>θ</m:t>
        </m:r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n</m:t>
            </m:r>
          </m:e>
        </m:d>
      </m:oMath>
      <w:r w:rsidR="00F72D79">
        <w:t>,</w:t>
      </w:r>
      <w:r w:rsidR="009A0847">
        <w:t xml:space="preserve"> </w:t>
      </w:r>
      <w:r w:rsidR="00F72D79" w:rsidRPr="00896AA6">
        <w:t>the</w:t>
      </w:r>
      <w:r w:rsidR="009A0847">
        <w:t xml:space="preserve"> </w:t>
      </w:r>
      <w:r w:rsidR="00F72D79" w:rsidRPr="00896AA6">
        <w:t>probability</w:t>
      </w:r>
      <w:r w:rsidR="009A0847">
        <w:t xml:space="preserve"> </w:t>
      </w:r>
      <w:r w:rsidR="00F72D79" w:rsidRPr="00896AA6">
        <w:t>that</w:t>
      </w:r>
      <w:r w:rsidR="009A0847">
        <w:t xml:space="preserve"> </w:t>
      </w:r>
      <w:r w:rsidR="00F72D79" w:rsidRPr="00896AA6">
        <w:t>the</w:t>
      </w:r>
      <w:r w:rsidR="009A0847">
        <w:t xml:space="preserve"> </w:t>
      </w:r>
      <w:r w:rsidR="00F72D79" w:rsidRPr="00896AA6">
        <w:t>investor</w:t>
      </w:r>
      <w:r w:rsidR="009A0847">
        <w:t xml:space="preserve"> </w:t>
      </w:r>
      <w:r w:rsidR="00EC075C">
        <w:t>detects</w:t>
      </w:r>
      <w:r w:rsidR="009A0847">
        <w:t xml:space="preserve"> </w:t>
      </w:r>
      <w:r w:rsidR="00F72D79" w:rsidRPr="00896AA6">
        <w:t>the</w:t>
      </w:r>
      <w:r w:rsidR="009A0847">
        <w:t xml:space="preserve"> </w:t>
      </w:r>
      <w:r w:rsidR="00F72D79" w:rsidRPr="00896AA6">
        <w:t>bank’s</w:t>
      </w:r>
      <w:r w:rsidR="009A0847">
        <w:t xml:space="preserve"> </w:t>
      </w:r>
      <w:r w:rsidR="00F72D79" w:rsidRPr="00896AA6">
        <w:t>DW</w:t>
      </w:r>
      <w:r w:rsidR="009A0847">
        <w:t xml:space="preserve"> </w:t>
      </w:r>
      <w:r w:rsidR="00F72D79" w:rsidRPr="00896AA6">
        <w:t>borrowing</w:t>
      </w:r>
      <w:r w:rsidR="009A0847">
        <w:t xml:space="preserve"> </w:t>
      </w:r>
      <w:r w:rsidR="00F72D79" w:rsidRPr="00F27466">
        <w:rPr>
          <w:color w:val="000000" w:themeColor="text1"/>
        </w:rPr>
        <w:t>between</w:t>
      </w:r>
      <w:r w:rsidR="009A0847">
        <w:rPr>
          <w:color w:val="000000" w:themeColor="text1"/>
        </w:rPr>
        <w:t xml:space="preserve"> </w:t>
      </w:r>
      <w:r w:rsidR="00F72D79" w:rsidRPr="00F27466">
        <w:rPr>
          <w:color w:val="000000" w:themeColor="text1"/>
        </w:rPr>
        <w:t>the</w:t>
      </w:r>
      <w:r w:rsidR="009A0847">
        <w:rPr>
          <w:color w:val="000000" w:themeColor="text1"/>
        </w:rPr>
        <w:t xml:space="preserve"> </w:t>
      </w:r>
      <w:r w:rsidR="00F72D79" w:rsidRPr="00F27466">
        <w:rPr>
          <w:color w:val="000000" w:themeColor="text1"/>
        </w:rPr>
        <w:t>two</w:t>
      </w:r>
      <w:r w:rsidR="009A0847">
        <w:rPr>
          <w:color w:val="000000" w:themeColor="text1"/>
        </w:rPr>
        <w:t xml:space="preserve"> </w:t>
      </w:r>
      <w:r w:rsidR="00F72D79" w:rsidRPr="00F27466">
        <w:rPr>
          <w:color w:val="000000" w:themeColor="text1"/>
        </w:rPr>
        <w:t>periods</w:t>
      </w:r>
      <w:r w:rsidR="009A0847">
        <w:rPr>
          <w:color w:val="000000" w:themeColor="text1"/>
        </w:rPr>
        <w:t xml:space="preserve"> </w:t>
      </w:r>
      <w:r w:rsidR="00F72D79">
        <w:rPr>
          <w:color w:val="000000" w:themeColor="text1"/>
        </w:rPr>
        <w:t>when</w:t>
      </w:r>
      <w:r w:rsidR="009A0847">
        <w:rPr>
          <w:color w:val="000000" w:themeColor="text1"/>
        </w:rPr>
        <w:t xml:space="preserve"> </w:t>
      </w:r>
      <w:r w:rsidR="00F72D79">
        <w:rPr>
          <w:color w:val="000000" w:themeColor="text1"/>
        </w:rPr>
        <w:t>a</w:t>
      </w:r>
      <w:r w:rsidR="009A0847">
        <w:rPr>
          <w:color w:val="000000" w:themeColor="text1"/>
        </w:rPr>
        <w:t xml:space="preserve"> </w:t>
      </w:r>
      <w:r w:rsidR="00F72D79">
        <w:rPr>
          <w:color w:val="000000" w:themeColor="text1"/>
        </w:rPr>
        <w:t>total</w:t>
      </w:r>
      <w:r w:rsidR="009A0847">
        <w:rPr>
          <w:color w:val="000000" w:themeColor="text1"/>
        </w:rPr>
        <w:t xml:space="preserve"> </w:t>
      </w:r>
      <w:r w:rsidR="00F72D79">
        <w:rPr>
          <w:color w:val="000000" w:themeColor="text1"/>
        </w:rPr>
        <w:t>of</w:t>
      </w:r>
      <w:r w:rsidR="009A0847">
        <w:rPr>
          <w:color w:val="000000" w:themeColor="text1"/>
        </w:rPr>
        <w:t xml:space="preserve"> </w:t>
      </w:r>
      <m:oMath>
        <m:r>
          <w:rPr>
            <w:rFonts w:ascii="Cambria Math" w:hAnsi="Cambria Math"/>
            <w:sz w:val="22"/>
            <w:szCs w:val="22"/>
          </w:rPr>
          <m:t>n</m:t>
        </m:r>
      </m:oMath>
      <w:r w:rsidR="009A0847">
        <w:t xml:space="preserve"> </w:t>
      </w:r>
      <w:r w:rsidR="00FD6E14" w:rsidRPr="00896AA6">
        <w:t>banks</w:t>
      </w:r>
      <w:r w:rsidR="009A0847">
        <w:t xml:space="preserve"> </w:t>
      </w:r>
      <w:r w:rsidR="00FD6E14" w:rsidRPr="00896AA6">
        <w:t>borrow</w:t>
      </w:r>
      <w:r w:rsidR="009A0847">
        <w:t xml:space="preserve"> </w:t>
      </w:r>
      <w:r w:rsidR="00FD6E14" w:rsidRPr="00896AA6">
        <w:t>at</w:t>
      </w:r>
      <w:r w:rsidR="009A0847">
        <w:t xml:space="preserve"> </w:t>
      </w:r>
      <w:r w:rsidR="00FD6E14" w:rsidRPr="00896AA6">
        <w:t>the</w:t>
      </w:r>
      <w:r w:rsidR="009A0847">
        <w:t xml:space="preserve"> </w:t>
      </w:r>
      <w:r w:rsidR="00FD6E14" w:rsidRPr="00896AA6">
        <w:t>DW</w:t>
      </w:r>
      <w:r w:rsidR="009A0847">
        <w:t xml:space="preserve"> </w:t>
      </w:r>
      <w:r w:rsidR="00FD6E14" w:rsidRPr="00896AA6">
        <w:t>in</w:t>
      </w:r>
      <w:r w:rsidR="009A0847">
        <w:t xml:space="preserve"> </w:t>
      </w:r>
      <w:r w:rsidR="00FD6E14" w:rsidRPr="00896AA6">
        <w:t>period</w:t>
      </w:r>
      <w:r w:rsidR="009A0847">
        <w:t xml:space="preserve"> </w:t>
      </w:r>
      <w:r w:rsidR="00FD6E14" w:rsidRPr="00896AA6">
        <w:t>1</w:t>
      </w:r>
      <w:r w:rsidR="00F72D79">
        <w:t>,</w:t>
      </w:r>
      <w:r w:rsidR="009A0847">
        <w:t xml:space="preserve"> </w:t>
      </w:r>
      <w:r w:rsidR="00F72D79">
        <w:t>is</w:t>
      </w:r>
      <w:r w:rsidR="009A0847">
        <w:t xml:space="preserve"> </w:t>
      </w:r>
      <w:r w:rsidR="00FD6E14">
        <w:rPr>
          <w:color w:val="000000" w:themeColor="text1"/>
        </w:rPr>
        <w:t>decreas</w:t>
      </w:r>
      <w:r w:rsidR="00F72D79">
        <w:rPr>
          <w:color w:val="000000" w:themeColor="text1"/>
        </w:rPr>
        <w:t>ing</w:t>
      </w:r>
      <w:r w:rsidR="009A0847">
        <w:rPr>
          <w:color w:val="000000" w:themeColor="text1"/>
        </w:rPr>
        <w:t xml:space="preserve"> </w:t>
      </w:r>
      <w:r w:rsidR="00FD6E14" w:rsidRPr="00F27466">
        <w:rPr>
          <w:color w:val="000000" w:themeColor="text1"/>
        </w:rPr>
        <w:t>in</w:t>
      </w:r>
      <w:r w:rsidR="009A0847">
        <w:rPr>
          <w:color w:val="000000" w:themeColor="text1"/>
        </w:rPr>
        <w:t xml:space="preserve"> </w:t>
      </w:r>
      <m:oMath>
        <m:r>
          <w:rPr>
            <w:rFonts w:ascii="Cambria Math" w:hAnsi="Cambria Math"/>
            <w:color w:val="000000" w:themeColor="text1"/>
            <w:sz w:val="22"/>
            <w:szCs w:val="22"/>
          </w:rPr>
          <m:t>n</m:t>
        </m:r>
      </m:oMath>
      <w:r w:rsidR="00FD6E14">
        <w:rPr>
          <w:color w:val="000000" w:themeColor="text1"/>
        </w:rPr>
        <w:t>:</w:t>
      </w:r>
      <w:r w:rsidR="009A0847">
        <w:rPr>
          <w:color w:val="000000" w:themeColor="text1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color w:val="000000" w:themeColor="text1"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 w:val="22"/>
                <w:szCs w:val="22"/>
              </w:rPr>
              <m:t>θ</m:t>
            </m:r>
          </m:e>
          <m:sup>
            <m:r>
              <w:rPr>
                <w:rFonts w:ascii="Cambria Math" w:hAnsi="Cambria Math"/>
                <w:color w:val="000000" w:themeColor="text1"/>
                <w:sz w:val="22"/>
                <w:szCs w:val="22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color w:val="000000" w:themeColor="text1"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sz w:val="22"/>
                <w:szCs w:val="22"/>
              </w:rPr>
              <m:t>n</m:t>
            </m:r>
          </m:e>
        </m:d>
        <m:r>
          <w:rPr>
            <w:rFonts w:ascii="Cambria Math" w:hAnsi="Cambria Math"/>
            <w:color w:val="000000" w:themeColor="text1"/>
            <w:sz w:val="22"/>
            <w:szCs w:val="22"/>
          </w:rPr>
          <m:t>&lt;0</m:t>
        </m:r>
      </m:oMath>
      <w:r w:rsidR="00FD6E14" w:rsidRPr="00F27466">
        <w:rPr>
          <w:color w:val="000000" w:themeColor="text1"/>
        </w:rPr>
        <w:t>.</w:t>
      </w:r>
      <w:r w:rsidR="009A0847">
        <w:t xml:space="preserve"> </w:t>
      </w:r>
      <w:r w:rsidR="00FD6E14" w:rsidRPr="00896AA6">
        <w:t>As</w:t>
      </w:r>
      <w:r w:rsidR="009A0847">
        <w:t xml:space="preserve"> </w:t>
      </w:r>
      <w:r w:rsidR="00FD6E14" w:rsidRPr="00896AA6">
        <w:t>we</w:t>
      </w:r>
      <w:r w:rsidR="009A0847">
        <w:t xml:space="preserve"> </w:t>
      </w:r>
      <w:r w:rsidR="00FD6E14" w:rsidRPr="00896AA6">
        <w:t>shall</w:t>
      </w:r>
      <w:r w:rsidR="009A0847">
        <w:t xml:space="preserve"> </w:t>
      </w:r>
      <w:r w:rsidR="00FD6E14" w:rsidRPr="00896AA6">
        <w:t>see,</w:t>
      </w:r>
      <w:r w:rsidR="009A0847">
        <w:t xml:space="preserve"> </w:t>
      </w:r>
      <w:r w:rsidR="00FD6E14" w:rsidRPr="00896AA6">
        <w:t>the</w:t>
      </w:r>
      <w:r w:rsidR="009A0847">
        <w:t xml:space="preserve"> </w:t>
      </w:r>
      <w:r w:rsidR="00FD6E14" w:rsidRPr="00896AA6">
        <w:t>endogenous</w:t>
      </w:r>
      <w:r w:rsidR="009A0847">
        <w:t xml:space="preserve"> </w:t>
      </w:r>
      <w:r w:rsidR="00FD6E14" w:rsidRPr="00896AA6">
        <w:t>nature</w:t>
      </w:r>
      <w:r w:rsidR="009A0847">
        <w:t xml:space="preserve"> </w:t>
      </w:r>
      <w:r w:rsidR="00FD6E14" w:rsidRPr="00896AA6">
        <w:t>of</w:t>
      </w:r>
      <w:r w:rsidR="009A0847">
        <w:t xml:space="preserve"> </w:t>
      </w:r>
      <w:r w:rsidR="00FD6E14" w:rsidRPr="00896AA6">
        <w:t>the</w:t>
      </w:r>
      <w:r w:rsidR="009A0847">
        <w:t xml:space="preserve"> </w:t>
      </w:r>
      <w:r w:rsidR="00FD6E14" w:rsidRPr="00896AA6">
        <w:t>detection</w:t>
      </w:r>
      <w:r w:rsidR="009A0847">
        <w:t xml:space="preserve"> </w:t>
      </w:r>
      <w:r w:rsidR="00FD6E14" w:rsidRPr="00896AA6">
        <w:t>probability</w:t>
      </w:r>
      <w:r w:rsidR="009A0847">
        <w:t xml:space="preserve"> </w:t>
      </w:r>
      <w:r w:rsidR="00FD6E14" w:rsidRPr="00896AA6">
        <w:t>introduces</w:t>
      </w:r>
      <w:r w:rsidR="009A0847">
        <w:t xml:space="preserve"> </w:t>
      </w:r>
      <w:r w:rsidR="00FD6E14" w:rsidRPr="00896AA6">
        <w:t>a</w:t>
      </w:r>
      <w:r w:rsidR="009A0847">
        <w:t xml:space="preserve"> </w:t>
      </w:r>
      <w:r w:rsidR="00FD6E14" w:rsidRPr="00896AA6">
        <w:t>coordination</w:t>
      </w:r>
      <w:r w:rsidR="009A0847">
        <w:t xml:space="preserve"> </w:t>
      </w:r>
      <w:r w:rsidR="00FD6E14" w:rsidRPr="00EC075C">
        <w:rPr>
          <w:color w:val="000000" w:themeColor="text1"/>
        </w:rPr>
        <w:t>component</w:t>
      </w:r>
      <w:r w:rsidR="009A0847">
        <w:rPr>
          <w:color w:val="000000" w:themeColor="text1"/>
        </w:rPr>
        <w:t xml:space="preserve"> </w:t>
      </w:r>
      <w:r w:rsidR="00FD6E14" w:rsidRPr="00EC075C">
        <w:rPr>
          <w:color w:val="000000" w:themeColor="text1"/>
        </w:rPr>
        <w:t>for</w:t>
      </w:r>
      <w:r w:rsidR="009A0847">
        <w:rPr>
          <w:color w:val="000000" w:themeColor="text1"/>
        </w:rPr>
        <w:t xml:space="preserve"> </w:t>
      </w:r>
      <w:r w:rsidR="00FD6E14" w:rsidRPr="00EC075C">
        <w:rPr>
          <w:color w:val="000000" w:themeColor="text1"/>
        </w:rPr>
        <w:t>the</w:t>
      </w:r>
      <w:r w:rsidR="009A0847">
        <w:rPr>
          <w:color w:val="000000" w:themeColor="text1"/>
        </w:rPr>
        <w:t xml:space="preserve"> </w:t>
      </w:r>
      <w:r w:rsidR="00502346">
        <w:rPr>
          <w:color w:val="000000" w:themeColor="text1"/>
        </w:rPr>
        <w:t>banks</w:t>
      </w:r>
      <w:r w:rsidR="00FD6E14" w:rsidRPr="00EC075C">
        <w:rPr>
          <w:color w:val="000000" w:themeColor="text1"/>
        </w:rPr>
        <w:t>.</w:t>
      </w:r>
    </w:p>
    <w:p w14:paraId="70FD7FDB" w14:textId="71997A97" w:rsidR="00CA49F2" w:rsidRPr="00F72D79" w:rsidRDefault="00AB4149" w:rsidP="00F86E09">
      <w:pPr>
        <w:pStyle w:val="Olivier1"/>
        <w:widowControl w:val="0"/>
        <w:ind w:firstLine="360"/>
        <w:rPr>
          <w:color w:val="FF0000"/>
        </w:rPr>
      </w:pPr>
      <w:r>
        <w:rPr>
          <w:color w:val="000000" w:themeColor="text1"/>
        </w:rPr>
        <w:t>Observing</w:t>
      </w:r>
      <w:r w:rsidR="009A0847">
        <w:rPr>
          <w:color w:val="000000" w:themeColor="text1"/>
        </w:rPr>
        <w:t xml:space="preserve"> </w:t>
      </w:r>
      <w:r w:rsidR="00CA49F2" w:rsidRPr="00FD6E14">
        <w:rPr>
          <w:color w:val="000000" w:themeColor="text1"/>
        </w:rPr>
        <w:t>the</w:t>
      </w:r>
      <w:r w:rsidR="009A0847">
        <w:rPr>
          <w:color w:val="000000" w:themeColor="text1"/>
        </w:rPr>
        <w:t xml:space="preserve"> </w:t>
      </w:r>
      <w:r w:rsidR="00CA49F2" w:rsidRPr="00FD6E14">
        <w:rPr>
          <w:color w:val="000000" w:themeColor="text1"/>
        </w:rPr>
        <w:t>bank</w:t>
      </w:r>
      <w:r w:rsidR="009A0847">
        <w:rPr>
          <w:color w:val="000000" w:themeColor="text1"/>
        </w:rPr>
        <w:t xml:space="preserve"> </w:t>
      </w:r>
      <w:r>
        <w:rPr>
          <w:color w:val="000000" w:themeColor="text1"/>
        </w:rPr>
        <w:t>going</w:t>
      </w:r>
      <w:r w:rsidR="009A0847">
        <w:rPr>
          <w:color w:val="000000" w:themeColor="text1"/>
        </w:rPr>
        <w:t xml:space="preserve"> </w:t>
      </w:r>
      <w:r>
        <w:rPr>
          <w:color w:val="000000" w:themeColor="text1"/>
        </w:rPr>
        <w:t>to</w:t>
      </w:r>
      <w:r w:rsidR="009A0847">
        <w:rPr>
          <w:color w:val="000000" w:themeColor="text1"/>
        </w:rPr>
        <w:t xml:space="preserve"> </w:t>
      </w:r>
      <w:r w:rsidR="00CA49F2" w:rsidRPr="00FD6E14">
        <w:rPr>
          <w:color w:val="000000" w:themeColor="text1"/>
        </w:rPr>
        <w:t>the</w:t>
      </w:r>
      <w:r w:rsidR="009A0847">
        <w:rPr>
          <w:color w:val="000000" w:themeColor="text1"/>
        </w:rPr>
        <w:t xml:space="preserve"> </w:t>
      </w:r>
      <w:r w:rsidR="00CA49F2" w:rsidRPr="00FD6E14">
        <w:rPr>
          <w:color w:val="000000" w:themeColor="text1"/>
        </w:rPr>
        <w:t>DW</w:t>
      </w:r>
      <w:r w:rsidR="009A0847">
        <w:rPr>
          <w:color w:val="000000" w:themeColor="text1"/>
        </w:rPr>
        <w:t xml:space="preserve"> </w:t>
      </w:r>
      <w:r w:rsidR="00CA49F2" w:rsidRPr="00FD6E14">
        <w:rPr>
          <w:color w:val="000000" w:themeColor="text1"/>
        </w:rPr>
        <w:t>enables</w:t>
      </w:r>
      <w:r w:rsidR="009A0847">
        <w:rPr>
          <w:color w:val="000000" w:themeColor="text1"/>
        </w:rPr>
        <w:t xml:space="preserve"> </w:t>
      </w:r>
      <w:r w:rsidR="00CA49F2" w:rsidRPr="00FD6E14">
        <w:rPr>
          <w:color w:val="000000" w:themeColor="text1"/>
        </w:rPr>
        <w:t>the</w:t>
      </w:r>
      <w:r w:rsidR="009A0847">
        <w:rPr>
          <w:color w:val="000000" w:themeColor="text1"/>
        </w:rPr>
        <w:t xml:space="preserve"> </w:t>
      </w:r>
      <w:r w:rsidR="00CA49F2" w:rsidRPr="00FD6E14">
        <w:rPr>
          <w:color w:val="000000" w:themeColor="text1"/>
        </w:rPr>
        <w:t>investor</w:t>
      </w:r>
      <w:r w:rsidR="009A0847">
        <w:rPr>
          <w:color w:val="000000" w:themeColor="text1"/>
        </w:rPr>
        <w:t xml:space="preserve"> </w:t>
      </w:r>
      <w:r w:rsidR="00CA49F2" w:rsidRPr="00FD6E14">
        <w:rPr>
          <w:color w:val="000000" w:themeColor="text1"/>
        </w:rPr>
        <w:t>to</w:t>
      </w:r>
      <w:r w:rsidR="009A0847">
        <w:rPr>
          <w:color w:val="000000" w:themeColor="text1"/>
        </w:rPr>
        <w:t xml:space="preserve"> </w:t>
      </w:r>
      <w:r w:rsidR="00CA49F2" w:rsidRPr="00FD6E14">
        <w:rPr>
          <w:color w:val="000000" w:themeColor="text1"/>
        </w:rPr>
        <w:t>update</w:t>
      </w:r>
      <w:r w:rsidR="009A0847">
        <w:rPr>
          <w:color w:val="000000" w:themeColor="text1"/>
        </w:rPr>
        <w:t xml:space="preserve"> </w:t>
      </w:r>
      <w:r w:rsidR="00CA49F2" w:rsidRPr="00FD6E14">
        <w:rPr>
          <w:color w:val="000000" w:themeColor="text1"/>
        </w:rPr>
        <w:t>its</w:t>
      </w:r>
      <w:r w:rsidR="009A0847">
        <w:rPr>
          <w:color w:val="000000" w:themeColor="text1"/>
        </w:rPr>
        <w:t xml:space="preserve"> </w:t>
      </w:r>
      <w:r w:rsidR="00CA49F2" w:rsidRPr="00FD6E14">
        <w:rPr>
          <w:color w:val="000000" w:themeColor="text1"/>
        </w:rPr>
        <w:t>beliefs</w:t>
      </w:r>
      <w:r w:rsidR="009A0847">
        <w:rPr>
          <w:color w:val="000000" w:themeColor="text1"/>
        </w:rPr>
        <w:t xml:space="preserve"> </w:t>
      </w:r>
      <w:r w:rsidR="00CA49F2" w:rsidRPr="00FD6E14">
        <w:rPr>
          <w:color w:val="000000" w:themeColor="text1"/>
        </w:rPr>
        <w:t>about</w:t>
      </w:r>
      <w:r w:rsidR="009A0847">
        <w:rPr>
          <w:color w:val="000000" w:themeColor="text1"/>
        </w:rPr>
        <w:t xml:space="preserve"> </w:t>
      </w:r>
      <w:r w:rsidR="00CA49F2" w:rsidRPr="00FD6E14">
        <w:rPr>
          <w:color w:val="000000" w:themeColor="text1"/>
        </w:rPr>
        <w:t>the</w:t>
      </w:r>
      <w:r w:rsidR="009A0847">
        <w:rPr>
          <w:color w:val="000000" w:themeColor="text1"/>
        </w:rPr>
        <w:t xml:space="preserve"> </w:t>
      </w:r>
      <w:r w:rsidR="00CA49F2" w:rsidRPr="00FD6E14">
        <w:rPr>
          <w:color w:val="000000" w:themeColor="text1"/>
        </w:rPr>
        <w:t>bank’s</w:t>
      </w:r>
      <w:r w:rsidR="009A0847">
        <w:rPr>
          <w:color w:val="000000" w:themeColor="text1"/>
        </w:rPr>
        <w:t xml:space="preserve"> </w:t>
      </w:r>
      <w:r w:rsidR="00CA49F2" w:rsidRPr="00FD6E14">
        <w:rPr>
          <w:color w:val="000000" w:themeColor="text1"/>
        </w:rPr>
        <w:t>solvency</w:t>
      </w:r>
      <w:r w:rsidR="009A0847">
        <w:rPr>
          <w:color w:val="000000" w:themeColor="text1"/>
        </w:rPr>
        <w:t xml:space="preserve"> </w:t>
      </w:r>
      <w:r w:rsidR="00CA49F2" w:rsidRPr="00FD6E14">
        <w:rPr>
          <w:color w:val="000000" w:themeColor="text1"/>
        </w:rPr>
        <w:t>before</w:t>
      </w:r>
      <w:r w:rsidR="009A0847">
        <w:rPr>
          <w:color w:val="000000" w:themeColor="text1"/>
        </w:rPr>
        <w:t xml:space="preserve"> </w:t>
      </w:r>
      <w:r w:rsidR="00CA49F2" w:rsidRPr="00FD6E14">
        <w:rPr>
          <w:color w:val="000000" w:themeColor="text1"/>
        </w:rPr>
        <w:t>making</w:t>
      </w:r>
      <w:r w:rsidR="009A0847">
        <w:rPr>
          <w:color w:val="000000" w:themeColor="text1"/>
        </w:rPr>
        <w:t xml:space="preserve"> </w:t>
      </w:r>
      <w:r w:rsidR="00CA49F2" w:rsidRPr="00FD6E14">
        <w:rPr>
          <w:color w:val="000000" w:themeColor="text1"/>
        </w:rPr>
        <w:t>a</w:t>
      </w:r>
      <w:r w:rsidR="009A0847">
        <w:rPr>
          <w:color w:val="000000" w:themeColor="text1"/>
        </w:rPr>
        <w:t xml:space="preserve"> </w:t>
      </w:r>
      <w:r w:rsidR="00CA49F2" w:rsidRPr="00FD6E14">
        <w:rPr>
          <w:color w:val="000000" w:themeColor="text1"/>
        </w:rPr>
        <w:t>funding</w:t>
      </w:r>
      <w:r w:rsidR="009A0847">
        <w:rPr>
          <w:color w:val="000000" w:themeColor="text1"/>
        </w:rPr>
        <w:t xml:space="preserve"> </w:t>
      </w:r>
      <w:r w:rsidR="00CA49F2" w:rsidRPr="00FD6E14">
        <w:rPr>
          <w:color w:val="000000" w:themeColor="text1"/>
        </w:rPr>
        <w:t>decision.</w:t>
      </w:r>
      <w:r w:rsidR="009A0847">
        <w:rPr>
          <w:color w:val="000000" w:themeColor="text1"/>
        </w:rPr>
        <w:t xml:space="preserve"> </w:t>
      </w:r>
      <w:r w:rsidR="00CA49F2" w:rsidRPr="00FD6E14">
        <w:rPr>
          <w:color w:val="000000" w:themeColor="text1"/>
        </w:rPr>
        <w:t>Indeed,</w:t>
      </w:r>
      <w:r w:rsidR="009A0847">
        <w:rPr>
          <w:color w:val="000000" w:themeColor="text1"/>
        </w:rPr>
        <w:t xml:space="preserve"> </w:t>
      </w:r>
      <w:r w:rsidR="00CA49F2" w:rsidRPr="00FD6E14">
        <w:rPr>
          <w:color w:val="000000" w:themeColor="text1"/>
        </w:rPr>
        <w:t>DW</w:t>
      </w:r>
      <w:r w:rsidR="009A0847">
        <w:rPr>
          <w:color w:val="000000" w:themeColor="text1"/>
        </w:rPr>
        <w:t xml:space="preserve"> </w:t>
      </w:r>
      <w:r w:rsidR="00CA49F2" w:rsidRPr="00FD6E14">
        <w:rPr>
          <w:color w:val="000000" w:themeColor="text1"/>
        </w:rPr>
        <w:t>detection</w:t>
      </w:r>
      <w:r w:rsidR="009A0847">
        <w:rPr>
          <w:color w:val="000000" w:themeColor="text1"/>
        </w:rPr>
        <w:t xml:space="preserve"> </w:t>
      </w:r>
      <w:r w:rsidR="00CA49F2" w:rsidRPr="00FD6E14">
        <w:rPr>
          <w:color w:val="000000" w:themeColor="text1"/>
        </w:rPr>
        <w:t>implies</w:t>
      </w:r>
      <w:r w:rsidR="009A0847">
        <w:rPr>
          <w:color w:val="000000" w:themeColor="text1"/>
        </w:rPr>
        <w:t xml:space="preserve"> </w:t>
      </w:r>
      <w:r w:rsidR="00CA49F2" w:rsidRPr="00FD6E14">
        <w:rPr>
          <w:color w:val="000000" w:themeColor="text1"/>
        </w:rPr>
        <w:t>that</w:t>
      </w:r>
      <w:r w:rsidR="009A0847">
        <w:rPr>
          <w:color w:val="000000" w:themeColor="text1"/>
        </w:rPr>
        <w:t xml:space="preserve"> </w:t>
      </w:r>
      <w:r w:rsidR="00CA49F2" w:rsidRPr="00FD6E14">
        <w:rPr>
          <w:color w:val="000000" w:themeColor="text1"/>
        </w:rPr>
        <w:t>the</w:t>
      </w:r>
      <w:r w:rsidR="009A0847">
        <w:rPr>
          <w:color w:val="000000" w:themeColor="text1"/>
        </w:rPr>
        <w:t xml:space="preserve"> </w:t>
      </w:r>
      <w:r w:rsidR="00CA49F2" w:rsidRPr="00FD6E14">
        <w:rPr>
          <w:color w:val="000000" w:themeColor="text1"/>
        </w:rPr>
        <w:t>bank</w:t>
      </w:r>
      <w:r w:rsidR="009A0847">
        <w:rPr>
          <w:color w:val="000000" w:themeColor="text1"/>
        </w:rPr>
        <w:t xml:space="preserve"> </w:t>
      </w:r>
      <w:r w:rsidR="00CA49F2" w:rsidRPr="00FD6E14">
        <w:rPr>
          <w:color w:val="000000" w:themeColor="text1"/>
        </w:rPr>
        <w:t>is</w:t>
      </w:r>
      <w:r w:rsidR="009A0847">
        <w:rPr>
          <w:color w:val="000000" w:themeColor="text1"/>
        </w:rPr>
        <w:t xml:space="preserve"> </w:t>
      </w:r>
      <w:r w:rsidR="00CA49F2" w:rsidRPr="00FD6E14">
        <w:rPr>
          <w:color w:val="000000" w:themeColor="text1"/>
        </w:rPr>
        <w:t>illiquid</w:t>
      </w:r>
      <w:r w:rsidR="009A0847">
        <w:rPr>
          <w:color w:val="000000" w:themeColor="text1"/>
        </w:rPr>
        <w:t xml:space="preserve"> </w:t>
      </w:r>
      <w:r w:rsidR="00CA49F2" w:rsidRPr="00FD6E14">
        <w:rPr>
          <w:color w:val="000000" w:themeColor="text1"/>
        </w:rPr>
        <w:t>and</w:t>
      </w:r>
      <w:r w:rsidR="009A0847">
        <w:rPr>
          <w:color w:val="000000" w:themeColor="text1"/>
        </w:rPr>
        <w:t xml:space="preserve"> </w:t>
      </w:r>
      <w:r w:rsidR="00CA49F2" w:rsidRPr="00FD6E14">
        <w:rPr>
          <w:color w:val="000000" w:themeColor="text1"/>
        </w:rPr>
        <w:t>illiquid</w:t>
      </w:r>
      <w:r w:rsidR="009A0847">
        <w:rPr>
          <w:color w:val="000000" w:themeColor="text1"/>
        </w:rPr>
        <w:t xml:space="preserve"> </w:t>
      </w:r>
      <w:r w:rsidR="00CA49F2" w:rsidRPr="00FD6E14">
        <w:rPr>
          <w:color w:val="000000" w:themeColor="text1"/>
        </w:rPr>
        <w:t>banks</w:t>
      </w:r>
      <w:r w:rsidR="009A0847">
        <w:rPr>
          <w:color w:val="000000" w:themeColor="text1"/>
        </w:rPr>
        <w:t xml:space="preserve"> </w:t>
      </w:r>
      <w:r w:rsidR="00CA49F2" w:rsidRPr="00FD6E14">
        <w:rPr>
          <w:color w:val="000000" w:themeColor="text1"/>
        </w:rPr>
        <w:t>are</w:t>
      </w:r>
      <w:r w:rsidR="009A0847">
        <w:rPr>
          <w:color w:val="000000" w:themeColor="text1"/>
        </w:rPr>
        <w:t xml:space="preserve"> </w:t>
      </w:r>
      <w:r w:rsidR="00CA49F2" w:rsidRPr="00FD6E14">
        <w:rPr>
          <w:color w:val="000000" w:themeColor="text1"/>
        </w:rPr>
        <w:t>by</w:t>
      </w:r>
      <w:r w:rsidR="009A0847">
        <w:rPr>
          <w:color w:val="000000" w:themeColor="text1"/>
        </w:rPr>
        <w:t xml:space="preserve"> </w:t>
      </w:r>
      <w:r w:rsidR="00CA49F2" w:rsidRPr="00FD6E14">
        <w:rPr>
          <w:color w:val="000000" w:themeColor="text1"/>
        </w:rPr>
        <w:t>construction</w:t>
      </w:r>
      <w:r w:rsidR="009A0847">
        <w:rPr>
          <w:color w:val="000000" w:themeColor="text1"/>
        </w:rPr>
        <w:t xml:space="preserve"> </w:t>
      </w:r>
      <w:r w:rsidR="00CA49F2" w:rsidRPr="00FD6E14">
        <w:rPr>
          <w:color w:val="000000" w:themeColor="text1"/>
        </w:rPr>
        <w:t>more</w:t>
      </w:r>
      <w:r w:rsidR="009A0847">
        <w:rPr>
          <w:color w:val="000000" w:themeColor="text1"/>
        </w:rPr>
        <w:t xml:space="preserve"> </w:t>
      </w:r>
      <w:r w:rsidR="00CA49F2" w:rsidRPr="00FD6E14">
        <w:rPr>
          <w:color w:val="000000" w:themeColor="text1"/>
        </w:rPr>
        <w:t>likely</w:t>
      </w:r>
      <w:r w:rsidR="009A0847">
        <w:rPr>
          <w:color w:val="000000" w:themeColor="text1"/>
        </w:rPr>
        <w:t xml:space="preserve"> </w:t>
      </w:r>
      <w:r w:rsidR="00CA49F2" w:rsidRPr="00FD6E14">
        <w:rPr>
          <w:color w:val="000000" w:themeColor="text1"/>
        </w:rPr>
        <w:t>to</w:t>
      </w:r>
      <w:r w:rsidR="009A0847">
        <w:rPr>
          <w:color w:val="000000" w:themeColor="text1"/>
        </w:rPr>
        <w:t xml:space="preserve"> </w:t>
      </w:r>
      <w:r w:rsidR="00CA49F2" w:rsidRPr="00FD6E14">
        <w:rPr>
          <w:color w:val="000000" w:themeColor="text1"/>
        </w:rPr>
        <w:t>be</w:t>
      </w:r>
      <w:r w:rsidR="009A0847">
        <w:rPr>
          <w:color w:val="000000" w:themeColor="text1"/>
        </w:rPr>
        <w:t xml:space="preserve"> </w:t>
      </w:r>
      <w:r w:rsidR="00CA49F2" w:rsidRPr="00FD6E14">
        <w:rPr>
          <w:color w:val="000000" w:themeColor="text1"/>
        </w:rPr>
        <w:t>insolvent.</w:t>
      </w:r>
      <w:r w:rsidR="009A0847">
        <w:rPr>
          <w:color w:val="000000" w:themeColor="text1"/>
        </w:rPr>
        <w:t xml:space="preserve"> </w:t>
      </w:r>
      <w:r w:rsidR="00CA49F2" w:rsidRPr="00FD6E14">
        <w:rPr>
          <w:color w:val="000000" w:themeColor="text1"/>
        </w:rPr>
        <w:t>Thus,</w:t>
      </w:r>
      <w:r w:rsidR="009A0847">
        <w:rPr>
          <w:color w:val="000000" w:themeColor="text1"/>
        </w:rPr>
        <w:t xml:space="preserve"> </w:t>
      </w:r>
      <w:r w:rsidR="00CA49F2" w:rsidRPr="00FD6E14">
        <w:rPr>
          <w:color w:val="000000" w:themeColor="text1"/>
        </w:rPr>
        <w:t>there</w:t>
      </w:r>
      <w:r w:rsidR="009A0847">
        <w:rPr>
          <w:color w:val="000000" w:themeColor="text1"/>
        </w:rPr>
        <w:t xml:space="preserve"> </w:t>
      </w:r>
      <w:r w:rsidR="00CA49F2" w:rsidRPr="00FD6E14">
        <w:rPr>
          <w:color w:val="000000" w:themeColor="text1"/>
        </w:rPr>
        <w:t>is</w:t>
      </w:r>
      <w:r w:rsidR="009A0847">
        <w:rPr>
          <w:color w:val="000000" w:themeColor="text1"/>
        </w:rPr>
        <w:t xml:space="preserve"> </w:t>
      </w:r>
      <w:r w:rsidR="00CA49F2" w:rsidRPr="00FD6E14">
        <w:rPr>
          <w:color w:val="000000" w:themeColor="text1"/>
        </w:rPr>
        <w:t>an</w:t>
      </w:r>
      <w:r w:rsidR="009A0847">
        <w:rPr>
          <w:color w:val="000000" w:themeColor="text1"/>
        </w:rPr>
        <w:t xml:space="preserve"> </w:t>
      </w:r>
      <w:r w:rsidR="00CA49F2" w:rsidRPr="00FD6E14">
        <w:rPr>
          <w:color w:val="000000" w:themeColor="text1"/>
        </w:rPr>
        <w:t>indirect</w:t>
      </w:r>
      <w:r w:rsidR="009A0847">
        <w:rPr>
          <w:color w:val="000000" w:themeColor="text1"/>
        </w:rPr>
        <w:t xml:space="preserve"> </w:t>
      </w:r>
      <w:r w:rsidR="00CA49F2" w:rsidRPr="00FD6E14">
        <w:rPr>
          <w:color w:val="000000" w:themeColor="text1"/>
        </w:rPr>
        <w:t>cost</w:t>
      </w:r>
      <w:r w:rsidR="009A0847">
        <w:rPr>
          <w:color w:val="000000" w:themeColor="text1"/>
        </w:rPr>
        <w:t xml:space="preserve"> </w:t>
      </w:r>
      <w:r w:rsidR="00CA49F2" w:rsidRPr="00FD6E14">
        <w:rPr>
          <w:color w:val="000000" w:themeColor="text1"/>
        </w:rPr>
        <w:t>to</w:t>
      </w:r>
      <w:r w:rsidR="009A0847">
        <w:rPr>
          <w:color w:val="000000" w:themeColor="text1"/>
        </w:rPr>
        <w:t xml:space="preserve"> </w:t>
      </w:r>
      <w:r w:rsidR="00CA49F2" w:rsidRPr="00FD6E14">
        <w:rPr>
          <w:color w:val="000000" w:themeColor="text1"/>
        </w:rPr>
        <w:t>DW</w:t>
      </w:r>
      <w:r w:rsidR="009A0847">
        <w:rPr>
          <w:color w:val="000000" w:themeColor="text1"/>
        </w:rPr>
        <w:t xml:space="preserve"> </w:t>
      </w:r>
      <w:r w:rsidR="00CA49F2" w:rsidRPr="00FD6E14">
        <w:rPr>
          <w:color w:val="000000" w:themeColor="text1"/>
        </w:rPr>
        <w:t>borrowing</w:t>
      </w:r>
      <w:r w:rsidR="009A0847">
        <w:rPr>
          <w:color w:val="000000" w:themeColor="text1"/>
        </w:rPr>
        <w:t xml:space="preserve"> </w:t>
      </w:r>
      <w:r w:rsidR="00CA49F2" w:rsidRPr="00FD6E14">
        <w:rPr>
          <w:color w:val="000000" w:themeColor="text1"/>
        </w:rPr>
        <w:t>for</w:t>
      </w:r>
      <w:r w:rsidR="009A0847">
        <w:rPr>
          <w:color w:val="000000" w:themeColor="text1"/>
        </w:rPr>
        <w:t xml:space="preserve"> </w:t>
      </w:r>
      <w:r w:rsidR="00CA49F2" w:rsidRPr="00FD6E14">
        <w:rPr>
          <w:color w:val="000000" w:themeColor="text1"/>
        </w:rPr>
        <w:t>the</w:t>
      </w:r>
      <w:r w:rsidR="009A0847">
        <w:rPr>
          <w:color w:val="000000" w:themeColor="text1"/>
        </w:rPr>
        <w:t xml:space="preserve"> </w:t>
      </w:r>
      <w:r w:rsidR="00CA49F2" w:rsidRPr="00FD6E14">
        <w:rPr>
          <w:color w:val="000000" w:themeColor="text1"/>
        </w:rPr>
        <w:t>banks:</w:t>
      </w:r>
      <w:r w:rsidR="009A0847">
        <w:rPr>
          <w:color w:val="000000" w:themeColor="text1"/>
        </w:rPr>
        <w:t xml:space="preserve"> </w:t>
      </w:r>
      <w:r w:rsidR="00CA49F2" w:rsidRPr="00FD6E14">
        <w:rPr>
          <w:color w:val="000000" w:themeColor="text1"/>
        </w:rPr>
        <w:t>if</w:t>
      </w:r>
      <w:r w:rsidR="009A0847">
        <w:rPr>
          <w:color w:val="000000" w:themeColor="text1"/>
        </w:rPr>
        <w:t xml:space="preserve"> </w:t>
      </w:r>
      <w:r>
        <w:rPr>
          <w:color w:val="000000" w:themeColor="text1"/>
        </w:rPr>
        <w:t>detect</w:t>
      </w:r>
      <w:r w:rsidR="00CA49F2" w:rsidRPr="00FD6E14">
        <w:rPr>
          <w:color w:val="000000" w:themeColor="text1"/>
        </w:rPr>
        <w:t>ed,</w:t>
      </w:r>
      <w:r w:rsidR="009A0847">
        <w:rPr>
          <w:color w:val="000000" w:themeColor="text1"/>
        </w:rPr>
        <w:t xml:space="preserve"> </w:t>
      </w:r>
      <w:r w:rsidR="00CA49F2" w:rsidRPr="00FD6E14">
        <w:rPr>
          <w:color w:val="000000" w:themeColor="text1"/>
        </w:rPr>
        <w:t>the</w:t>
      </w:r>
      <w:r w:rsidR="009A0847">
        <w:rPr>
          <w:color w:val="000000" w:themeColor="text1"/>
        </w:rPr>
        <w:t xml:space="preserve"> </w:t>
      </w:r>
      <w:r w:rsidR="00CA49F2" w:rsidRPr="00FD6E14">
        <w:rPr>
          <w:color w:val="000000" w:themeColor="text1"/>
        </w:rPr>
        <w:t>investor</w:t>
      </w:r>
      <w:r w:rsidR="009A0847">
        <w:rPr>
          <w:color w:val="000000" w:themeColor="text1"/>
        </w:rPr>
        <w:t xml:space="preserve"> </w:t>
      </w:r>
      <w:r w:rsidR="00CA49F2" w:rsidRPr="00FD6E14">
        <w:rPr>
          <w:color w:val="000000" w:themeColor="text1"/>
        </w:rPr>
        <w:t>may</w:t>
      </w:r>
      <w:r w:rsidR="009A0847">
        <w:rPr>
          <w:color w:val="000000" w:themeColor="text1"/>
        </w:rPr>
        <w:t xml:space="preserve"> </w:t>
      </w:r>
      <w:r w:rsidR="00CA49F2" w:rsidRPr="00FD6E14">
        <w:rPr>
          <w:color w:val="000000" w:themeColor="text1"/>
        </w:rPr>
        <w:t>decide</w:t>
      </w:r>
      <w:r w:rsidR="009A0847">
        <w:rPr>
          <w:color w:val="000000" w:themeColor="text1"/>
        </w:rPr>
        <w:t xml:space="preserve"> </w:t>
      </w:r>
      <w:r w:rsidR="00CA49F2" w:rsidRPr="00FD6E14">
        <w:rPr>
          <w:color w:val="000000" w:themeColor="text1"/>
        </w:rPr>
        <w:t>not</w:t>
      </w:r>
      <w:r w:rsidR="009A0847">
        <w:rPr>
          <w:color w:val="000000" w:themeColor="text1"/>
        </w:rPr>
        <w:t xml:space="preserve"> </w:t>
      </w:r>
      <w:r w:rsidR="00CA49F2" w:rsidRPr="00FD6E14">
        <w:rPr>
          <w:color w:val="000000" w:themeColor="text1"/>
        </w:rPr>
        <w:t>to</w:t>
      </w:r>
      <w:r w:rsidR="009A0847">
        <w:rPr>
          <w:color w:val="000000" w:themeColor="text1"/>
        </w:rPr>
        <w:t xml:space="preserve"> </w:t>
      </w:r>
      <w:r w:rsidR="00CA49F2" w:rsidRPr="00FD6E14">
        <w:rPr>
          <w:color w:val="000000" w:themeColor="text1"/>
        </w:rPr>
        <w:t>fund</w:t>
      </w:r>
      <w:r w:rsidR="009A0847">
        <w:rPr>
          <w:color w:val="000000" w:themeColor="text1"/>
        </w:rPr>
        <w:t xml:space="preserve"> </w:t>
      </w:r>
      <w:r w:rsidR="00CA49F2" w:rsidRPr="00FD6E14">
        <w:rPr>
          <w:color w:val="000000" w:themeColor="text1"/>
        </w:rPr>
        <w:t>the</w:t>
      </w:r>
      <w:r w:rsidR="009A0847">
        <w:rPr>
          <w:color w:val="000000" w:themeColor="text1"/>
        </w:rPr>
        <w:t xml:space="preserve"> </w:t>
      </w:r>
      <w:r w:rsidR="00CA49F2" w:rsidRPr="00FD6E14">
        <w:rPr>
          <w:color w:val="000000" w:themeColor="text1"/>
        </w:rPr>
        <w:t>bank</w:t>
      </w:r>
      <w:r w:rsidR="009A0847">
        <w:rPr>
          <w:color w:val="000000" w:themeColor="text1"/>
        </w:rPr>
        <w:t xml:space="preserve"> </w:t>
      </w:r>
      <w:r w:rsidR="00CA49F2" w:rsidRPr="00FD6E14">
        <w:rPr>
          <w:color w:val="000000" w:themeColor="text1"/>
        </w:rPr>
        <w:t>because</w:t>
      </w:r>
      <w:r w:rsidR="009A0847">
        <w:rPr>
          <w:color w:val="000000" w:themeColor="text1"/>
        </w:rPr>
        <w:t xml:space="preserve"> </w:t>
      </w:r>
      <w:r w:rsidR="00CA49F2" w:rsidRPr="00FD6E14">
        <w:rPr>
          <w:color w:val="000000" w:themeColor="text1"/>
        </w:rPr>
        <w:t>of</w:t>
      </w:r>
      <w:r w:rsidR="009A0847">
        <w:rPr>
          <w:color w:val="000000" w:themeColor="text1"/>
        </w:rPr>
        <w:t xml:space="preserve"> </w:t>
      </w:r>
      <w:r w:rsidR="00CA49F2" w:rsidRPr="00FD6E14">
        <w:rPr>
          <w:color w:val="000000" w:themeColor="text1"/>
        </w:rPr>
        <w:t>the</w:t>
      </w:r>
      <w:r w:rsidR="009A0847">
        <w:rPr>
          <w:color w:val="000000" w:themeColor="text1"/>
        </w:rPr>
        <w:t xml:space="preserve"> </w:t>
      </w:r>
      <w:r w:rsidR="00CA49F2" w:rsidRPr="00FD6E14">
        <w:rPr>
          <w:color w:val="000000" w:themeColor="text1"/>
        </w:rPr>
        <w:t>increased</w:t>
      </w:r>
      <w:r w:rsidR="009A0847">
        <w:rPr>
          <w:color w:val="000000" w:themeColor="text1"/>
        </w:rPr>
        <w:t xml:space="preserve"> </w:t>
      </w:r>
      <w:r w:rsidR="00CA49F2" w:rsidRPr="00FD6E14">
        <w:rPr>
          <w:color w:val="000000" w:themeColor="text1"/>
        </w:rPr>
        <w:t>solvency</w:t>
      </w:r>
      <w:r w:rsidR="009A0847">
        <w:rPr>
          <w:color w:val="000000" w:themeColor="text1"/>
        </w:rPr>
        <w:t xml:space="preserve"> </w:t>
      </w:r>
      <w:r w:rsidR="00CA49F2" w:rsidRPr="00FD6E14">
        <w:rPr>
          <w:color w:val="000000" w:themeColor="text1"/>
        </w:rPr>
        <w:t>concern</w:t>
      </w:r>
      <w:r w:rsidR="00AF7367">
        <w:rPr>
          <w:color w:val="000000" w:themeColor="text1"/>
        </w:rPr>
        <w:t>.</w:t>
      </w:r>
    </w:p>
    <w:p w14:paraId="6ED213A8" w14:textId="58F88F81" w:rsidR="00C47F76" w:rsidRPr="00171856" w:rsidRDefault="00E4417C" w:rsidP="00F86E09">
      <w:pPr>
        <w:pStyle w:val="Heading3"/>
        <w:widowControl w:val="0"/>
        <w:spacing w:line="276" w:lineRule="auto"/>
      </w:pPr>
      <w:r>
        <w:t>R</w:t>
      </w:r>
      <w:r w:rsidR="00C47F76">
        <w:t>estrictions</w:t>
      </w:r>
      <w:r w:rsidR="009A0847">
        <w:t xml:space="preserve"> </w:t>
      </w:r>
      <w:r>
        <w:t>on</w:t>
      </w:r>
      <w:r w:rsidR="009A0847">
        <w:t xml:space="preserve"> </w:t>
      </w:r>
      <w:r>
        <w:t>the</w:t>
      </w:r>
      <w:r w:rsidR="009A0847">
        <w:t xml:space="preserve"> </w:t>
      </w:r>
      <w:r>
        <w:t>parameters</w:t>
      </w:r>
    </w:p>
    <w:p w14:paraId="2F148172" w14:textId="71966F45" w:rsidR="00025FCC" w:rsidRPr="00171856" w:rsidRDefault="00EA4039" w:rsidP="00F86E09">
      <w:pPr>
        <w:pStyle w:val="Olivier1"/>
        <w:widowControl w:val="0"/>
      </w:pPr>
      <w:r w:rsidRPr="00171856">
        <w:t>We</w:t>
      </w:r>
      <w:r w:rsidR="009A0847">
        <w:t xml:space="preserve"> </w:t>
      </w:r>
      <w:r w:rsidR="004229F5" w:rsidRPr="00171856">
        <w:t>impose</w:t>
      </w:r>
      <w:r w:rsidR="009A0847">
        <w:t xml:space="preserve"> </w:t>
      </w:r>
      <w:r w:rsidR="004229F5" w:rsidRPr="00171856">
        <w:t>the</w:t>
      </w:r>
      <w:r w:rsidR="009A0847">
        <w:t xml:space="preserve"> </w:t>
      </w:r>
      <w:r w:rsidR="004229F5" w:rsidRPr="00171856">
        <w:t>following</w:t>
      </w:r>
      <w:r w:rsidR="009A0847">
        <w:t xml:space="preserve"> </w:t>
      </w:r>
      <w:r w:rsidR="004229F5" w:rsidRPr="00171856">
        <w:t>restrictions</w:t>
      </w:r>
      <w:r w:rsidR="009A0847">
        <w:t xml:space="preserve"> </w:t>
      </w:r>
      <w:r w:rsidR="004229F5" w:rsidRPr="00171856">
        <w:t>on</w:t>
      </w:r>
      <w:r w:rsidR="009A0847">
        <w:t xml:space="preserve"> </w:t>
      </w:r>
      <w:r w:rsidR="004229F5" w:rsidRPr="00171856">
        <w:t>the</w:t>
      </w:r>
      <w:r w:rsidR="009A0847">
        <w:t xml:space="preserve"> </w:t>
      </w:r>
      <w:r w:rsidR="004229F5" w:rsidRPr="00171856">
        <w:t>model’s</w:t>
      </w:r>
      <w:r w:rsidR="009A0847">
        <w:t xml:space="preserve"> </w:t>
      </w:r>
      <w:r w:rsidR="004229F5" w:rsidRPr="00171856">
        <w:t>parameters:</w:t>
      </w:r>
      <w:r w:rsidR="009A0847">
        <w:t xml:space="preserve"> </w:t>
      </w:r>
    </w:p>
    <w:p w14:paraId="3F24616C" w14:textId="76C2896D" w:rsidR="007378A2" w:rsidRDefault="00025FCC" w:rsidP="00502346">
      <w:pPr>
        <w:pStyle w:val="Olivier1"/>
        <w:widowControl w:val="0"/>
        <w:numPr>
          <w:ilvl w:val="0"/>
          <w:numId w:val="10"/>
        </w:numPr>
        <w:spacing w:line="240" w:lineRule="auto"/>
        <w:ind w:left="1620" w:hanging="180"/>
      </w:pPr>
      <w:r w:rsidRPr="007378A2">
        <w:rPr>
          <w:i/>
        </w:rPr>
        <w:t>R1</w:t>
      </w:r>
      <w:r w:rsidR="009A0847">
        <w:t xml:space="preserve"> </w:t>
      </w:r>
      <w:r w:rsidRPr="00171856">
        <w:t>:</w:t>
      </w:r>
      <w:r w:rsidR="009A0847">
        <w:t xml:space="preserve">  </w:t>
      </w:r>
      <m:oMath>
        <m:r>
          <m:rPr>
            <m:sty m:val="p"/>
          </m:rPr>
          <w:rPr>
            <w:rFonts w:ascii="Cambria Math" w:hAnsi="Cambria Math"/>
            <w:sz w:val="22"/>
            <w:szCs w:val="22"/>
          </w:rPr>
          <m:t>0&lt;</m:t>
        </m:r>
        <m:r>
          <w:rPr>
            <w:rFonts w:ascii="Cambria Math" w:hAnsi="Cambria Math"/>
            <w:sz w:val="22"/>
            <w:szCs w:val="22"/>
          </w:rPr>
          <m:t>dw</m:t>
        </m:r>
        <m:r>
          <m:rPr>
            <m:sty m:val="p"/>
          </m:rPr>
          <w:rPr>
            <w:rFonts w:ascii="Cambria Math" w:hAnsi="Cambria Math"/>
            <w:sz w:val="22"/>
            <w:szCs w:val="22"/>
          </w:rPr>
          <m:t>&lt;</m:t>
        </m:r>
        <m:r>
          <w:rPr>
            <w:rFonts w:ascii="Cambria Math" w:hAnsi="Cambria Math"/>
            <w:sz w:val="22"/>
            <w:szCs w:val="22"/>
          </w:rPr>
          <m:t>c</m:t>
        </m:r>
        <m:r>
          <m:rPr>
            <m:sty m:val="p"/>
          </m:rPr>
          <w:rPr>
            <w:rFonts w:ascii="Cambria Math" w:hAnsi="Cambria Math"/>
            <w:sz w:val="22"/>
            <w:szCs w:val="22"/>
          </w:rPr>
          <m:t>&lt;</m:t>
        </m:r>
        <m:r>
          <w:rPr>
            <w:rFonts w:ascii="Cambria Math" w:hAnsi="Cambria Math"/>
            <w:sz w:val="22"/>
            <w:szCs w:val="22"/>
          </w:rPr>
          <m:t>k</m:t>
        </m:r>
        <m:r>
          <m:rPr>
            <m:sty m:val="p"/>
          </m:rPr>
          <w:rPr>
            <w:rFonts w:ascii="Cambria Math" w:hAnsi="Cambria Math"/>
            <w:sz w:val="22"/>
            <w:szCs w:val="22"/>
          </w:rPr>
          <m:t>≤</m:t>
        </m:r>
        <m:r>
          <w:rPr>
            <w:rFonts w:ascii="Cambria Math" w:hAnsi="Cambria Math"/>
            <w:sz w:val="22"/>
            <w:szCs w:val="22"/>
          </w:rPr>
          <m:t>v</m:t>
        </m:r>
        <m:r>
          <m:rPr>
            <m:sty m:val="p"/>
          </m:rPr>
          <w:rPr>
            <w:rFonts w:ascii="Cambria Math" w:hAnsi="Cambria Math"/>
            <w:sz w:val="22"/>
            <w:szCs w:val="22"/>
          </w:rPr>
          <m:t>&lt;</m:t>
        </m:r>
        <m:r>
          <w:rPr>
            <w:rFonts w:ascii="Cambria Math" w:hAnsi="Cambria Math"/>
            <w:sz w:val="22"/>
            <w:szCs w:val="22"/>
          </w:rPr>
          <m:t>V</m:t>
        </m:r>
      </m:oMath>
    </w:p>
    <w:p w14:paraId="6B8FBE4E" w14:textId="60B28B7D" w:rsidR="00025FCC" w:rsidRPr="00171856" w:rsidRDefault="00C26349" w:rsidP="00502346">
      <w:pPr>
        <w:pStyle w:val="Olivier1"/>
        <w:widowControl w:val="0"/>
        <w:numPr>
          <w:ilvl w:val="0"/>
          <w:numId w:val="10"/>
        </w:numPr>
        <w:spacing w:line="240" w:lineRule="auto"/>
        <w:ind w:left="1620" w:hanging="180"/>
      </w:pPr>
      <w:r w:rsidRPr="007378A2">
        <w:rPr>
          <w:i/>
        </w:rPr>
        <w:t>R</w:t>
      </w:r>
      <w:r w:rsidR="00653D43" w:rsidRPr="007378A2">
        <w:rPr>
          <w:i/>
        </w:rPr>
        <w:t>2</w:t>
      </w:r>
      <w:r w:rsidR="009A0847">
        <w:t xml:space="preserve"> </w:t>
      </w:r>
      <w:r w:rsidR="00025FCC" w:rsidRPr="00171856">
        <w:t>:</w:t>
      </w:r>
      <w:r w:rsidR="009A0847">
        <w:t xml:space="preserve">  </w:t>
      </w:r>
      <m:oMath>
        <m:bar>
          <m:barPr>
            <m:ctrlPr>
              <w:rPr>
                <w:rFonts w:ascii="Cambria Math" w:hAnsi="Cambria Math"/>
                <w:sz w:val="22"/>
                <w:szCs w:val="22"/>
              </w:rPr>
            </m:ctrlPr>
          </m:barPr>
          <m:e>
            <m:r>
              <w:rPr>
                <w:rFonts w:ascii="Cambria Math" w:hAnsi="Cambria Math"/>
                <w:sz w:val="22"/>
                <w:szCs w:val="22"/>
              </w:rPr>
              <m:t>P</m:t>
            </m:r>
          </m:e>
        </m:bar>
        <m:r>
          <m:rPr>
            <m:sty m:val="p"/>
          </m:rPr>
          <w:rPr>
            <w:rFonts w:ascii="Cambria Math" w:hAnsi="Cambria Math"/>
            <w:sz w:val="22"/>
            <w:szCs w:val="22"/>
          </w:rPr>
          <m:t>&lt;</m:t>
        </m:r>
        <m:f>
          <m:fPr>
            <m:ctrlPr>
              <w:rPr>
                <w:rFonts w:ascii="Cambria Math" w:hAnsi="Cambria Math"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v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V</m:t>
            </m:r>
          </m:den>
        </m:f>
        <m:r>
          <m:rPr>
            <m:sty m:val="p"/>
          </m:rPr>
          <w:rPr>
            <w:rFonts w:ascii="Cambria Math" w:hAnsi="Cambria Math"/>
            <w:sz w:val="22"/>
            <w:szCs w:val="22"/>
          </w:rPr>
          <m:t>&lt;</m:t>
        </m:r>
        <m:r>
          <w:rPr>
            <w:rFonts w:ascii="Cambria Math" w:hAnsi="Cambria Math"/>
            <w:sz w:val="22"/>
            <w:szCs w:val="22"/>
          </w:rPr>
          <m:t>p</m:t>
        </m:r>
      </m:oMath>
      <w:r>
        <w:t>,</w:t>
      </w:r>
      <w:r w:rsidR="009A0847">
        <w:t xml:space="preserve">   </w:t>
      </w:r>
      <w:r w:rsidRPr="00171856">
        <w:t>where</w:t>
      </w:r>
      <w:r w:rsidR="009A0847">
        <w:t xml:space="preserve"> </w:t>
      </w:r>
      <m:oMath>
        <m:bar>
          <m:barPr>
            <m:ctrlPr>
              <w:rPr>
                <w:rFonts w:ascii="Cambria Math" w:hAnsi="Cambria Math"/>
                <w:sz w:val="22"/>
                <w:szCs w:val="22"/>
              </w:rPr>
            </m:ctrlPr>
          </m:barPr>
          <m:e>
            <m:r>
              <w:rPr>
                <w:rFonts w:ascii="Cambria Math" w:hAnsi="Cambria Math"/>
                <w:sz w:val="22"/>
                <w:szCs w:val="22"/>
              </w:rPr>
              <m:t>P</m:t>
            </m:r>
          </m:e>
        </m:bar>
        <m:r>
          <m:rPr>
            <m:sty m:val="p"/>
          </m:rPr>
          <w:rPr>
            <w:rFonts w:ascii="Cambria Math" w:hAnsi="Cambria Math"/>
            <w:sz w:val="22"/>
            <w:szCs w:val="22"/>
          </w:rPr>
          <m:t>=</m:t>
        </m:r>
        <m:f>
          <m:fPr>
            <m:ctrlPr>
              <w:rPr>
                <w:rFonts w:ascii="Cambria Math" w:hAnsi="Cambria Math"/>
                <w:sz w:val="22"/>
                <w:szCs w:val="2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2"/>
                    <w:szCs w:val="22"/>
                  </w:rPr>
                  <m:t>S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sz w:val="22"/>
                        <w:szCs w:val="22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L</m:t>
                    </m:r>
                  </m:e>
                </m:acc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sz w:val="22"/>
                    <w:szCs w:val="22"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S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sz w:val="22"/>
                            <w:szCs w:val="22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L</m:t>
                        </m:r>
                      </m:e>
                    </m:acc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+</m:t>
                </m:r>
                <m:r>
                  <w:rPr>
                    <w:rFonts w:ascii="Cambria Math" w:hAnsi="Cambria Math"/>
                    <w:sz w:val="22"/>
                    <w:szCs w:val="22"/>
                  </w:rPr>
                  <m:t>P</m:t>
                </m:r>
              </m:e>
              <m:sub>
                <m:acc>
                  <m:accPr>
                    <m:chr m:val="̅"/>
                    <m:ctrlPr>
                      <w:rPr>
                        <w:rFonts w:ascii="Cambria Math" w:hAnsi="Cambria Math"/>
                        <w:sz w:val="22"/>
                        <w:szCs w:val="22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S</m:t>
                    </m:r>
                  </m:e>
                </m:acc>
                <m:acc>
                  <m:accPr>
                    <m:chr m:val="̅"/>
                    <m:ctrlPr>
                      <w:rPr>
                        <w:rFonts w:ascii="Cambria Math" w:hAnsi="Cambria Math"/>
                        <w:sz w:val="22"/>
                        <w:szCs w:val="22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L</m:t>
                    </m:r>
                  </m:e>
                </m:acc>
              </m:sub>
            </m:sSub>
          </m:den>
        </m:f>
      </m:oMath>
      <w:r w:rsidR="009A0847">
        <w:t xml:space="preserve">  </w:t>
      </w:r>
      <w:r>
        <w:t>and</w:t>
      </w:r>
      <w:r w:rsidR="009A0847">
        <w:t xml:space="preserve"> </w:t>
      </w:r>
      <m:oMath>
        <m:r>
          <w:rPr>
            <w:rFonts w:ascii="Cambria Math" w:hAnsi="Cambria Math"/>
            <w:sz w:val="22"/>
            <w:szCs w:val="22"/>
          </w:rPr>
          <m:t>p</m:t>
        </m:r>
        <m:r>
          <m:rPr>
            <m:sty m:val="p"/>
          </m:rPr>
          <w:rPr>
            <w:rFonts w:ascii="Cambria Math" w:hAnsi="Cambria Math"/>
            <w:sz w:val="22"/>
            <w:szCs w:val="22"/>
          </w:rPr>
          <m:t>=</m:t>
        </m:r>
        <m:sSub>
          <m:sSubPr>
            <m:ctrlPr>
              <w:rPr>
                <w:rFonts w:ascii="Cambria Math" w:hAnsi="Cambria Math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1-</m:t>
            </m:r>
            <m:r>
              <w:rPr>
                <w:rFonts w:ascii="Cambria Math" w:hAnsi="Cambria Math"/>
                <w:sz w:val="22"/>
                <w:szCs w:val="22"/>
              </w:rPr>
              <m:t>P</m:t>
            </m:r>
          </m:e>
          <m:sub>
            <m:acc>
              <m:accPr>
                <m:chr m:val="̅"/>
                <m:ctrlPr>
                  <w:rPr>
                    <w:rFonts w:ascii="Cambria Math" w:hAnsi="Cambria Math"/>
                    <w:sz w:val="22"/>
                    <w:szCs w:val="22"/>
                  </w:rPr>
                </m:ctrlPr>
              </m:acc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S</m:t>
                </m:r>
              </m:e>
            </m:acc>
            <m:acc>
              <m:accPr>
                <m:chr m:val="̅"/>
                <m:ctrlPr>
                  <w:rPr>
                    <w:rFonts w:ascii="Cambria Math" w:hAnsi="Cambria Math"/>
                    <w:sz w:val="22"/>
                    <w:szCs w:val="22"/>
                  </w:rPr>
                </m:ctrlPr>
              </m:acc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L</m:t>
                </m:r>
              </m:e>
            </m:acc>
          </m:sub>
        </m:sSub>
      </m:oMath>
      <w:r w:rsidR="009A0847">
        <w:t xml:space="preserve"> </w:t>
      </w:r>
    </w:p>
    <w:p w14:paraId="487CD9B0" w14:textId="4CD505EC" w:rsidR="00FF55C5" w:rsidRPr="00A75740" w:rsidRDefault="007E774C" w:rsidP="00F86E09">
      <w:pPr>
        <w:pStyle w:val="Olivier1"/>
        <w:widowControl w:val="0"/>
      </w:pPr>
      <w:r w:rsidRPr="004E1AA6">
        <w:rPr>
          <w:i/>
        </w:rPr>
        <w:t>R1</w:t>
      </w:r>
      <w:r w:rsidR="009A0847">
        <w:t xml:space="preserve"> </w:t>
      </w:r>
      <w:r w:rsidRPr="004E1AA6">
        <w:t>guarantees</w:t>
      </w:r>
      <w:r w:rsidR="009A0847">
        <w:t xml:space="preserve"> </w:t>
      </w:r>
      <w:r w:rsidR="00653D43">
        <w:t>that</w:t>
      </w:r>
      <w:r w:rsidR="009A0847">
        <w:t xml:space="preserve"> </w:t>
      </w:r>
      <w:r w:rsidR="00653D43">
        <w:t>i)</w:t>
      </w:r>
      <w:r w:rsidR="009A0847">
        <w:t xml:space="preserve"> </w:t>
      </w:r>
      <w:r w:rsidRPr="004E1AA6">
        <w:t>DW</w:t>
      </w:r>
      <w:r w:rsidR="009A0847">
        <w:t xml:space="preserve"> </w:t>
      </w:r>
      <w:r w:rsidRPr="004E1AA6">
        <w:t>borrowing</w:t>
      </w:r>
      <w:r w:rsidR="009A0847">
        <w:t xml:space="preserve"> </w:t>
      </w:r>
      <w:r w:rsidRPr="004E1AA6">
        <w:t>is</w:t>
      </w:r>
      <w:r w:rsidR="009A0847">
        <w:t xml:space="preserve"> </w:t>
      </w:r>
      <w:r w:rsidRPr="004E1AA6">
        <w:t>n</w:t>
      </w:r>
      <w:r w:rsidR="00653D43">
        <w:t>ot</w:t>
      </w:r>
      <w:r w:rsidR="009A0847">
        <w:t xml:space="preserve"> </w:t>
      </w:r>
      <w:r w:rsidR="00653D43">
        <w:t>strictly</w:t>
      </w:r>
      <w:r w:rsidR="009A0847">
        <w:t xml:space="preserve"> </w:t>
      </w:r>
      <w:r w:rsidR="00653D43">
        <w:t>dominated</w:t>
      </w:r>
      <w:r w:rsidR="009A0847">
        <w:t xml:space="preserve"> </w:t>
      </w:r>
      <w:r w:rsidR="00E4417C">
        <w:t>(</w:t>
      </w:r>
      <m:oMath>
        <m:r>
          <w:rPr>
            <w:rFonts w:ascii="Cambria Math" w:hAnsi="Cambria Math"/>
            <w:sz w:val="22"/>
            <w:szCs w:val="22"/>
          </w:rPr>
          <m:t>dw&lt;c</m:t>
        </m:r>
      </m:oMath>
      <w:r w:rsidRPr="004E1AA6">
        <w:t>)</w:t>
      </w:r>
      <w:r w:rsidR="007356D6" w:rsidRPr="004E1AA6">
        <w:t>,</w:t>
      </w:r>
      <w:r w:rsidR="009A0847">
        <w:t xml:space="preserve"> </w:t>
      </w:r>
      <w:r w:rsidR="00653D43">
        <w:t>ii)</w:t>
      </w:r>
      <w:r w:rsidR="009A0847">
        <w:t xml:space="preserve"> </w:t>
      </w:r>
      <w:r w:rsidR="00653D43">
        <w:t>it</w:t>
      </w:r>
      <w:r w:rsidR="009A0847">
        <w:t xml:space="preserve"> </w:t>
      </w:r>
      <w:r w:rsidR="00653D43">
        <w:t>is</w:t>
      </w:r>
      <w:r w:rsidR="009A0847">
        <w:t xml:space="preserve"> </w:t>
      </w:r>
      <w:r w:rsidR="00653D43">
        <w:t>profitable</w:t>
      </w:r>
      <w:r w:rsidR="009A0847">
        <w:t xml:space="preserve"> </w:t>
      </w:r>
      <w:r w:rsidR="00653D43">
        <w:t>for</w:t>
      </w:r>
      <w:r w:rsidR="009A0847">
        <w:t xml:space="preserve"> </w:t>
      </w:r>
      <w:r w:rsidR="00E4417C">
        <w:t>a</w:t>
      </w:r>
      <w:r w:rsidR="009A0847">
        <w:t xml:space="preserve"> </w:t>
      </w:r>
      <w:r w:rsidR="00653D43">
        <w:t>bank</w:t>
      </w:r>
      <w:r w:rsidR="009A0847">
        <w:t xml:space="preserve"> </w:t>
      </w:r>
      <w:r w:rsidR="00653D43">
        <w:t>to</w:t>
      </w:r>
      <w:r w:rsidR="009A0847">
        <w:t xml:space="preserve"> </w:t>
      </w:r>
      <w:r w:rsidR="00653D43">
        <w:t>operate</w:t>
      </w:r>
      <w:r w:rsidR="009A0847">
        <w:t xml:space="preserve"> </w:t>
      </w:r>
      <w:r w:rsidR="00653D43">
        <w:t>in</w:t>
      </w:r>
      <w:r w:rsidR="009A0847">
        <w:t xml:space="preserve"> </w:t>
      </w:r>
      <w:r w:rsidR="00653D43">
        <w:t>period</w:t>
      </w:r>
      <w:r w:rsidR="009A0847">
        <w:t xml:space="preserve"> </w:t>
      </w:r>
      <w:r w:rsidR="00653D43">
        <w:t>2</w:t>
      </w:r>
      <w:r w:rsidR="009A0847">
        <w:t xml:space="preserve"> </w:t>
      </w:r>
      <w:r w:rsidR="00D9140A">
        <w:t>even</w:t>
      </w:r>
      <w:r w:rsidR="009A0847">
        <w:t xml:space="preserve"> </w:t>
      </w:r>
      <w:r w:rsidR="00D9140A">
        <w:t>after</w:t>
      </w:r>
      <w:r w:rsidR="009A0847">
        <w:t xml:space="preserve"> </w:t>
      </w:r>
      <w:r w:rsidR="00D9140A">
        <w:t>incurring</w:t>
      </w:r>
      <w:r w:rsidR="009A0847">
        <w:t xml:space="preserve"> </w:t>
      </w:r>
      <w:r w:rsidR="00D9140A">
        <w:t>the</w:t>
      </w:r>
      <w:r w:rsidR="009A0847">
        <w:t xml:space="preserve"> </w:t>
      </w:r>
      <w:r w:rsidR="009308E7">
        <w:t>higher</w:t>
      </w:r>
      <w:r w:rsidR="009A0847">
        <w:t xml:space="preserve"> </w:t>
      </w:r>
      <w:r w:rsidR="009308E7">
        <w:t>illiquidity</w:t>
      </w:r>
      <w:r w:rsidR="009A0847">
        <w:t xml:space="preserve"> </w:t>
      </w:r>
      <w:r w:rsidR="00D9140A">
        <w:t>cost</w:t>
      </w:r>
      <w:r w:rsidR="009A0847">
        <w:t xml:space="preserve"> </w:t>
      </w:r>
      <m:oMath>
        <m:r>
          <w:rPr>
            <w:rFonts w:ascii="Cambria Math" w:hAnsi="Cambria Math"/>
          </w:rPr>
          <m:t>c</m:t>
        </m:r>
      </m:oMath>
      <w:r w:rsidR="009A0847">
        <w:t xml:space="preserve"> </w:t>
      </w:r>
      <w:r w:rsidR="00653D43">
        <w:t>(</w:t>
      </w:r>
      <m:oMath>
        <m:r>
          <w:rPr>
            <w:rFonts w:ascii="Cambria Math" w:hAnsi="Cambria Math"/>
            <w:sz w:val="22"/>
            <w:szCs w:val="22"/>
          </w:rPr>
          <m:t>k&gt;c</m:t>
        </m:r>
      </m:oMath>
      <w:r w:rsidR="00653D43">
        <w:t>),</w:t>
      </w:r>
      <w:r w:rsidR="009A0847">
        <w:t xml:space="preserve"> </w:t>
      </w:r>
      <w:r w:rsidR="00653D43">
        <w:t>and</w:t>
      </w:r>
      <w:r w:rsidR="009A0847">
        <w:t xml:space="preserve"> </w:t>
      </w:r>
      <w:r w:rsidR="00653D43">
        <w:t>iii)</w:t>
      </w:r>
      <w:r w:rsidR="009A0847">
        <w:t xml:space="preserve"> </w:t>
      </w:r>
      <w:r w:rsidR="0048605B" w:rsidRPr="004E1AA6">
        <w:t>it</w:t>
      </w:r>
      <w:r w:rsidR="009A0847">
        <w:t xml:space="preserve"> </w:t>
      </w:r>
      <w:r w:rsidR="0048605B" w:rsidRPr="004E1AA6">
        <w:t>is</w:t>
      </w:r>
      <w:r w:rsidR="009A0847">
        <w:t xml:space="preserve"> </w:t>
      </w:r>
      <w:r w:rsidR="00214079" w:rsidRPr="004E1AA6">
        <w:t>socially</w:t>
      </w:r>
      <w:r w:rsidR="009A0847">
        <w:t xml:space="preserve"> </w:t>
      </w:r>
      <w:r w:rsidR="00214079" w:rsidRPr="004E1AA6">
        <w:t>inefficient</w:t>
      </w:r>
      <w:r w:rsidR="009A0847">
        <w:t xml:space="preserve"> </w:t>
      </w:r>
      <w:r w:rsidR="005929C4" w:rsidRPr="004E1AA6">
        <w:t>to</w:t>
      </w:r>
      <w:r w:rsidR="009A0847">
        <w:t xml:space="preserve"> </w:t>
      </w:r>
      <w:r w:rsidR="00656967" w:rsidRPr="004E1AA6">
        <w:t>fund</w:t>
      </w:r>
      <w:r w:rsidR="009A0847">
        <w:t xml:space="preserve"> </w:t>
      </w:r>
      <w:r w:rsidR="005929C4" w:rsidRPr="004E1AA6">
        <w:t>an</w:t>
      </w:r>
      <w:r w:rsidR="009A0847">
        <w:t xml:space="preserve"> </w:t>
      </w:r>
      <w:r w:rsidR="005929C4" w:rsidRPr="004E1AA6">
        <w:t>insolvent</w:t>
      </w:r>
      <w:r w:rsidR="009A0847">
        <w:t xml:space="preserve"> </w:t>
      </w:r>
      <w:r w:rsidR="005929C4" w:rsidRPr="004E1AA6">
        <w:t>bank</w:t>
      </w:r>
      <w:r w:rsidR="009A0847">
        <w:t xml:space="preserve"> </w:t>
      </w:r>
      <w:r w:rsidR="00653D43">
        <w:t>(</w:t>
      </w:r>
      <m:oMath>
        <m:r>
          <w:rPr>
            <w:rFonts w:ascii="Cambria Math" w:hAnsi="Cambria Math"/>
            <w:sz w:val="22"/>
            <w:szCs w:val="22"/>
          </w:rPr>
          <m:t>k≤v</m:t>
        </m:r>
      </m:oMath>
      <w:r w:rsidR="00653D43">
        <w:t>)</w:t>
      </w:r>
      <w:r w:rsidR="00B55FE6" w:rsidRPr="004E1AA6">
        <w:t>.</w:t>
      </w:r>
      <w:r w:rsidR="00B55FE6" w:rsidRPr="004E1AA6">
        <w:rPr>
          <w:rStyle w:val="FootnoteReference"/>
          <w:szCs w:val="24"/>
        </w:rPr>
        <w:footnoteReference w:id="19"/>
      </w:r>
      <w:r w:rsidR="009A0847">
        <w:t xml:space="preserve"> </w:t>
      </w:r>
      <w:r w:rsidR="00B858CC" w:rsidRPr="004E1AA6">
        <w:t>Because</w:t>
      </w:r>
      <w:r w:rsidR="009A0847">
        <w:t xml:space="preserve"> </w:t>
      </w:r>
      <m:oMath>
        <m:bar>
          <m:barPr>
            <m:ctrlPr>
              <w:rPr>
                <w:rFonts w:ascii="Cambria Math" w:hAnsi="Cambria Math"/>
                <w:i/>
                <w:sz w:val="22"/>
                <w:szCs w:val="22"/>
              </w:rPr>
            </m:ctrlPr>
          </m:barPr>
          <m:e>
            <m:r>
              <w:rPr>
                <w:rFonts w:ascii="Cambria Math" w:hAnsi="Cambria Math"/>
                <w:sz w:val="22"/>
                <w:szCs w:val="22"/>
              </w:rPr>
              <m:t>P</m:t>
            </m:r>
          </m:e>
        </m:bar>
      </m:oMath>
      <w:r w:rsidR="009A0847">
        <w:t xml:space="preserve"> </w:t>
      </w:r>
      <w:r w:rsidR="00B858CC" w:rsidRPr="004E1AA6">
        <w:t>is</w:t>
      </w:r>
      <w:r w:rsidR="009A0847">
        <w:t xml:space="preserve"> </w:t>
      </w:r>
      <w:r w:rsidR="00B858CC" w:rsidRPr="004E1AA6">
        <w:t>the</w:t>
      </w:r>
      <w:r w:rsidR="009A0847">
        <w:t xml:space="preserve"> </w:t>
      </w:r>
      <w:r w:rsidR="00B858CC" w:rsidRPr="004E1AA6">
        <w:t>probability</w:t>
      </w:r>
      <w:r w:rsidR="009A0847">
        <w:t xml:space="preserve"> </w:t>
      </w:r>
      <w:r w:rsidR="00B858CC" w:rsidRPr="004E1AA6">
        <w:t>that</w:t>
      </w:r>
      <w:r w:rsidR="009A0847">
        <w:t xml:space="preserve"> </w:t>
      </w:r>
      <w:r w:rsidR="00B858CC" w:rsidRPr="004E1AA6">
        <w:t>a</w:t>
      </w:r>
      <w:r w:rsidR="009A0847">
        <w:t xml:space="preserve"> </w:t>
      </w:r>
      <w:r w:rsidR="00B858CC" w:rsidRPr="004E1AA6">
        <w:t>bank</w:t>
      </w:r>
      <w:r w:rsidR="009A0847">
        <w:t xml:space="preserve"> </w:t>
      </w:r>
      <w:r w:rsidR="00B858CC" w:rsidRPr="004E1AA6">
        <w:t>is</w:t>
      </w:r>
      <w:r w:rsidR="009A0847">
        <w:t xml:space="preserve"> </w:t>
      </w:r>
      <w:r w:rsidR="00B858CC" w:rsidRPr="004E1AA6">
        <w:t>solvent</w:t>
      </w:r>
      <w:r w:rsidR="009A0847">
        <w:t xml:space="preserve"> </w:t>
      </w:r>
      <w:r w:rsidR="00B858CC" w:rsidRPr="004E1AA6">
        <w:t>conditional</w:t>
      </w:r>
      <w:r w:rsidR="009A0847">
        <w:t xml:space="preserve"> </w:t>
      </w:r>
      <w:r w:rsidR="00B858CC" w:rsidRPr="004E1AA6">
        <w:t>on</w:t>
      </w:r>
      <w:r w:rsidR="009A0847">
        <w:t xml:space="preserve"> </w:t>
      </w:r>
      <w:r w:rsidR="00B858CC" w:rsidRPr="00A75740">
        <w:t>being</w:t>
      </w:r>
      <w:r w:rsidR="009A0847">
        <w:t xml:space="preserve"> </w:t>
      </w:r>
      <w:r w:rsidR="00B858CC" w:rsidRPr="00A75740">
        <w:t>illiquid,</w:t>
      </w:r>
      <w:r w:rsidR="009A0847">
        <w:t xml:space="preserve"> </w:t>
      </w:r>
      <w:r w:rsidR="00653D43" w:rsidRPr="00A75740">
        <w:t>the</w:t>
      </w:r>
      <w:r w:rsidR="009A0847">
        <w:t xml:space="preserve"> </w:t>
      </w:r>
      <w:r w:rsidR="00653D43" w:rsidRPr="00A75740">
        <w:t>first</w:t>
      </w:r>
      <w:r w:rsidR="009A0847">
        <w:t xml:space="preserve"> </w:t>
      </w:r>
      <w:r w:rsidR="00653D43" w:rsidRPr="00A75740">
        <w:t>inequality</w:t>
      </w:r>
      <w:r w:rsidR="009A0847">
        <w:t xml:space="preserve"> </w:t>
      </w:r>
      <w:r w:rsidR="00653D43" w:rsidRPr="00A75740">
        <w:t>in</w:t>
      </w:r>
      <w:r w:rsidR="009A0847">
        <w:t xml:space="preserve"> </w:t>
      </w:r>
      <w:r w:rsidR="007356D6" w:rsidRPr="00A75740">
        <w:rPr>
          <w:i/>
        </w:rPr>
        <w:t>R</w:t>
      </w:r>
      <w:r w:rsidR="00653D43" w:rsidRPr="00A75740">
        <w:rPr>
          <w:i/>
        </w:rPr>
        <w:t>2</w:t>
      </w:r>
      <w:r w:rsidR="009A0847">
        <w:t xml:space="preserve"> </w:t>
      </w:r>
      <w:r w:rsidR="009308E7">
        <w:t>impli</w:t>
      </w:r>
      <w:r w:rsidR="00B858CC" w:rsidRPr="00A75740">
        <w:t>es</w:t>
      </w:r>
      <w:r w:rsidR="009A0847">
        <w:t xml:space="preserve"> </w:t>
      </w:r>
      <w:r w:rsidR="00B858CC" w:rsidRPr="00A75740">
        <w:t>that</w:t>
      </w:r>
      <w:r w:rsidR="009A0847">
        <w:t xml:space="preserve"> </w:t>
      </w:r>
      <w:r w:rsidR="00B858CC" w:rsidRPr="00A75740">
        <w:t>the</w:t>
      </w:r>
      <w:r w:rsidR="009A0847">
        <w:t xml:space="preserve"> </w:t>
      </w:r>
      <w:r w:rsidR="00B858CC" w:rsidRPr="00A75740">
        <w:t>investor</w:t>
      </w:r>
      <w:r w:rsidR="009A0847">
        <w:t xml:space="preserve"> </w:t>
      </w:r>
      <w:r w:rsidR="00B858CC" w:rsidRPr="00A75740">
        <w:t>should</w:t>
      </w:r>
      <w:r w:rsidR="009A0847">
        <w:t xml:space="preserve"> </w:t>
      </w:r>
      <w:r w:rsidR="00B858CC" w:rsidRPr="00A75740">
        <w:t>not</w:t>
      </w:r>
      <w:r w:rsidR="009A0847">
        <w:t xml:space="preserve"> </w:t>
      </w:r>
      <w:r w:rsidR="00B858CC" w:rsidRPr="00A75740">
        <w:t>fund</w:t>
      </w:r>
      <w:r w:rsidR="009A0847">
        <w:t xml:space="preserve"> </w:t>
      </w:r>
      <w:r w:rsidR="00B858CC" w:rsidRPr="00A75740">
        <w:t>a</w:t>
      </w:r>
      <w:r w:rsidR="009A0847">
        <w:t xml:space="preserve"> </w:t>
      </w:r>
      <w:r w:rsidR="00B858CC" w:rsidRPr="00A75740">
        <w:t>bank</w:t>
      </w:r>
      <w:r w:rsidR="009A0847">
        <w:t xml:space="preserve"> </w:t>
      </w:r>
      <w:r w:rsidR="00B858CC" w:rsidRPr="00A75740">
        <w:t>that</w:t>
      </w:r>
      <w:r w:rsidR="009A0847">
        <w:t xml:space="preserve"> </w:t>
      </w:r>
      <w:r w:rsidR="00B858CC" w:rsidRPr="00A75740">
        <w:t>is</w:t>
      </w:r>
      <w:r w:rsidR="009A0847">
        <w:t xml:space="preserve"> </w:t>
      </w:r>
      <w:r w:rsidR="00B858CC" w:rsidRPr="00A75740">
        <w:t>known</w:t>
      </w:r>
      <w:r w:rsidR="009A0847">
        <w:t xml:space="preserve"> </w:t>
      </w:r>
      <w:r w:rsidR="00B858CC" w:rsidRPr="00A75740">
        <w:t>to</w:t>
      </w:r>
      <w:r w:rsidR="009A0847">
        <w:t xml:space="preserve"> </w:t>
      </w:r>
      <w:r w:rsidR="00B858CC" w:rsidRPr="00A75740">
        <w:t>be</w:t>
      </w:r>
      <w:r w:rsidR="009A0847">
        <w:t xml:space="preserve"> </w:t>
      </w:r>
      <w:r w:rsidR="00B858CC" w:rsidRPr="00A75740">
        <w:t>illiquid</w:t>
      </w:r>
      <w:r w:rsidR="009A0847">
        <w:t xml:space="preserve"> </w:t>
      </w:r>
      <w:r w:rsidR="00D9140A" w:rsidRPr="00A75740">
        <w:t>(</w:t>
      </w:r>
      <m:oMath>
        <m:r>
          <w:rPr>
            <w:rFonts w:ascii="Cambria Math" w:hAnsi="Cambria Math"/>
            <w:sz w:val="22"/>
            <w:szCs w:val="22"/>
          </w:rPr>
          <m:t>v&gt;</m:t>
        </m:r>
        <m:bar>
          <m:barPr>
            <m:ctrlPr>
              <w:rPr>
                <w:rFonts w:ascii="Cambria Math" w:hAnsi="Cambria Math"/>
                <w:sz w:val="22"/>
                <w:szCs w:val="22"/>
              </w:rPr>
            </m:ctrlPr>
          </m:barPr>
          <m:e>
            <m:r>
              <w:rPr>
                <w:rFonts w:ascii="Cambria Math" w:hAnsi="Cambria Math"/>
                <w:sz w:val="22"/>
                <w:szCs w:val="22"/>
              </w:rPr>
              <m:t>P</m:t>
            </m:r>
          </m:e>
        </m:bar>
        <m:r>
          <m:rPr>
            <m:sty m:val="p"/>
          </m:rPr>
          <w:rPr>
            <w:rFonts w:ascii="Cambria Math" w:hAnsi="Cambria Math"/>
            <w:sz w:val="22"/>
            <w:szCs w:val="22"/>
          </w:rPr>
          <m:t>V</m:t>
        </m:r>
      </m:oMath>
      <w:r w:rsidR="00D9140A" w:rsidRPr="00A75740">
        <w:t>)</w:t>
      </w:r>
      <w:r w:rsidR="00B858CC" w:rsidRPr="00A75740">
        <w:t>.</w:t>
      </w:r>
      <w:r w:rsidR="009A0847">
        <w:t xml:space="preserve"> </w:t>
      </w:r>
      <w:r w:rsidR="00B858CC" w:rsidRPr="00A75740">
        <w:t>Because</w:t>
      </w:r>
      <w:r w:rsidR="009A0847">
        <w:t xml:space="preserve"> </w:t>
      </w:r>
      <m:oMath>
        <m:r>
          <w:rPr>
            <w:rFonts w:ascii="Cambria Math" w:hAnsi="Cambria Math"/>
            <w:sz w:val="22"/>
            <w:szCs w:val="22"/>
          </w:rPr>
          <m:t>p</m:t>
        </m:r>
      </m:oMath>
      <w:r w:rsidR="009A0847">
        <w:t xml:space="preserve"> </w:t>
      </w:r>
      <w:r w:rsidR="00B858CC" w:rsidRPr="00A75740">
        <w:t>is</w:t>
      </w:r>
      <w:r w:rsidR="009A0847">
        <w:t xml:space="preserve"> </w:t>
      </w:r>
      <w:r w:rsidR="00B858CC" w:rsidRPr="00A75740">
        <w:t>the</w:t>
      </w:r>
      <w:r w:rsidR="009A0847">
        <w:t xml:space="preserve"> </w:t>
      </w:r>
      <w:r w:rsidR="00B858CC" w:rsidRPr="00A75740">
        <w:t>unconditional</w:t>
      </w:r>
      <w:r w:rsidR="009A0847">
        <w:t xml:space="preserve"> </w:t>
      </w:r>
      <w:r w:rsidR="00B858CC" w:rsidRPr="00A75740">
        <w:t>probability</w:t>
      </w:r>
      <w:r w:rsidR="009A0847">
        <w:t xml:space="preserve"> </w:t>
      </w:r>
      <w:r w:rsidR="00B858CC" w:rsidRPr="00A75740">
        <w:t>that</w:t>
      </w:r>
      <w:r w:rsidR="009A0847">
        <w:t xml:space="preserve"> </w:t>
      </w:r>
      <w:r w:rsidR="00B858CC" w:rsidRPr="00A75740">
        <w:t>a</w:t>
      </w:r>
      <w:r w:rsidR="009A0847">
        <w:t xml:space="preserve"> </w:t>
      </w:r>
      <w:r w:rsidR="00B858CC" w:rsidRPr="00A75740">
        <w:t>bank</w:t>
      </w:r>
      <w:r w:rsidR="009A0847">
        <w:t xml:space="preserve"> </w:t>
      </w:r>
      <w:r w:rsidR="00B858CC" w:rsidRPr="00A75740">
        <w:t>is</w:t>
      </w:r>
      <w:r w:rsidR="009A0847">
        <w:t xml:space="preserve"> </w:t>
      </w:r>
      <w:r w:rsidR="00B858CC" w:rsidRPr="00A75740">
        <w:t>solvent,</w:t>
      </w:r>
      <w:r w:rsidR="009A0847">
        <w:t xml:space="preserve"> </w:t>
      </w:r>
      <w:r w:rsidR="00653D43" w:rsidRPr="00A75740">
        <w:t>the</w:t>
      </w:r>
      <w:r w:rsidR="009A0847">
        <w:t xml:space="preserve"> </w:t>
      </w:r>
      <w:r w:rsidR="00653D43" w:rsidRPr="00A75740">
        <w:t>second</w:t>
      </w:r>
      <w:r w:rsidR="009A0847">
        <w:t xml:space="preserve"> </w:t>
      </w:r>
      <w:r w:rsidR="00653D43" w:rsidRPr="00A75740">
        <w:t>inequality</w:t>
      </w:r>
      <w:r w:rsidR="009A0847">
        <w:t xml:space="preserve"> </w:t>
      </w:r>
      <w:r w:rsidR="00653D43" w:rsidRPr="00A75740">
        <w:t>in</w:t>
      </w:r>
      <w:r w:rsidR="009A0847">
        <w:t xml:space="preserve"> </w:t>
      </w:r>
      <w:r w:rsidR="00653D43" w:rsidRPr="00A75740">
        <w:rPr>
          <w:i/>
        </w:rPr>
        <w:t>R2</w:t>
      </w:r>
      <w:r w:rsidR="009A0847">
        <w:t xml:space="preserve"> </w:t>
      </w:r>
      <w:r w:rsidR="009308E7">
        <w:t>impli</w:t>
      </w:r>
      <w:r w:rsidR="009308E7" w:rsidRPr="00A75740">
        <w:t>es</w:t>
      </w:r>
      <w:r w:rsidR="009A0847">
        <w:t xml:space="preserve"> </w:t>
      </w:r>
      <w:r w:rsidR="00B858CC" w:rsidRPr="00A75740">
        <w:t>that</w:t>
      </w:r>
      <w:r w:rsidR="009A0847">
        <w:t xml:space="preserve"> </w:t>
      </w:r>
      <w:r w:rsidR="00B858CC" w:rsidRPr="00A75740">
        <w:t>it</w:t>
      </w:r>
      <w:r w:rsidR="009A0847">
        <w:t xml:space="preserve"> </w:t>
      </w:r>
      <w:r w:rsidR="00B858CC" w:rsidRPr="00A75740">
        <w:t>is</w:t>
      </w:r>
      <w:r w:rsidR="009A0847">
        <w:t xml:space="preserve"> </w:t>
      </w:r>
      <w:r w:rsidR="00B858CC" w:rsidRPr="00A75740">
        <w:t>beneficial</w:t>
      </w:r>
      <w:r w:rsidR="009A0847">
        <w:t xml:space="preserve"> </w:t>
      </w:r>
      <w:r w:rsidR="00B858CC" w:rsidRPr="00A75740">
        <w:t>for</w:t>
      </w:r>
      <w:r w:rsidR="009A0847">
        <w:t xml:space="preserve"> </w:t>
      </w:r>
      <w:r w:rsidR="00B858CC" w:rsidRPr="00A75740">
        <w:t>the</w:t>
      </w:r>
      <w:r w:rsidR="009A0847">
        <w:t xml:space="preserve"> </w:t>
      </w:r>
      <w:r w:rsidR="00B858CC" w:rsidRPr="00A75740">
        <w:t>investor</w:t>
      </w:r>
      <w:r w:rsidR="009A0847">
        <w:t xml:space="preserve"> </w:t>
      </w:r>
      <w:r w:rsidR="00B858CC" w:rsidRPr="00A75740">
        <w:t>to</w:t>
      </w:r>
      <w:r w:rsidR="009A0847">
        <w:t xml:space="preserve"> </w:t>
      </w:r>
      <w:r w:rsidR="00B858CC" w:rsidRPr="00A75740">
        <w:t>fund</w:t>
      </w:r>
      <w:r w:rsidR="009A0847">
        <w:t xml:space="preserve"> </w:t>
      </w:r>
      <w:r w:rsidR="00B858CC" w:rsidRPr="00A75740">
        <w:t>a</w:t>
      </w:r>
      <w:r w:rsidR="009A0847">
        <w:t xml:space="preserve"> </w:t>
      </w:r>
      <w:r w:rsidR="00A869DE" w:rsidRPr="00A75740">
        <w:t>random</w:t>
      </w:r>
      <w:r w:rsidR="009A0847">
        <w:t xml:space="preserve"> </w:t>
      </w:r>
      <w:r w:rsidR="00B858CC" w:rsidRPr="00A75740">
        <w:t>bank.</w:t>
      </w:r>
      <w:r w:rsidR="009A0847">
        <w:t xml:space="preserve"> </w:t>
      </w:r>
      <w:r w:rsidR="00AA3EFB" w:rsidRPr="00A75740">
        <w:t>Thus</w:t>
      </w:r>
      <w:r w:rsidR="004B1629" w:rsidRPr="00A75740">
        <w:t>,</w:t>
      </w:r>
      <w:r w:rsidR="009A0847">
        <w:t xml:space="preserve"> </w:t>
      </w:r>
      <w:r w:rsidR="004B1629" w:rsidRPr="00A75740">
        <w:rPr>
          <w:i/>
        </w:rPr>
        <w:t>R2</w:t>
      </w:r>
      <w:r w:rsidR="009A0847">
        <w:rPr>
          <w:i/>
        </w:rPr>
        <w:t xml:space="preserve"> </w:t>
      </w:r>
      <w:r w:rsidR="00A869DE" w:rsidRPr="00A75740">
        <w:t>provides</w:t>
      </w:r>
      <w:r w:rsidR="009A0847">
        <w:t xml:space="preserve"> </w:t>
      </w:r>
      <w:r w:rsidR="00A869DE" w:rsidRPr="00A75740">
        <w:t>a</w:t>
      </w:r>
      <w:r w:rsidR="009A0847">
        <w:t xml:space="preserve"> </w:t>
      </w:r>
      <w:r w:rsidR="009308E7">
        <w:t>potential</w:t>
      </w:r>
      <w:r w:rsidR="009A0847">
        <w:t xml:space="preserve"> </w:t>
      </w:r>
      <w:r w:rsidR="00A869DE" w:rsidRPr="00A75740">
        <w:t>role</w:t>
      </w:r>
      <w:r w:rsidR="009A0847">
        <w:t xml:space="preserve"> </w:t>
      </w:r>
      <w:r w:rsidR="00DF0458">
        <w:t>for</w:t>
      </w:r>
      <w:r w:rsidR="009A0847">
        <w:t xml:space="preserve"> </w:t>
      </w:r>
      <w:r w:rsidR="00A869DE" w:rsidRPr="00A75740">
        <w:t>the</w:t>
      </w:r>
      <w:r w:rsidR="009A0847">
        <w:t xml:space="preserve"> </w:t>
      </w:r>
      <w:r w:rsidR="00A869DE" w:rsidRPr="00A75740">
        <w:t>DW</w:t>
      </w:r>
      <w:r w:rsidR="009A0847">
        <w:t xml:space="preserve"> </w:t>
      </w:r>
      <w:r w:rsidR="00FF55C5" w:rsidRPr="00A75740">
        <w:t>as</w:t>
      </w:r>
      <w:r w:rsidR="009A0847">
        <w:t xml:space="preserve"> </w:t>
      </w:r>
      <w:r w:rsidR="00FF55C5" w:rsidRPr="00A75740">
        <w:t>a</w:t>
      </w:r>
      <w:r w:rsidR="009A0847">
        <w:t xml:space="preserve"> </w:t>
      </w:r>
      <w:r w:rsidR="00FF55C5" w:rsidRPr="00A75740">
        <w:t>screening</w:t>
      </w:r>
      <w:r w:rsidR="009A0847">
        <w:t xml:space="preserve"> </w:t>
      </w:r>
      <w:r w:rsidR="00FF55C5" w:rsidRPr="00A75740">
        <w:t>device</w:t>
      </w:r>
      <w:r w:rsidR="009A0847">
        <w:t xml:space="preserve"> </w:t>
      </w:r>
      <w:r w:rsidR="00216AD0">
        <w:t>for</w:t>
      </w:r>
      <w:r w:rsidR="009A0847">
        <w:t xml:space="preserve"> </w:t>
      </w:r>
      <w:r w:rsidR="00216AD0">
        <w:t>investors</w:t>
      </w:r>
      <w:r w:rsidR="00DF0458">
        <w:t>.</w:t>
      </w:r>
      <w:r w:rsidR="009A0847">
        <w:t xml:space="preserve"> </w:t>
      </w:r>
      <w:r w:rsidR="00DF0458">
        <w:t>Indeed,</w:t>
      </w:r>
      <w:r w:rsidR="009A0847">
        <w:t xml:space="preserve"> </w:t>
      </w:r>
      <w:r w:rsidR="00FF55C5" w:rsidRPr="00A75740">
        <w:t>if</w:t>
      </w:r>
      <w:r w:rsidR="009A0847">
        <w:t xml:space="preserve"> </w:t>
      </w:r>
      <w:r w:rsidR="009308E7">
        <w:t>DW</w:t>
      </w:r>
      <w:r w:rsidR="009A0847">
        <w:t xml:space="preserve"> </w:t>
      </w:r>
      <w:r w:rsidR="00DF0458">
        <w:t>detect</w:t>
      </w:r>
      <w:r w:rsidR="009308E7">
        <w:t>ion</w:t>
      </w:r>
      <w:r w:rsidR="009A0847">
        <w:t xml:space="preserve"> </w:t>
      </w:r>
      <w:r w:rsidR="00DF0458">
        <w:t>reveals</w:t>
      </w:r>
      <w:r w:rsidR="009A0847">
        <w:t xml:space="preserve"> </w:t>
      </w:r>
      <w:r w:rsidR="00DF0458">
        <w:t>that</w:t>
      </w:r>
      <w:r w:rsidR="009A0847">
        <w:t xml:space="preserve"> </w:t>
      </w:r>
      <w:r w:rsidR="009308E7">
        <w:t>the</w:t>
      </w:r>
      <w:r w:rsidR="009A0847">
        <w:t xml:space="preserve"> </w:t>
      </w:r>
      <w:r w:rsidR="00FF55C5" w:rsidRPr="00A75740">
        <w:t>bank</w:t>
      </w:r>
      <w:r w:rsidR="009A0847">
        <w:t xml:space="preserve"> </w:t>
      </w:r>
      <w:r w:rsidR="00FF55C5" w:rsidRPr="00A75740">
        <w:t>is</w:t>
      </w:r>
      <w:r w:rsidR="009A0847">
        <w:t xml:space="preserve"> </w:t>
      </w:r>
      <w:r w:rsidR="00FF55C5" w:rsidRPr="00A75740">
        <w:t>illiquid</w:t>
      </w:r>
      <w:r w:rsidR="009A0847">
        <w:t xml:space="preserve"> </w:t>
      </w:r>
      <w:r w:rsidR="00DF0458">
        <w:t>(and</w:t>
      </w:r>
      <w:r w:rsidR="009A0847">
        <w:t xml:space="preserve"> </w:t>
      </w:r>
      <w:r w:rsidR="00DF0458">
        <w:t>th</w:t>
      </w:r>
      <w:r w:rsidR="00AC6E11">
        <w:t>e</w:t>
      </w:r>
      <w:r w:rsidR="00DF0458">
        <w:t>refore</w:t>
      </w:r>
      <w:r w:rsidR="009A0847">
        <w:t xml:space="preserve"> </w:t>
      </w:r>
      <w:r w:rsidR="00DF0458">
        <w:t>more</w:t>
      </w:r>
      <w:r w:rsidR="009A0847">
        <w:t xml:space="preserve"> </w:t>
      </w:r>
      <w:r w:rsidR="00DF0458">
        <w:t>likely</w:t>
      </w:r>
      <w:r w:rsidR="009A0847">
        <w:t xml:space="preserve"> </w:t>
      </w:r>
      <w:r w:rsidR="00DF0458">
        <w:t>to</w:t>
      </w:r>
      <w:r w:rsidR="009A0847">
        <w:t xml:space="preserve"> </w:t>
      </w:r>
      <w:r w:rsidR="00DF0458">
        <w:t>be</w:t>
      </w:r>
      <w:r w:rsidR="009A0847">
        <w:t xml:space="preserve"> </w:t>
      </w:r>
      <w:r w:rsidR="00DF0458">
        <w:t>i</w:t>
      </w:r>
      <w:r w:rsidR="009308E7">
        <w:t>nsolvent</w:t>
      </w:r>
      <w:r w:rsidR="00DF0458">
        <w:t>),</w:t>
      </w:r>
      <w:r w:rsidR="009A0847">
        <w:t xml:space="preserve"> </w:t>
      </w:r>
      <w:r w:rsidR="00DF0458">
        <w:t>then</w:t>
      </w:r>
      <w:r w:rsidR="009A0847">
        <w:t xml:space="preserve"> </w:t>
      </w:r>
      <w:r w:rsidR="00DF0458">
        <w:t>the</w:t>
      </w:r>
      <w:r w:rsidR="009A0847">
        <w:t xml:space="preserve"> </w:t>
      </w:r>
      <w:r w:rsidR="00DF0458">
        <w:t>investor</w:t>
      </w:r>
      <w:r w:rsidR="009A0847">
        <w:t xml:space="preserve"> </w:t>
      </w:r>
      <w:r w:rsidR="00DF0458">
        <w:t>can</w:t>
      </w:r>
      <w:r w:rsidR="009A0847">
        <w:t xml:space="preserve"> </w:t>
      </w:r>
      <w:r w:rsidR="00DF0458">
        <w:t>decide</w:t>
      </w:r>
      <w:r w:rsidR="009A0847">
        <w:t xml:space="preserve"> </w:t>
      </w:r>
      <w:r w:rsidR="00DF0458">
        <w:t>to</w:t>
      </w:r>
      <w:r w:rsidR="009A0847">
        <w:t xml:space="preserve"> </w:t>
      </w:r>
      <w:r w:rsidR="00DF0458">
        <w:t>fund</w:t>
      </w:r>
      <w:r w:rsidR="009A0847">
        <w:t xml:space="preserve"> </w:t>
      </w:r>
      <w:r w:rsidR="00DF0458">
        <w:t>only</w:t>
      </w:r>
      <w:r w:rsidR="009A0847">
        <w:t xml:space="preserve"> </w:t>
      </w:r>
      <w:r w:rsidR="00DF0458">
        <w:t>non-detected</w:t>
      </w:r>
      <w:r w:rsidR="009A0847">
        <w:t xml:space="preserve"> </w:t>
      </w:r>
      <w:r w:rsidR="00DF0458">
        <w:t>banks</w:t>
      </w:r>
      <w:r w:rsidR="00FF55C5" w:rsidRPr="00A75740">
        <w:t>.</w:t>
      </w:r>
      <w:r w:rsidR="00AA3EFB" w:rsidRPr="00A75740">
        <w:rPr>
          <w:rStyle w:val="FootnoteReference"/>
          <w:szCs w:val="24"/>
        </w:rPr>
        <w:footnoteReference w:id="20"/>
      </w:r>
    </w:p>
    <w:p w14:paraId="476350E0" w14:textId="1308258E" w:rsidR="00C47F76" w:rsidRPr="007C55A6" w:rsidRDefault="00C47F76" w:rsidP="00F86E09">
      <w:pPr>
        <w:pStyle w:val="Heading3"/>
        <w:widowControl w:val="0"/>
        <w:spacing w:line="276" w:lineRule="auto"/>
      </w:pPr>
      <w:r w:rsidRPr="007C55A6">
        <w:t>Equilibrium</w:t>
      </w:r>
    </w:p>
    <w:p w14:paraId="076614D7" w14:textId="0085994C" w:rsidR="00EF633E" w:rsidRPr="00A75740" w:rsidRDefault="00944E6E" w:rsidP="00F86E09">
      <w:pPr>
        <w:pStyle w:val="Olivier1"/>
        <w:widowControl w:val="0"/>
        <w:rPr>
          <w:b/>
        </w:rPr>
      </w:pPr>
      <w:r w:rsidRPr="00A75740">
        <w:t>Le</w:t>
      </w:r>
      <w:r w:rsidR="00AB4149" w:rsidRPr="00A75740">
        <w:t>t</w:t>
      </w:r>
      <w:r w:rsidR="009A0847">
        <w:t xml:space="preserve"> </w:t>
      </w:r>
      <w:r w:rsidR="00AB4149" w:rsidRPr="00A75740">
        <w:t>us</w:t>
      </w:r>
      <w:r w:rsidR="009A0847">
        <w:t xml:space="preserve"> </w:t>
      </w:r>
      <w:r w:rsidR="00AB4149" w:rsidRPr="00A75740">
        <w:t>define</w:t>
      </w:r>
      <w:r w:rsidR="009A0847">
        <w:t xml:space="preserve"> </w:t>
      </w:r>
      <w:r w:rsidR="00AB4149" w:rsidRPr="00A75740">
        <w:t>two</w:t>
      </w:r>
      <w:r w:rsidR="009A0847">
        <w:t xml:space="preserve"> </w:t>
      </w:r>
      <w:r w:rsidR="00AB4149" w:rsidRPr="00A75740">
        <w:t>pairs</w:t>
      </w:r>
      <w:r w:rsidR="009A0847">
        <w:t xml:space="preserve"> </w:t>
      </w:r>
      <w:r w:rsidR="00AB4149" w:rsidRPr="00A75740">
        <w:t>of</w:t>
      </w:r>
      <w:r w:rsidR="009A0847">
        <w:t xml:space="preserve"> </w:t>
      </w:r>
      <w:r w:rsidR="00AB4149" w:rsidRPr="00A75740">
        <w:t>strategy</w:t>
      </w:r>
      <w:r w:rsidR="009A0847">
        <w:t xml:space="preserve"> </w:t>
      </w:r>
      <w:r w:rsidR="00AB4149" w:rsidRPr="00A75740">
        <w:t>profiles,</w:t>
      </w:r>
      <w:r w:rsidR="009A0847">
        <w:t xml:space="preserve"> </w:t>
      </w:r>
      <w:r w:rsidR="00AB4149" w:rsidRPr="00A75740">
        <w:t>the</w:t>
      </w:r>
      <w:r w:rsidR="009A0847">
        <w:t xml:space="preserve"> </w:t>
      </w:r>
      <w:r w:rsidR="00AB4149" w:rsidRPr="00A75740">
        <w:t>stigma</w:t>
      </w:r>
      <w:r w:rsidR="009A0847">
        <w:t xml:space="preserve"> </w:t>
      </w:r>
      <w:r w:rsidR="00AB4149" w:rsidRPr="00A75740">
        <w:t>strategy</w:t>
      </w:r>
      <m:oMath>
        <m:r>
          <m:rPr>
            <m:sty m:val="bi"/>
          </m:rPr>
          <w:rPr>
            <w:rFonts w:ascii="Cambria Math" w:hAnsi="Cambria Math"/>
            <w:sz w:val="22"/>
            <w:szCs w:val="22"/>
          </w:rPr>
          <m:t xml:space="preserve"> St </m:t>
        </m:r>
      </m:oMath>
      <w:r w:rsidR="009A0847">
        <w:rPr>
          <w:b/>
          <w:sz w:val="22"/>
          <w:szCs w:val="22"/>
        </w:rPr>
        <w:t xml:space="preserve"> </w:t>
      </w:r>
      <w:r w:rsidR="00AB4149" w:rsidRPr="00A75740">
        <w:t>=</w:t>
      </w:r>
      <w:r w:rsidR="009A0847">
        <w:t xml:space="preserve"> </w:t>
      </w:r>
      <w:r w:rsidR="00AB4149" w:rsidRPr="00A75740">
        <w:t>{</w:t>
      </w:r>
      <w:r w:rsidR="00AB4149" w:rsidRPr="00AB4149">
        <w:rPr>
          <w:i/>
        </w:rPr>
        <w:t>No</w:t>
      </w:r>
      <w:r w:rsidR="009A0847">
        <w:rPr>
          <w:i/>
        </w:rPr>
        <w:t xml:space="preserve"> </w:t>
      </w:r>
      <w:r w:rsidR="00AB4149" w:rsidRPr="00AB4149">
        <w:rPr>
          <w:i/>
        </w:rPr>
        <w:t>bank</w:t>
      </w:r>
      <w:r w:rsidR="009A0847">
        <w:rPr>
          <w:i/>
        </w:rPr>
        <w:t xml:space="preserve"> </w:t>
      </w:r>
      <w:r w:rsidR="00AB4149" w:rsidRPr="00AB4149">
        <w:rPr>
          <w:i/>
        </w:rPr>
        <w:t>borrows</w:t>
      </w:r>
      <w:r w:rsidR="009A0847">
        <w:rPr>
          <w:i/>
        </w:rPr>
        <w:t xml:space="preserve"> </w:t>
      </w:r>
      <w:r w:rsidR="00AB4149" w:rsidRPr="00AB4149">
        <w:rPr>
          <w:i/>
        </w:rPr>
        <w:t>at</w:t>
      </w:r>
      <w:r w:rsidR="009A0847">
        <w:rPr>
          <w:i/>
        </w:rPr>
        <w:t xml:space="preserve"> </w:t>
      </w:r>
      <w:r w:rsidR="00AB4149" w:rsidRPr="00AB4149">
        <w:rPr>
          <w:i/>
        </w:rPr>
        <w:t>the</w:t>
      </w:r>
      <w:r w:rsidR="009A0847">
        <w:rPr>
          <w:i/>
        </w:rPr>
        <w:t xml:space="preserve"> </w:t>
      </w:r>
      <w:r w:rsidR="00AB4149" w:rsidRPr="00AB4149">
        <w:rPr>
          <w:i/>
        </w:rPr>
        <w:t>DW;</w:t>
      </w:r>
      <w:r w:rsidR="009A0847">
        <w:rPr>
          <w:i/>
        </w:rPr>
        <w:t xml:space="preserve"> </w:t>
      </w:r>
      <w:r w:rsidR="00AB4149" w:rsidRPr="00AB4149">
        <w:rPr>
          <w:i/>
        </w:rPr>
        <w:t>Investors</w:t>
      </w:r>
      <w:r w:rsidR="009A0847">
        <w:rPr>
          <w:i/>
        </w:rPr>
        <w:t xml:space="preserve"> </w:t>
      </w:r>
      <w:r w:rsidR="00AB4149" w:rsidRPr="00AB4149">
        <w:rPr>
          <w:i/>
        </w:rPr>
        <w:t>fund</w:t>
      </w:r>
      <w:r w:rsidR="009A0847">
        <w:rPr>
          <w:i/>
        </w:rPr>
        <w:t xml:space="preserve"> </w:t>
      </w:r>
      <w:r w:rsidR="00AB4149" w:rsidRPr="00AB4149">
        <w:rPr>
          <w:i/>
        </w:rPr>
        <w:t>only</w:t>
      </w:r>
      <w:r w:rsidR="009A0847">
        <w:rPr>
          <w:i/>
        </w:rPr>
        <w:t xml:space="preserve"> </w:t>
      </w:r>
      <w:r w:rsidR="00AB4149" w:rsidRPr="00AB4149">
        <w:rPr>
          <w:i/>
        </w:rPr>
        <w:t>banks</w:t>
      </w:r>
      <w:r w:rsidR="009A0847">
        <w:rPr>
          <w:i/>
        </w:rPr>
        <w:t xml:space="preserve"> </w:t>
      </w:r>
      <w:r w:rsidR="00AB4149" w:rsidRPr="00AB4149">
        <w:rPr>
          <w:i/>
        </w:rPr>
        <w:t>not</w:t>
      </w:r>
      <w:r w:rsidR="009A0847">
        <w:rPr>
          <w:i/>
        </w:rPr>
        <w:t xml:space="preserve"> </w:t>
      </w:r>
      <w:r w:rsidR="00AB4149" w:rsidRPr="00AB4149">
        <w:rPr>
          <w:i/>
        </w:rPr>
        <w:t>seen</w:t>
      </w:r>
      <w:r w:rsidR="009A0847">
        <w:rPr>
          <w:i/>
        </w:rPr>
        <w:t xml:space="preserve"> </w:t>
      </w:r>
      <w:r w:rsidR="00AB4149" w:rsidRPr="00AB4149">
        <w:rPr>
          <w:i/>
        </w:rPr>
        <w:t>borrowing</w:t>
      </w:r>
      <w:r w:rsidR="009A0847">
        <w:rPr>
          <w:i/>
        </w:rPr>
        <w:t xml:space="preserve"> </w:t>
      </w:r>
      <w:r w:rsidR="00AB4149" w:rsidRPr="00AB4149">
        <w:rPr>
          <w:i/>
        </w:rPr>
        <w:t>at</w:t>
      </w:r>
      <w:r w:rsidR="009A0847">
        <w:rPr>
          <w:i/>
        </w:rPr>
        <w:t xml:space="preserve"> </w:t>
      </w:r>
      <w:r w:rsidR="00AB4149" w:rsidRPr="00AB4149">
        <w:rPr>
          <w:i/>
        </w:rPr>
        <w:t>the</w:t>
      </w:r>
      <w:r w:rsidR="009A0847">
        <w:rPr>
          <w:i/>
        </w:rPr>
        <w:t xml:space="preserve"> </w:t>
      </w:r>
      <w:r w:rsidR="00AB4149" w:rsidRPr="00AB4149">
        <w:rPr>
          <w:i/>
        </w:rPr>
        <w:t>DW</w:t>
      </w:r>
      <w:r w:rsidR="00AB4149" w:rsidRPr="00A75740">
        <w:t>}</w:t>
      </w:r>
      <w:r w:rsidR="00787DF1">
        <w:t>,</w:t>
      </w:r>
      <w:r w:rsidR="009A0847">
        <w:t xml:space="preserve"> </w:t>
      </w:r>
      <w:r w:rsidR="00AB4149">
        <w:t>and</w:t>
      </w:r>
      <w:r w:rsidR="009A0847">
        <w:t xml:space="preserve"> </w:t>
      </w:r>
      <w:r w:rsidR="00AB4149" w:rsidRPr="00A75740">
        <w:t>the</w:t>
      </w:r>
      <w:r w:rsidR="009A0847">
        <w:t xml:space="preserve"> </w:t>
      </w:r>
      <w:r w:rsidR="00AB4149">
        <w:t>no</w:t>
      </w:r>
      <w:r w:rsidR="00AB4149" w:rsidRPr="00A75740">
        <w:t>-stigma</w:t>
      </w:r>
      <w:r w:rsidR="009A0847">
        <w:t xml:space="preserve"> </w:t>
      </w:r>
      <w:r w:rsidR="00AB4149" w:rsidRPr="00A75740">
        <w:t>strategy</w:t>
      </w:r>
      <w:r w:rsidR="009A0847">
        <w:t xml:space="preserve"> </w:t>
      </w:r>
      <m:oMath>
        <m:r>
          <m:rPr>
            <m:sty m:val="bi"/>
          </m:rPr>
          <w:rPr>
            <w:rFonts w:ascii="Cambria Math" w:hAnsi="Cambria Math"/>
            <w:sz w:val="22"/>
            <w:szCs w:val="22"/>
          </w:rPr>
          <m:t>NoSt</m:t>
        </m:r>
      </m:oMath>
      <w:r w:rsidR="009A0847">
        <w:t xml:space="preserve"> </w:t>
      </w:r>
      <w:r w:rsidR="00AB4149" w:rsidRPr="00A75740">
        <w:t>=</w:t>
      </w:r>
      <w:r w:rsidR="009A0847">
        <w:t xml:space="preserve"> </w:t>
      </w:r>
      <w:r w:rsidR="00AB4149" w:rsidRPr="00A75740">
        <w:t>{</w:t>
      </w:r>
      <w:r w:rsidR="00AB4149" w:rsidRPr="00AB4149">
        <w:rPr>
          <w:i/>
        </w:rPr>
        <w:t>Illiquid</w:t>
      </w:r>
      <w:r w:rsidR="009A0847">
        <w:rPr>
          <w:i/>
        </w:rPr>
        <w:t xml:space="preserve"> </w:t>
      </w:r>
      <w:r w:rsidR="00AB4149" w:rsidRPr="00AB4149">
        <w:rPr>
          <w:i/>
        </w:rPr>
        <w:t>banks</w:t>
      </w:r>
      <w:r w:rsidR="009A0847">
        <w:rPr>
          <w:i/>
        </w:rPr>
        <w:t xml:space="preserve"> </w:t>
      </w:r>
      <w:r w:rsidR="00AB4149" w:rsidRPr="00AB4149">
        <w:rPr>
          <w:i/>
        </w:rPr>
        <w:t>borrow</w:t>
      </w:r>
      <w:r w:rsidR="009A0847">
        <w:rPr>
          <w:i/>
        </w:rPr>
        <w:t xml:space="preserve"> </w:t>
      </w:r>
      <w:r w:rsidR="00AB4149" w:rsidRPr="00AB4149">
        <w:rPr>
          <w:i/>
        </w:rPr>
        <w:t>at</w:t>
      </w:r>
      <w:r w:rsidR="009A0847">
        <w:rPr>
          <w:i/>
        </w:rPr>
        <w:t xml:space="preserve"> </w:t>
      </w:r>
      <w:r w:rsidR="00AB4149" w:rsidRPr="00AB4149">
        <w:rPr>
          <w:i/>
        </w:rPr>
        <w:t>the</w:t>
      </w:r>
      <w:r w:rsidR="009A0847">
        <w:rPr>
          <w:i/>
        </w:rPr>
        <w:t xml:space="preserve"> </w:t>
      </w:r>
      <w:r w:rsidR="00AB4149" w:rsidRPr="00AB4149">
        <w:rPr>
          <w:i/>
        </w:rPr>
        <w:t>DW;</w:t>
      </w:r>
      <w:r w:rsidR="009A0847">
        <w:rPr>
          <w:i/>
        </w:rPr>
        <w:t xml:space="preserve"> </w:t>
      </w:r>
      <w:r w:rsidR="00AB4149" w:rsidRPr="00AB4149">
        <w:rPr>
          <w:i/>
        </w:rPr>
        <w:t>Investors</w:t>
      </w:r>
      <w:r w:rsidR="009A0847">
        <w:rPr>
          <w:i/>
        </w:rPr>
        <w:t xml:space="preserve"> </w:t>
      </w:r>
      <w:r w:rsidR="00AB4149" w:rsidRPr="00AB4149">
        <w:rPr>
          <w:i/>
        </w:rPr>
        <w:t>fund</w:t>
      </w:r>
      <w:r w:rsidR="009A0847">
        <w:rPr>
          <w:i/>
        </w:rPr>
        <w:t xml:space="preserve"> </w:t>
      </w:r>
      <w:r w:rsidR="00AB4149" w:rsidRPr="00AB4149">
        <w:rPr>
          <w:i/>
        </w:rPr>
        <w:t>only</w:t>
      </w:r>
      <w:r w:rsidR="009A0847">
        <w:rPr>
          <w:i/>
        </w:rPr>
        <w:t xml:space="preserve"> </w:t>
      </w:r>
      <w:r w:rsidR="00AB4149" w:rsidRPr="00AB4149">
        <w:rPr>
          <w:i/>
        </w:rPr>
        <w:t>banks</w:t>
      </w:r>
      <w:r w:rsidR="009A0847">
        <w:rPr>
          <w:i/>
        </w:rPr>
        <w:t xml:space="preserve"> </w:t>
      </w:r>
      <w:r w:rsidR="00AB4149" w:rsidRPr="00AB4149">
        <w:rPr>
          <w:i/>
        </w:rPr>
        <w:t>not</w:t>
      </w:r>
      <w:r w:rsidR="009A0847">
        <w:rPr>
          <w:i/>
        </w:rPr>
        <w:t xml:space="preserve"> </w:t>
      </w:r>
      <w:r w:rsidR="00AB4149" w:rsidRPr="00AB4149">
        <w:rPr>
          <w:i/>
        </w:rPr>
        <w:t>seen</w:t>
      </w:r>
      <w:r w:rsidR="009A0847">
        <w:rPr>
          <w:i/>
        </w:rPr>
        <w:t xml:space="preserve"> </w:t>
      </w:r>
      <w:r w:rsidR="00AB4149" w:rsidRPr="00AB4149">
        <w:rPr>
          <w:i/>
        </w:rPr>
        <w:t>borrowing</w:t>
      </w:r>
      <w:r w:rsidR="009A0847">
        <w:rPr>
          <w:i/>
        </w:rPr>
        <w:t xml:space="preserve"> </w:t>
      </w:r>
      <w:r w:rsidR="00AB4149" w:rsidRPr="00AB4149">
        <w:rPr>
          <w:i/>
        </w:rPr>
        <w:t>at</w:t>
      </w:r>
      <w:r w:rsidR="009A0847">
        <w:rPr>
          <w:i/>
        </w:rPr>
        <w:t xml:space="preserve"> </w:t>
      </w:r>
      <w:r w:rsidR="00AB4149" w:rsidRPr="00AB4149">
        <w:rPr>
          <w:i/>
        </w:rPr>
        <w:t>the</w:t>
      </w:r>
      <w:r w:rsidR="009A0847">
        <w:rPr>
          <w:i/>
        </w:rPr>
        <w:t xml:space="preserve"> </w:t>
      </w:r>
      <w:r w:rsidR="00AB4149" w:rsidRPr="00AB4149">
        <w:rPr>
          <w:i/>
        </w:rPr>
        <w:t>DW</w:t>
      </w:r>
      <w:r w:rsidR="00AB4149" w:rsidRPr="00A75740">
        <w:t>}</w:t>
      </w:r>
      <w:r w:rsidR="00AB4149">
        <w:t>.</w:t>
      </w:r>
      <w:r w:rsidR="009A0847">
        <w:t xml:space="preserve"> </w:t>
      </w:r>
      <w:r w:rsidR="00AC6E11">
        <w:t>C</w:t>
      </w:r>
      <w:r w:rsidR="00EF633E" w:rsidRPr="00A75740">
        <w:t>onsider</w:t>
      </w:r>
      <w:r w:rsidR="009A0847">
        <w:t xml:space="preserve"> </w:t>
      </w:r>
      <w:r w:rsidR="00AC6E11">
        <w:t>first</w:t>
      </w:r>
      <w:r w:rsidR="009A0847">
        <w:t xml:space="preserve"> </w:t>
      </w:r>
      <w:r w:rsidR="00EF633E" w:rsidRPr="00A75740">
        <w:t>the</w:t>
      </w:r>
      <w:r w:rsidR="009A0847">
        <w:t xml:space="preserve"> </w:t>
      </w:r>
      <w:r w:rsidR="00EF633E" w:rsidRPr="00A75740">
        <w:t>case</w:t>
      </w:r>
      <w:r w:rsidR="009A0847">
        <w:t xml:space="preserve"> </w:t>
      </w:r>
      <w:r w:rsidR="00EF633E" w:rsidRPr="00A75740">
        <w:t>of</w:t>
      </w:r>
      <w:r w:rsidR="009A0847">
        <w:t xml:space="preserve"> </w:t>
      </w:r>
      <w:r w:rsidR="00EF633E" w:rsidRPr="00A75740">
        <w:t>a</w:t>
      </w:r>
      <w:r w:rsidR="009A0847">
        <w:t xml:space="preserve"> </w:t>
      </w:r>
      <w:r w:rsidR="00EF633E" w:rsidRPr="00A75740">
        <w:t>fixed</w:t>
      </w:r>
      <w:r w:rsidR="009A0847">
        <w:t xml:space="preserve"> </w:t>
      </w:r>
      <w:r w:rsidR="00A869DE" w:rsidRPr="00A75740">
        <w:t>detection</w:t>
      </w:r>
      <w:r w:rsidR="009A0847">
        <w:t xml:space="preserve"> </w:t>
      </w:r>
      <w:r w:rsidR="00EF633E" w:rsidRPr="00A75740">
        <w:t>probability</w:t>
      </w:r>
      <w:r w:rsidR="009A0847">
        <w:t xml:space="preserve"> </w:t>
      </w:r>
      <m:oMath>
        <m:r>
          <w:rPr>
            <w:rFonts w:ascii="Cambria Math" w:hAnsi="Cambria Math"/>
            <w:sz w:val="22"/>
            <w:szCs w:val="22"/>
          </w:rPr>
          <m:t>θ</m:t>
        </m:r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n</m:t>
            </m:r>
          </m:e>
        </m:d>
        <m:r>
          <w:rPr>
            <w:rFonts w:ascii="Cambria Math" w:hAnsi="Cambria Math"/>
            <w:sz w:val="22"/>
            <w:szCs w:val="22"/>
          </w:rPr>
          <m:t>=θ</m:t>
        </m:r>
      </m:oMath>
      <w:r w:rsidR="00EF633E" w:rsidRPr="00A75740">
        <w:t>.</w:t>
      </w:r>
      <w:r w:rsidR="009A0847">
        <w:t xml:space="preserve"> </w:t>
      </w:r>
    </w:p>
    <w:p w14:paraId="5A483DEF" w14:textId="7A2EFDB4" w:rsidR="00AA3174" w:rsidRPr="00A75740" w:rsidRDefault="00AA3174" w:rsidP="00F86E09">
      <w:pPr>
        <w:pStyle w:val="Olivier1"/>
        <w:widowControl w:val="0"/>
        <w:ind w:left="1710" w:hanging="1710"/>
        <w:rPr>
          <w:b/>
        </w:rPr>
      </w:pPr>
      <w:r w:rsidRPr="00A75740">
        <w:rPr>
          <w:b/>
          <w:u w:val="single"/>
        </w:rPr>
        <w:lastRenderedPageBreak/>
        <w:t>Proposition</w:t>
      </w:r>
      <w:r w:rsidR="009A0847">
        <w:rPr>
          <w:b/>
          <w:u w:val="single"/>
        </w:rPr>
        <w:t xml:space="preserve"> </w:t>
      </w:r>
      <w:r w:rsidRPr="00A75740">
        <w:rPr>
          <w:b/>
          <w:u w:val="single"/>
        </w:rPr>
        <w:t>1</w:t>
      </w:r>
      <w:r w:rsidR="00AF7367">
        <w:t>:</w:t>
      </w:r>
      <w:r w:rsidR="00AF7367">
        <w:tab/>
      </w:r>
      <w:r w:rsidRPr="00A75740">
        <w:t>When</w:t>
      </w:r>
      <w:r w:rsidR="009A0847">
        <w:t xml:space="preserve"> </w:t>
      </w:r>
      <m:oMath>
        <m:r>
          <w:rPr>
            <w:rFonts w:ascii="Cambria Math" w:hAnsi="Cambria Math"/>
            <w:sz w:val="22"/>
            <w:szCs w:val="22"/>
          </w:rPr>
          <m:t>θ&gt;</m:t>
        </m:r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θ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0</m:t>
            </m:r>
          </m:sub>
        </m:sSub>
        <m:r>
          <w:rPr>
            <w:rFonts w:ascii="Cambria Math" w:hAnsi="Cambria Math"/>
            <w:sz w:val="22"/>
            <w:szCs w:val="22"/>
          </w:rPr>
          <m:t>=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c-dw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k</m:t>
            </m:r>
          </m:den>
        </m:f>
      </m:oMath>
      <w:r w:rsidR="009A0847">
        <w:t xml:space="preserve"> </w:t>
      </w:r>
      <w:r w:rsidRPr="00A75740">
        <w:t>the</w:t>
      </w:r>
      <w:r w:rsidR="009A0847">
        <w:t xml:space="preserve"> </w:t>
      </w:r>
      <w:r w:rsidRPr="00A75740">
        <w:t>unique</w:t>
      </w:r>
      <w:r w:rsidR="009A0847">
        <w:t xml:space="preserve"> </w:t>
      </w:r>
      <w:r w:rsidRPr="00A75740">
        <w:t>equilibrium</w:t>
      </w:r>
      <w:r w:rsidR="009A0847">
        <w:t xml:space="preserve"> </w:t>
      </w:r>
      <w:r w:rsidRPr="00A75740">
        <w:t>is</w:t>
      </w:r>
      <w:r w:rsidR="009A0847">
        <w:t xml:space="preserve"> </w:t>
      </w:r>
      <m:oMath>
        <m:r>
          <m:rPr>
            <m:sty m:val="bi"/>
          </m:rPr>
          <w:rPr>
            <w:rFonts w:ascii="Cambria Math" w:hAnsi="Cambria Math"/>
            <w:sz w:val="22"/>
            <w:szCs w:val="22"/>
          </w:rPr>
          <m:t>St</m:t>
        </m:r>
      </m:oMath>
      <w:r w:rsidRPr="00A75740">
        <w:t>,</w:t>
      </w:r>
      <w:r w:rsidR="009A0847">
        <w:t xml:space="preserve"> </w:t>
      </w:r>
      <w:r w:rsidRPr="00A75740">
        <w:t>otherwise</w:t>
      </w:r>
      <w:r w:rsidR="009A0847">
        <w:t xml:space="preserve"> </w:t>
      </w:r>
      <w:r w:rsidRPr="00A75740">
        <w:t>the</w:t>
      </w:r>
      <w:r w:rsidR="009A0847">
        <w:t xml:space="preserve"> </w:t>
      </w:r>
      <w:r w:rsidRPr="00A75740">
        <w:t>unique</w:t>
      </w:r>
      <w:r w:rsidR="009A0847">
        <w:t xml:space="preserve"> </w:t>
      </w:r>
      <w:r w:rsidRPr="00A75740">
        <w:t>equilibrium</w:t>
      </w:r>
      <w:r w:rsidR="009A0847">
        <w:t xml:space="preserve"> </w:t>
      </w:r>
      <w:r w:rsidRPr="00A75740">
        <w:t>is</w:t>
      </w:r>
      <w:r w:rsidR="009A0847">
        <w:t xml:space="preserve"> </w:t>
      </w:r>
      <m:oMath>
        <m:r>
          <m:rPr>
            <m:sty m:val="bi"/>
          </m:rPr>
          <w:rPr>
            <w:rFonts w:ascii="Cambria Math" w:hAnsi="Cambria Math"/>
            <w:sz w:val="22"/>
            <w:szCs w:val="22"/>
          </w:rPr>
          <m:t>NoSt</m:t>
        </m:r>
      </m:oMath>
      <w:r w:rsidRPr="00A75740">
        <w:t>.</w:t>
      </w:r>
    </w:p>
    <w:p w14:paraId="207CCDAC" w14:textId="575B80DB" w:rsidR="00AA3174" w:rsidRPr="00A75740" w:rsidRDefault="00AA3174" w:rsidP="00F86E09">
      <w:pPr>
        <w:pStyle w:val="Olivier1"/>
        <w:widowControl w:val="0"/>
      </w:pPr>
      <w:r w:rsidRPr="00A75740">
        <w:rPr>
          <w:b/>
        </w:rPr>
        <w:t>Proof</w:t>
      </w:r>
      <w:r w:rsidRPr="00A75740">
        <w:t>:</w:t>
      </w:r>
      <w:r w:rsidR="009A0847">
        <w:t xml:space="preserve"> </w:t>
      </w:r>
      <w:r w:rsidRPr="00A75740">
        <w:t>see</w:t>
      </w:r>
      <w:r w:rsidR="009A0847">
        <w:t xml:space="preserve"> </w:t>
      </w:r>
      <w:r w:rsidRPr="00A75740">
        <w:t>Appendix</w:t>
      </w:r>
      <w:r w:rsidR="009A0847">
        <w:t xml:space="preserve"> </w:t>
      </w:r>
      <w:r w:rsidR="00077CA1">
        <w:t>2</w:t>
      </w:r>
      <w:r w:rsidRPr="00A75740">
        <w:t>.</w:t>
      </w:r>
    </w:p>
    <w:p w14:paraId="0B8C4BCF" w14:textId="39A9E76E" w:rsidR="00EF633E" w:rsidRPr="00A75740" w:rsidRDefault="00AF7367" w:rsidP="00F86E09">
      <w:pPr>
        <w:pStyle w:val="Olivier1"/>
        <w:widowControl w:val="0"/>
      </w:pPr>
      <w:r>
        <w:t>As</w:t>
      </w:r>
      <w:r w:rsidR="009A0847">
        <w:t xml:space="preserve"> </w:t>
      </w:r>
      <w:r>
        <w:t>illustrated</w:t>
      </w:r>
      <w:r w:rsidR="009A0847">
        <w:t xml:space="preserve"> </w:t>
      </w:r>
      <w:r>
        <w:t>below,</w:t>
      </w:r>
      <w:r w:rsidR="009A0847">
        <w:t xml:space="preserve"> </w:t>
      </w:r>
      <w:r w:rsidR="00AA3174" w:rsidRPr="00A75740">
        <w:t>Proposition</w:t>
      </w:r>
      <w:r w:rsidR="009A0847">
        <w:t xml:space="preserve"> </w:t>
      </w:r>
      <w:r w:rsidR="00AA3174" w:rsidRPr="00A75740">
        <w:t>1</w:t>
      </w:r>
      <w:r w:rsidR="009A0847">
        <w:t xml:space="preserve"> </w:t>
      </w:r>
      <w:r w:rsidR="00AA3174" w:rsidRPr="00A75740">
        <w:t>states</w:t>
      </w:r>
      <w:r w:rsidR="009A0847">
        <w:t xml:space="preserve"> </w:t>
      </w:r>
      <w:r w:rsidR="00AA3174" w:rsidRPr="00A75740">
        <w:t>that</w:t>
      </w:r>
      <w:r w:rsidR="009A0847">
        <w:t xml:space="preserve"> </w:t>
      </w:r>
      <w:r w:rsidR="00B117E4" w:rsidRPr="00A75740">
        <w:t>there</w:t>
      </w:r>
      <w:r w:rsidR="009A0847">
        <w:t xml:space="preserve"> </w:t>
      </w:r>
      <w:r w:rsidR="00B117E4" w:rsidRPr="00A75740">
        <w:t>is</w:t>
      </w:r>
      <w:r w:rsidR="009A0847">
        <w:t xml:space="preserve"> </w:t>
      </w:r>
      <w:r w:rsidR="00B117E4" w:rsidRPr="00A75740">
        <w:t>a</w:t>
      </w:r>
      <w:r w:rsidR="009A0847">
        <w:t xml:space="preserve"> </w:t>
      </w:r>
      <w:r w:rsidR="00B117E4" w:rsidRPr="00A75740">
        <w:t>threshold</w:t>
      </w:r>
      <w:r w:rsidR="009A0847">
        <w:t xml:space="preserve"> </w:t>
      </w:r>
      <w:r w:rsidR="00B117E4" w:rsidRPr="00A75740">
        <w:t>probability</w:t>
      </w: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θ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0</m:t>
            </m:r>
          </m:sub>
        </m:sSub>
      </m:oMath>
      <w:r w:rsidR="00B117E4" w:rsidRPr="00A75740">
        <w:t>.</w:t>
      </w:r>
      <w:r w:rsidR="009A0847">
        <w:t xml:space="preserve"> </w:t>
      </w:r>
      <w:r w:rsidR="00B117E4" w:rsidRPr="00A75740">
        <w:t>When</w:t>
      </w:r>
      <w:r w:rsidR="009A0847">
        <w:t xml:space="preserve"> </w:t>
      </w:r>
      <w:r w:rsidR="00B117E4" w:rsidRPr="00A75740">
        <w:t>the</w:t>
      </w:r>
      <w:r w:rsidR="009A0847">
        <w:t xml:space="preserve"> </w:t>
      </w:r>
      <w:r w:rsidR="00B117E4" w:rsidRPr="00A75740">
        <w:t>probability</w:t>
      </w:r>
      <w:r w:rsidR="009A0847">
        <w:t xml:space="preserve"> </w:t>
      </w:r>
      <w:r w:rsidR="00B117E4" w:rsidRPr="00A75740">
        <w:t>of</w:t>
      </w:r>
      <w:r w:rsidR="009A0847">
        <w:t xml:space="preserve"> </w:t>
      </w:r>
      <w:r w:rsidR="00B117E4" w:rsidRPr="00A75740">
        <w:t>detection</w:t>
      </w:r>
      <w:r w:rsidR="009A0847">
        <w:t xml:space="preserve"> </w:t>
      </w:r>
      <m:oMath>
        <m:r>
          <w:rPr>
            <w:rFonts w:ascii="Cambria Math" w:hAnsi="Cambria Math"/>
            <w:sz w:val="22"/>
            <w:szCs w:val="22"/>
          </w:rPr>
          <m:t>θ</m:t>
        </m:r>
      </m:oMath>
      <w:r w:rsidR="009A0847">
        <w:t xml:space="preserve"> </w:t>
      </w:r>
      <w:r w:rsidR="00B117E4" w:rsidRPr="00A75740">
        <w:t>is</w:t>
      </w:r>
      <w:r w:rsidR="009A0847">
        <w:t xml:space="preserve"> </w:t>
      </w:r>
      <w:r w:rsidR="00B117E4" w:rsidRPr="00A75740">
        <w:t>lower</w:t>
      </w:r>
      <w:r w:rsidR="009A0847">
        <w:t xml:space="preserve"> </w:t>
      </w:r>
      <w:r w:rsidR="00B117E4" w:rsidRPr="00A75740">
        <w:t>than</w:t>
      </w:r>
      <w:r w:rsidR="009A0847">
        <w:t xml:space="preserve"> </w:t>
      </w:r>
      <w:r w:rsidR="00B117E4" w:rsidRPr="00A75740">
        <w:t>this</w:t>
      </w:r>
      <w:r w:rsidR="009A0847">
        <w:t xml:space="preserve"> </w:t>
      </w:r>
      <w:r w:rsidR="00B117E4" w:rsidRPr="00A75740">
        <w:t>threshold,</w:t>
      </w:r>
      <w:r w:rsidR="009A0847">
        <w:t xml:space="preserve"> </w:t>
      </w:r>
      <w:r w:rsidR="00B117E4" w:rsidRPr="00A75740">
        <w:t>then</w:t>
      </w:r>
      <w:r w:rsidR="009A0847">
        <w:t xml:space="preserve"> </w:t>
      </w:r>
      <w:r w:rsidR="003D2B3A">
        <w:t>it</w:t>
      </w:r>
      <w:r w:rsidR="009A0847">
        <w:t xml:space="preserve"> </w:t>
      </w:r>
      <w:r w:rsidR="003D2B3A">
        <w:t>is</w:t>
      </w:r>
      <w:r w:rsidR="009A0847">
        <w:t xml:space="preserve"> </w:t>
      </w:r>
      <w:r w:rsidR="003D2B3A">
        <w:t>a</w:t>
      </w:r>
      <w:r w:rsidR="009A0847">
        <w:t xml:space="preserve"> </w:t>
      </w:r>
      <w:r w:rsidR="003D2B3A">
        <w:t>best</w:t>
      </w:r>
      <w:r w:rsidR="009A0847">
        <w:t xml:space="preserve"> </w:t>
      </w:r>
      <w:r w:rsidR="003D2B3A">
        <w:t>response</w:t>
      </w:r>
      <w:r w:rsidR="009A0847">
        <w:t xml:space="preserve"> </w:t>
      </w:r>
      <w:r w:rsidR="003D2B3A">
        <w:t>for</w:t>
      </w:r>
      <w:r w:rsidR="009A0847">
        <w:t xml:space="preserve"> </w:t>
      </w:r>
      <w:r w:rsidR="00AA3174" w:rsidRPr="00A75740">
        <w:t>illiquid</w:t>
      </w:r>
      <w:r w:rsidR="009A0847">
        <w:t xml:space="preserve"> </w:t>
      </w:r>
      <w:r w:rsidR="00AA3174" w:rsidRPr="00A75740">
        <w:t>banks</w:t>
      </w:r>
      <w:r w:rsidR="009A0847">
        <w:t xml:space="preserve"> </w:t>
      </w:r>
      <w:r w:rsidR="003D2B3A">
        <w:t>to</w:t>
      </w:r>
      <w:r w:rsidR="009A0847">
        <w:t xml:space="preserve"> </w:t>
      </w:r>
      <w:r w:rsidR="00AA3174" w:rsidRPr="00A75740">
        <w:t>use</w:t>
      </w:r>
      <w:r w:rsidR="009A0847">
        <w:t xml:space="preserve"> </w:t>
      </w:r>
      <w:r w:rsidR="00AA3174" w:rsidRPr="00A75740">
        <w:t>the</w:t>
      </w:r>
      <w:r w:rsidR="009A0847">
        <w:t xml:space="preserve"> </w:t>
      </w:r>
      <w:r w:rsidR="00AA3174" w:rsidRPr="00A75740">
        <w:t>DW</w:t>
      </w:r>
      <w:r w:rsidR="00EB4E1B">
        <w:t>,</w:t>
      </w:r>
      <w:r w:rsidR="009A0847">
        <w:t xml:space="preserve"> </w:t>
      </w:r>
      <w:r w:rsidR="00EB4E1B">
        <w:t>and</w:t>
      </w:r>
      <w:r w:rsidR="009A0847">
        <w:t xml:space="preserve"> </w:t>
      </w:r>
      <w:r w:rsidR="00EB4E1B">
        <w:t>when</w:t>
      </w:r>
      <w:r w:rsidR="009A0847">
        <w:t xml:space="preserve"> </w:t>
      </w:r>
      <m:oMath>
        <m:r>
          <w:rPr>
            <w:rFonts w:ascii="Cambria Math" w:hAnsi="Cambria Math"/>
            <w:sz w:val="22"/>
            <w:szCs w:val="22"/>
          </w:rPr>
          <m:t>θ</m:t>
        </m:r>
      </m:oMath>
      <w:r w:rsidR="009A0847">
        <w:t xml:space="preserve"> </w:t>
      </w:r>
      <w:r w:rsidR="00EB4E1B" w:rsidRPr="00A75740">
        <w:t>is</w:t>
      </w:r>
      <w:r w:rsidR="009A0847">
        <w:t xml:space="preserve"> </w:t>
      </w:r>
      <w:r w:rsidR="00EB4E1B">
        <w:t>high</w:t>
      </w:r>
      <w:r w:rsidR="00EB4E1B" w:rsidRPr="00A75740">
        <w:t>er</w:t>
      </w:r>
      <w:r w:rsidR="009A0847">
        <w:t xml:space="preserve"> </w:t>
      </w:r>
      <w:r w:rsidR="00EB4E1B">
        <w:t>than</w:t>
      </w:r>
      <w:r w:rsidR="009A0847"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θ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0</m:t>
            </m:r>
          </m:sub>
        </m:sSub>
      </m:oMath>
      <w:r>
        <w:rPr>
          <w:sz w:val="22"/>
          <w:szCs w:val="22"/>
        </w:rPr>
        <w:t>,</w:t>
      </w:r>
      <w:r w:rsidR="009A0847">
        <w:rPr>
          <w:sz w:val="22"/>
          <w:szCs w:val="22"/>
        </w:rPr>
        <w:t xml:space="preserve"> </w:t>
      </w:r>
      <w:r w:rsidR="00EB4E1B" w:rsidRPr="00A75740">
        <w:t>illiquid</w:t>
      </w:r>
      <w:r w:rsidR="009A0847">
        <w:t xml:space="preserve"> </w:t>
      </w:r>
      <w:r w:rsidR="00EB4E1B" w:rsidRPr="00A75740">
        <w:t>banks</w:t>
      </w:r>
      <w:r w:rsidR="009A0847">
        <w:t xml:space="preserve"> </w:t>
      </w:r>
      <w:r w:rsidR="00EB4E1B">
        <w:t>are</w:t>
      </w:r>
      <w:r w:rsidR="009A0847">
        <w:t xml:space="preserve"> </w:t>
      </w:r>
      <w:r w:rsidR="00EB4E1B">
        <w:t>better</w:t>
      </w:r>
      <w:r w:rsidR="009A0847">
        <w:t xml:space="preserve"> </w:t>
      </w:r>
      <w:r w:rsidR="00EB4E1B">
        <w:t>off</w:t>
      </w:r>
      <w:r w:rsidR="009A0847">
        <w:t xml:space="preserve"> </w:t>
      </w:r>
      <w:r w:rsidR="00EB4E1B">
        <w:t>not</w:t>
      </w:r>
      <w:r w:rsidR="009A0847">
        <w:t xml:space="preserve"> </w:t>
      </w:r>
      <w:r w:rsidR="00EB4E1B">
        <w:t>using</w:t>
      </w:r>
      <w:r w:rsidR="009A0847">
        <w:t xml:space="preserve"> </w:t>
      </w:r>
      <w:r w:rsidR="00EB4E1B" w:rsidRPr="00A75740">
        <w:t>the</w:t>
      </w:r>
      <w:r w:rsidR="009A0847">
        <w:t xml:space="preserve"> </w:t>
      </w:r>
      <w:r w:rsidR="00EB4E1B" w:rsidRPr="00A75740">
        <w:t>DW</w:t>
      </w:r>
      <w:r w:rsidR="00EB4E1B">
        <w:t>.</w:t>
      </w:r>
      <w:r w:rsidR="009A0847">
        <w:t xml:space="preserve"> </w:t>
      </w:r>
      <w:r w:rsidR="00AC6E11">
        <w:t>In</w:t>
      </w:r>
      <w:r w:rsidR="009A0847">
        <w:t xml:space="preserve"> </w:t>
      </w:r>
      <w:r w:rsidR="00AC6E11">
        <w:t>particular,</w:t>
      </w:r>
      <w:r w:rsidR="009A0847">
        <w:t xml:space="preserve"> </w:t>
      </w:r>
      <w:r w:rsidR="00AC6E11">
        <w:t>in</w:t>
      </w:r>
      <w:r w:rsidR="009A0847">
        <w:t xml:space="preserve"> </w:t>
      </w:r>
      <w:r w:rsidR="00AC6E11">
        <w:t>the</w:t>
      </w:r>
      <w:r w:rsidR="009A0847">
        <w:t xml:space="preserve"> </w:t>
      </w:r>
      <w:r w:rsidR="00AC6E11">
        <w:t>extreme</w:t>
      </w:r>
      <w:r w:rsidR="009A0847">
        <w:t xml:space="preserve"> </w:t>
      </w:r>
      <w:r w:rsidR="00AC6E11">
        <w:t>case</w:t>
      </w:r>
      <w:r w:rsidR="009A0847">
        <w:t xml:space="preserve"> </w:t>
      </w:r>
      <w:r w:rsidR="00AC6E11">
        <w:t>where</w:t>
      </w:r>
      <w:r w:rsidR="009A0847">
        <w:t xml:space="preserve"> </w:t>
      </w:r>
      <m:oMath>
        <m:r>
          <w:rPr>
            <w:rFonts w:ascii="Cambria Math" w:hAnsi="Cambria Math"/>
            <w:sz w:val="22"/>
            <w:szCs w:val="22"/>
          </w:rPr>
          <m:t>θ=0</m:t>
        </m:r>
      </m:oMath>
      <w:r w:rsidR="009554EB">
        <w:rPr>
          <w:sz w:val="22"/>
          <w:szCs w:val="22"/>
        </w:rPr>
        <w:t>,</w:t>
      </w:r>
      <w:r w:rsidR="009A0847">
        <w:t xml:space="preserve"> </w:t>
      </w:r>
      <w:r w:rsidR="00AC6E11">
        <w:t>DW</w:t>
      </w:r>
      <w:r w:rsidR="009A0847">
        <w:t xml:space="preserve"> </w:t>
      </w:r>
      <w:r w:rsidR="003D2B3A">
        <w:t>borrowing</w:t>
      </w:r>
      <w:r w:rsidR="009A0847">
        <w:t xml:space="preserve"> </w:t>
      </w:r>
      <w:r w:rsidR="003D2B3A">
        <w:t>cannot</w:t>
      </w:r>
      <w:r w:rsidR="009A0847">
        <w:t xml:space="preserve"> </w:t>
      </w:r>
      <w:r w:rsidR="003D2B3A">
        <w:t>be</w:t>
      </w:r>
      <w:r w:rsidR="009A0847">
        <w:t xml:space="preserve"> </w:t>
      </w:r>
      <w:r w:rsidR="003D2B3A">
        <w:t>detected</w:t>
      </w:r>
      <w:r w:rsidR="009A0847">
        <w:t xml:space="preserve"> </w:t>
      </w:r>
      <w:r w:rsidR="00AC6E11">
        <w:t>and</w:t>
      </w:r>
      <w:r w:rsidR="009A0847">
        <w:t xml:space="preserve"> </w:t>
      </w:r>
      <w:r w:rsidR="00AC6E11">
        <w:t>there</w:t>
      </w:r>
      <w:r w:rsidR="009A0847">
        <w:t xml:space="preserve"> </w:t>
      </w:r>
      <w:r w:rsidR="00216AD0">
        <w:t>cannot</w:t>
      </w:r>
      <w:r w:rsidR="009A0847">
        <w:t xml:space="preserve"> </w:t>
      </w:r>
      <w:r w:rsidR="00216AD0">
        <w:t>be</w:t>
      </w:r>
      <w:r w:rsidR="009A0847">
        <w:t xml:space="preserve"> </w:t>
      </w:r>
      <w:r w:rsidR="00AC6E11">
        <w:t>stigma.</w:t>
      </w:r>
      <w:r w:rsidR="009A0847">
        <w:t xml:space="preserve"> </w:t>
      </w:r>
      <w:r w:rsidR="00AC6E11">
        <w:t>Conversely,</w:t>
      </w:r>
      <w:r w:rsidR="009A0847">
        <w:t xml:space="preserve"> </w:t>
      </w:r>
      <w:r w:rsidR="00AC6E11">
        <w:t>when</w:t>
      </w:r>
      <w:r w:rsidR="009A0847">
        <w:t xml:space="preserve"> </w:t>
      </w:r>
      <m:oMath>
        <m:r>
          <w:rPr>
            <w:rFonts w:ascii="Cambria Math" w:hAnsi="Cambria Math"/>
            <w:sz w:val="22"/>
            <w:szCs w:val="22"/>
          </w:rPr>
          <m:t>θ=1</m:t>
        </m:r>
      </m:oMath>
      <w:r w:rsidR="00AC6E11">
        <w:t>,</w:t>
      </w:r>
      <w:r w:rsidR="009A0847">
        <w:t xml:space="preserve"> </w:t>
      </w:r>
      <w:r w:rsidR="00AC6E11">
        <w:t>DW</w:t>
      </w:r>
      <w:r w:rsidR="009A0847">
        <w:t xml:space="preserve"> </w:t>
      </w:r>
      <w:r w:rsidR="00AC6E11">
        <w:t>borrowing</w:t>
      </w:r>
      <w:r w:rsidR="009A0847">
        <w:t xml:space="preserve"> </w:t>
      </w:r>
      <w:r w:rsidR="00AC6E11">
        <w:t>is</w:t>
      </w:r>
      <w:r w:rsidR="009A0847">
        <w:t xml:space="preserve"> </w:t>
      </w:r>
      <w:r w:rsidR="00B45A48">
        <w:t>syst</w:t>
      </w:r>
      <w:r w:rsidR="003D2B3A">
        <w:t>ematically</w:t>
      </w:r>
      <w:r w:rsidR="009A0847">
        <w:t xml:space="preserve"> </w:t>
      </w:r>
      <w:r w:rsidR="003D2B3A">
        <w:t>detected</w:t>
      </w:r>
      <w:r w:rsidR="009A0847">
        <w:t xml:space="preserve"> </w:t>
      </w:r>
      <w:r w:rsidR="003D2B3A">
        <w:t>and</w:t>
      </w:r>
      <w:r w:rsidR="009A0847">
        <w:t xml:space="preserve"> </w:t>
      </w:r>
      <w:r w:rsidR="00AC6E11">
        <w:t>stigma</w:t>
      </w:r>
      <w:r w:rsidR="009A0847">
        <w:t xml:space="preserve"> </w:t>
      </w:r>
      <w:r w:rsidR="003D2B3A">
        <w:t>is</w:t>
      </w:r>
      <w:r w:rsidR="009A0847">
        <w:t xml:space="preserve"> </w:t>
      </w:r>
      <w:r w:rsidR="003D2B3A">
        <w:t>inevitable</w:t>
      </w:r>
      <w:r w:rsidR="00AC6E11">
        <w:t>.</w:t>
      </w:r>
      <w:r w:rsidR="009A0847">
        <w:t xml:space="preserve"> </w:t>
      </w:r>
      <w:r w:rsidR="00B117E4" w:rsidRPr="00A75740">
        <w:t>Thus</w:t>
      </w:r>
      <w:r w:rsidR="00EF633E" w:rsidRPr="00A75740">
        <w:t>,</w:t>
      </w:r>
      <w:r w:rsidR="009A0847">
        <w:t xml:space="preserve"> </w:t>
      </w:r>
      <w:r w:rsidR="00EF633E" w:rsidRPr="00A75740">
        <w:t>as</w:t>
      </w:r>
      <w:r w:rsidR="009A0847">
        <w:t xml:space="preserve"> </w:t>
      </w:r>
      <m:oMath>
        <m:r>
          <w:rPr>
            <w:rFonts w:ascii="Cambria Math" w:hAnsi="Cambria Math"/>
            <w:sz w:val="22"/>
            <w:szCs w:val="22"/>
          </w:rPr>
          <m:t>θ</m:t>
        </m:r>
      </m:oMath>
      <w:r w:rsidR="009A0847">
        <w:t xml:space="preserve"> </w:t>
      </w:r>
      <w:r w:rsidR="00EF633E" w:rsidRPr="00A75740">
        <w:t>increases,</w:t>
      </w:r>
      <w:r w:rsidR="009A0847">
        <w:t xml:space="preserve"> </w:t>
      </w:r>
      <w:r w:rsidR="00EF633E" w:rsidRPr="00A75740">
        <w:t>the</w:t>
      </w:r>
      <w:r w:rsidR="009A0847">
        <w:t xml:space="preserve"> </w:t>
      </w:r>
      <w:r w:rsidR="00EF633E" w:rsidRPr="00A75740">
        <w:t>equilibrium</w:t>
      </w:r>
      <w:r w:rsidR="009A0847">
        <w:t xml:space="preserve"> </w:t>
      </w:r>
      <w:r w:rsidR="00EF633E" w:rsidRPr="00A75740">
        <w:t>switches</w:t>
      </w:r>
      <w:r w:rsidR="009A0847">
        <w:t xml:space="preserve"> </w:t>
      </w:r>
      <w:r w:rsidR="00EF633E" w:rsidRPr="00A75740">
        <w:t>from</w:t>
      </w:r>
      <w:r w:rsidR="009A0847">
        <w:t xml:space="preserve"> </w:t>
      </w:r>
      <w:r w:rsidR="00B117E4" w:rsidRPr="00A75740">
        <w:t>the</w:t>
      </w:r>
      <w:r w:rsidR="009A0847">
        <w:t xml:space="preserve"> </w:t>
      </w:r>
      <w:r w:rsidR="00B117E4" w:rsidRPr="00A75740">
        <w:t>no</w:t>
      </w:r>
      <w:r w:rsidR="001C30BE">
        <w:t>-</w:t>
      </w:r>
      <w:r w:rsidR="00B117E4" w:rsidRPr="00A75740">
        <w:t>stigma</w:t>
      </w:r>
      <w:r w:rsidR="009A0847">
        <w:t xml:space="preserve"> </w:t>
      </w:r>
      <w:r w:rsidR="00EF633E" w:rsidRPr="00A75740">
        <w:t>strategy</w:t>
      </w:r>
      <w:r w:rsidR="009A0847">
        <w:t xml:space="preserve"> </w:t>
      </w:r>
      <m:oMath>
        <m:r>
          <m:rPr>
            <m:sty m:val="bi"/>
          </m:rPr>
          <w:rPr>
            <w:rFonts w:ascii="Cambria Math" w:hAnsi="Cambria Math"/>
            <w:sz w:val="22"/>
            <w:szCs w:val="22"/>
          </w:rPr>
          <m:t>NoSt</m:t>
        </m:r>
      </m:oMath>
      <w:r w:rsidR="009A0847">
        <w:t xml:space="preserve"> </w:t>
      </w:r>
      <w:r w:rsidR="00EF633E" w:rsidRPr="00A75740">
        <w:t>to</w:t>
      </w:r>
      <w:r w:rsidR="009A0847">
        <w:t xml:space="preserve"> </w:t>
      </w:r>
      <w:r w:rsidR="00EF633E" w:rsidRPr="00A75740">
        <w:t>the</w:t>
      </w:r>
      <w:r w:rsidR="009A0847">
        <w:t xml:space="preserve"> </w:t>
      </w:r>
      <w:r w:rsidR="00EF633E" w:rsidRPr="00A75740">
        <w:t>stigma</w:t>
      </w:r>
      <w:r w:rsidR="009A0847">
        <w:t xml:space="preserve"> </w:t>
      </w:r>
      <w:r w:rsidR="00EF633E" w:rsidRPr="00A75740">
        <w:t>strategy</w:t>
      </w:r>
      <w:r w:rsidR="009A0847">
        <w:t xml:space="preserve"> </w:t>
      </w:r>
      <m:oMath>
        <m:r>
          <m:rPr>
            <m:sty m:val="bi"/>
          </m:rPr>
          <w:rPr>
            <w:rFonts w:ascii="Cambria Math" w:hAnsi="Cambria Math"/>
            <w:sz w:val="22"/>
            <w:szCs w:val="22"/>
          </w:rPr>
          <m:t>St</m:t>
        </m:r>
      </m:oMath>
      <w:r w:rsidR="00EF633E" w:rsidRPr="00A75740">
        <w:t>.</w:t>
      </w:r>
      <w:r w:rsidR="009A0847">
        <w:t xml:space="preserve"> </w:t>
      </w:r>
      <w:r w:rsidR="00EF633E" w:rsidRPr="00A75740">
        <w:t>Th</w:t>
      </w:r>
      <w:r w:rsidR="00B117E4" w:rsidRPr="00A75740">
        <w:t>is</w:t>
      </w:r>
      <w:r w:rsidR="009A0847">
        <w:t xml:space="preserve"> </w:t>
      </w:r>
      <w:r w:rsidR="00B117E4" w:rsidRPr="00A75740">
        <w:t>result</w:t>
      </w:r>
      <w:r w:rsidR="009A0847">
        <w:t xml:space="preserve"> </w:t>
      </w:r>
      <w:r w:rsidR="00B117E4" w:rsidRPr="00A75740">
        <w:t>is</w:t>
      </w:r>
      <w:r w:rsidR="009A0847">
        <w:t xml:space="preserve"> </w:t>
      </w:r>
      <w:r w:rsidR="00EF633E" w:rsidRPr="00A75740">
        <w:t>consistent</w:t>
      </w:r>
      <w:r w:rsidR="009A0847">
        <w:t xml:space="preserve"> </w:t>
      </w:r>
      <w:r w:rsidR="00EF633E" w:rsidRPr="00A75740">
        <w:t>with</w:t>
      </w:r>
      <w:r w:rsidR="009A0847">
        <w:t xml:space="preserve"> </w:t>
      </w:r>
      <w:r w:rsidR="00B117E4" w:rsidRPr="00A75740">
        <w:t>the</w:t>
      </w:r>
      <w:r w:rsidR="009A0847">
        <w:t xml:space="preserve"> </w:t>
      </w:r>
      <w:r w:rsidR="00B117E4" w:rsidRPr="00A75740">
        <w:t>position</w:t>
      </w:r>
      <w:r w:rsidR="009A0847">
        <w:t xml:space="preserve"> </w:t>
      </w:r>
      <w:r w:rsidR="00B45A48">
        <w:t>of</w:t>
      </w:r>
      <w:r w:rsidR="009A0847">
        <w:t xml:space="preserve"> </w:t>
      </w:r>
      <w:r w:rsidR="00EF633E" w:rsidRPr="00A75740">
        <w:t>policy</w:t>
      </w:r>
      <w:r w:rsidR="009A0847">
        <w:t xml:space="preserve"> </w:t>
      </w:r>
      <w:r w:rsidR="00EF633E" w:rsidRPr="00A75740">
        <w:t>makers</w:t>
      </w:r>
      <w:r w:rsidR="009A0847">
        <w:t xml:space="preserve"> </w:t>
      </w:r>
      <w:r w:rsidR="00B117E4" w:rsidRPr="00A75740">
        <w:t>who</w:t>
      </w:r>
      <w:r w:rsidR="009A0847">
        <w:t xml:space="preserve"> </w:t>
      </w:r>
      <w:r w:rsidR="00B117E4" w:rsidRPr="00A75740">
        <w:t>argue</w:t>
      </w:r>
      <w:r w:rsidR="009A0847">
        <w:t xml:space="preserve"> </w:t>
      </w:r>
      <w:r w:rsidR="00B117E4" w:rsidRPr="00A75740">
        <w:t>that</w:t>
      </w:r>
      <w:r w:rsidR="009A0847">
        <w:t xml:space="preserve"> </w:t>
      </w:r>
      <w:r w:rsidR="00B117E4" w:rsidRPr="00A75740">
        <w:t>making</w:t>
      </w:r>
      <w:r w:rsidR="009A0847">
        <w:t xml:space="preserve"> </w:t>
      </w:r>
      <w:r w:rsidR="00B117E4" w:rsidRPr="00A75740">
        <w:t>DW</w:t>
      </w:r>
      <w:r w:rsidR="009A0847">
        <w:t xml:space="preserve"> </w:t>
      </w:r>
      <w:r w:rsidR="00B117E4" w:rsidRPr="00A75740">
        <w:t>borrowing</w:t>
      </w:r>
      <w:r w:rsidR="009A0847">
        <w:t xml:space="preserve"> </w:t>
      </w:r>
      <w:r w:rsidR="00EF633E" w:rsidRPr="00A75740">
        <w:t>e</w:t>
      </w:r>
      <w:r w:rsidR="00CA04BF">
        <w:t>asier</w:t>
      </w:r>
      <w:r w:rsidR="009A0847">
        <w:t xml:space="preserve"> </w:t>
      </w:r>
      <w:r w:rsidR="00CA04BF">
        <w:t>to</w:t>
      </w:r>
      <w:r w:rsidR="009A0847">
        <w:t xml:space="preserve"> </w:t>
      </w:r>
      <w:r w:rsidR="00CA04BF">
        <w:t>identify</w:t>
      </w:r>
      <w:r w:rsidR="009A0847">
        <w:t xml:space="preserve"> </w:t>
      </w:r>
      <w:r w:rsidR="00CA04BF">
        <w:t>public</w:t>
      </w:r>
      <w:r w:rsidR="00B45A48">
        <w:t>ly</w:t>
      </w:r>
      <w:r w:rsidR="009A0847">
        <w:t xml:space="preserve"> </w:t>
      </w:r>
      <w:r w:rsidR="00B45A48">
        <w:t>can</w:t>
      </w:r>
      <w:r w:rsidR="009A0847">
        <w:t xml:space="preserve"> </w:t>
      </w:r>
      <w:r w:rsidR="00EF633E" w:rsidRPr="00A75740">
        <w:t>generate</w:t>
      </w:r>
      <w:r w:rsidR="009A0847">
        <w:t xml:space="preserve"> </w:t>
      </w:r>
      <w:r w:rsidR="00EF633E" w:rsidRPr="00A75740">
        <w:t>stigma.</w:t>
      </w:r>
      <w:r w:rsidR="00B117E4" w:rsidRPr="00A75740">
        <w:rPr>
          <w:rStyle w:val="FootnoteReference"/>
        </w:rPr>
        <w:footnoteReference w:id="21"/>
      </w:r>
    </w:p>
    <w:p w14:paraId="41FFB607" w14:textId="77777777" w:rsidR="00AF7367" w:rsidRPr="00EF633E" w:rsidRDefault="00AF7367" w:rsidP="00F86E09">
      <w:pPr>
        <w:pStyle w:val="Olivier1"/>
        <w:widowControl w:val="0"/>
        <w:rPr>
          <w:color w:val="0000FF"/>
          <w:sz w:val="10"/>
          <w:szCs w:val="10"/>
        </w:rPr>
      </w:pPr>
    </w:p>
    <w:p w14:paraId="09F7110C" w14:textId="3E1E23F0" w:rsidR="00AF7367" w:rsidRPr="0002544C" w:rsidRDefault="009A0847" w:rsidP="00F86E09">
      <w:pPr>
        <w:pStyle w:val="Olivier1"/>
        <w:widowControl w:val="0"/>
        <w:spacing w:after="0"/>
        <w:rPr>
          <w:color w:val="FF0000"/>
          <w:sz w:val="18"/>
          <w:szCs w:val="18"/>
        </w:rPr>
      </w:pPr>
      <w:r>
        <w:rPr>
          <w:b/>
          <w:i/>
          <w:color w:val="FF0000"/>
          <w:sz w:val="18"/>
          <w:szCs w:val="18"/>
        </w:rPr>
        <w:t xml:space="preserve">              </w:t>
      </w:r>
      <w:r w:rsidR="00AF7367" w:rsidRPr="00CD1C39">
        <w:rPr>
          <w:b/>
          <w:i/>
          <w:color w:val="FF0000"/>
          <w:sz w:val="18"/>
          <w:szCs w:val="18"/>
        </w:rPr>
        <w:t>N</w:t>
      </w:r>
      <w:r w:rsidR="00AF7367">
        <w:rPr>
          <w:b/>
          <w:i/>
          <w:color w:val="FF0000"/>
          <w:sz w:val="18"/>
          <w:szCs w:val="18"/>
        </w:rPr>
        <w:t>o</w:t>
      </w:r>
      <w:r w:rsidR="00AF7367" w:rsidRPr="00CD1C39">
        <w:rPr>
          <w:b/>
          <w:i/>
          <w:color w:val="FF0000"/>
          <w:sz w:val="18"/>
          <w:szCs w:val="18"/>
        </w:rPr>
        <w:t>S</w:t>
      </w:r>
      <w:r w:rsidR="00AF7367">
        <w:rPr>
          <w:b/>
          <w:i/>
          <w:color w:val="FF0000"/>
          <w:sz w:val="18"/>
          <w:szCs w:val="18"/>
        </w:rPr>
        <w:t>t</w:t>
      </w:r>
      <w:r w:rsidR="00AF7367" w:rsidRPr="0002544C">
        <w:rPr>
          <w:color w:val="FF0000"/>
          <w:sz w:val="18"/>
          <w:szCs w:val="18"/>
        </w:rPr>
        <w:t>:</w:t>
      </w:r>
      <w:r>
        <w:rPr>
          <w:color w:val="FF0000"/>
          <w:sz w:val="18"/>
          <w:szCs w:val="18"/>
        </w:rPr>
        <w:t xml:space="preserve"> </w:t>
      </w:r>
      <w:r w:rsidR="00AF7367" w:rsidRPr="0002544C">
        <w:rPr>
          <w:color w:val="FF0000"/>
          <w:sz w:val="18"/>
          <w:szCs w:val="18"/>
        </w:rPr>
        <w:t>{</w:t>
      </w:r>
      <w:r w:rsidR="00AF7367" w:rsidRPr="00AF7367">
        <w:rPr>
          <w:i/>
          <w:color w:val="FF0000"/>
          <w:sz w:val="18"/>
          <w:szCs w:val="18"/>
        </w:rPr>
        <w:t>Illiquid</w:t>
      </w:r>
      <w:r>
        <w:rPr>
          <w:i/>
          <w:color w:val="FF0000"/>
          <w:sz w:val="18"/>
          <w:szCs w:val="18"/>
        </w:rPr>
        <w:t xml:space="preserve"> </w:t>
      </w:r>
      <w:r w:rsidR="00AF7367" w:rsidRPr="00AF7367">
        <w:rPr>
          <w:i/>
          <w:color w:val="FF0000"/>
          <w:sz w:val="18"/>
          <w:szCs w:val="18"/>
        </w:rPr>
        <w:t>borrow;</w:t>
      </w:r>
      <w:r>
        <w:rPr>
          <w:i/>
          <w:color w:val="FF0000"/>
          <w:sz w:val="18"/>
          <w:szCs w:val="18"/>
        </w:rPr>
        <w:t xml:space="preserve"> </w:t>
      </w:r>
      <w:r w:rsidR="00AF7367" w:rsidRPr="00AF7367">
        <w:rPr>
          <w:i/>
          <w:color w:val="FF0000"/>
          <w:sz w:val="18"/>
          <w:szCs w:val="18"/>
        </w:rPr>
        <w:t>Fund</w:t>
      </w:r>
      <w:r>
        <w:rPr>
          <w:i/>
          <w:color w:val="FF0000"/>
          <w:sz w:val="18"/>
          <w:szCs w:val="18"/>
        </w:rPr>
        <w:t xml:space="preserve"> </w:t>
      </w:r>
      <w:r w:rsidR="00AF7367" w:rsidRPr="00AF7367">
        <w:rPr>
          <w:i/>
          <w:color w:val="FF0000"/>
          <w:sz w:val="18"/>
          <w:szCs w:val="18"/>
        </w:rPr>
        <w:t>only</w:t>
      </w:r>
      <w:r>
        <w:rPr>
          <w:i/>
          <w:color w:val="FF0000"/>
          <w:sz w:val="18"/>
          <w:szCs w:val="18"/>
        </w:rPr>
        <w:t xml:space="preserve"> </w:t>
      </w:r>
      <w:r w:rsidR="00AF7367" w:rsidRPr="00AF7367">
        <w:rPr>
          <w:i/>
          <w:color w:val="FF0000"/>
          <w:sz w:val="18"/>
          <w:szCs w:val="18"/>
        </w:rPr>
        <w:t>non-detected</w:t>
      </w:r>
      <w:r>
        <w:rPr>
          <w:i/>
          <w:color w:val="FF0000"/>
          <w:sz w:val="18"/>
          <w:szCs w:val="18"/>
        </w:rPr>
        <w:t xml:space="preserve"> </w:t>
      </w:r>
      <w:r w:rsidR="00AF7367" w:rsidRPr="00AF7367">
        <w:rPr>
          <w:i/>
          <w:color w:val="FF0000"/>
          <w:sz w:val="18"/>
          <w:szCs w:val="18"/>
        </w:rPr>
        <w:t>banks</w:t>
      </w:r>
      <w:r w:rsidR="00AF7367">
        <w:rPr>
          <w:color w:val="FF0000"/>
          <w:sz w:val="18"/>
          <w:szCs w:val="18"/>
        </w:rPr>
        <w:t>}</w:t>
      </w:r>
      <w:r>
        <w:rPr>
          <w:color w:val="FF0000"/>
          <w:sz w:val="18"/>
          <w:szCs w:val="18"/>
        </w:rPr>
        <w:t xml:space="preserve">             </w:t>
      </w:r>
      <w:r w:rsidR="00AF7367" w:rsidRPr="00CD1C39">
        <w:rPr>
          <w:b/>
          <w:i/>
          <w:color w:val="FF0000"/>
          <w:sz w:val="18"/>
          <w:szCs w:val="18"/>
        </w:rPr>
        <w:t>S</w:t>
      </w:r>
      <w:r w:rsidR="00AF7367">
        <w:rPr>
          <w:b/>
          <w:i/>
          <w:color w:val="FF0000"/>
          <w:sz w:val="18"/>
          <w:szCs w:val="18"/>
        </w:rPr>
        <w:t>t</w:t>
      </w:r>
      <w:r w:rsidR="00AF7367" w:rsidRPr="0002544C">
        <w:rPr>
          <w:color w:val="FF0000"/>
          <w:sz w:val="18"/>
          <w:szCs w:val="18"/>
        </w:rPr>
        <w:t>:</w:t>
      </w:r>
      <w:r>
        <w:rPr>
          <w:color w:val="FF0000"/>
          <w:sz w:val="18"/>
          <w:szCs w:val="18"/>
        </w:rPr>
        <w:t xml:space="preserve"> </w:t>
      </w:r>
      <w:r w:rsidR="00AF7367" w:rsidRPr="0002544C">
        <w:rPr>
          <w:color w:val="FF0000"/>
          <w:sz w:val="18"/>
          <w:szCs w:val="18"/>
        </w:rPr>
        <w:t>{</w:t>
      </w:r>
      <w:r w:rsidR="00AF7367" w:rsidRPr="00AF7367">
        <w:rPr>
          <w:i/>
          <w:color w:val="FF0000"/>
          <w:sz w:val="18"/>
          <w:szCs w:val="18"/>
        </w:rPr>
        <w:t>No</w:t>
      </w:r>
      <w:r>
        <w:rPr>
          <w:i/>
          <w:color w:val="FF0000"/>
          <w:sz w:val="18"/>
          <w:szCs w:val="18"/>
        </w:rPr>
        <w:t xml:space="preserve"> </w:t>
      </w:r>
      <w:r w:rsidR="00AF7367" w:rsidRPr="00AF7367">
        <w:rPr>
          <w:i/>
          <w:color w:val="FF0000"/>
          <w:sz w:val="18"/>
          <w:szCs w:val="18"/>
        </w:rPr>
        <w:t>one</w:t>
      </w:r>
      <w:r>
        <w:rPr>
          <w:i/>
          <w:color w:val="FF0000"/>
          <w:sz w:val="18"/>
          <w:szCs w:val="18"/>
        </w:rPr>
        <w:t xml:space="preserve"> </w:t>
      </w:r>
      <w:r w:rsidR="00AF7367" w:rsidRPr="00AF7367">
        <w:rPr>
          <w:i/>
          <w:color w:val="FF0000"/>
          <w:sz w:val="18"/>
          <w:szCs w:val="18"/>
        </w:rPr>
        <w:t>Borrows;</w:t>
      </w:r>
      <w:r>
        <w:rPr>
          <w:i/>
          <w:color w:val="FF0000"/>
          <w:sz w:val="18"/>
          <w:szCs w:val="18"/>
        </w:rPr>
        <w:t xml:space="preserve"> </w:t>
      </w:r>
      <w:r w:rsidR="00AF7367" w:rsidRPr="00AF7367">
        <w:rPr>
          <w:i/>
          <w:color w:val="FF0000"/>
          <w:sz w:val="18"/>
          <w:szCs w:val="18"/>
        </w:rPr>
        <w:t>Fund</w:t>
      </w:r>
      <w:r>
        <w:rPr>
          <w:i/>
          <w:color w:val="FF0000"/>
          <w:sz w:val="18"/>
          <w:szCs w:val="18"/>
        </w:rPr>
        <w:t xml:space="preserve"> </w:t>
      </w:r>
      <w:r w:rsidR="00AF7367" w:rsidRPr="00AF7367">
        <w:rPr>
          <w:i/>
          <w:color w:val="FF0000"/>
          <w:sz w:val="18"/>
          <w:szCs w:val="18"/>
        </w:rPr>
        <w:t>only</w:t>
      </w:r>
      <w:r>
        <w:rPr>
          <w:i/>
          <w:color w:val="FF0000"/>
          <w:sz w:val="18"/>
          <w:szCs w:val="18"/>
        </w:rPr>
        <w:t xml:space="preserve"> </w:t>
      </w:r>
      <w:r w:rsidR="00AF7367" w:rsidRPr="00AF7367">
        <w:rPr>
          <w:i/>
          <w:color w:val="FF0000"/>
          <w:sz w:val="18"/>
          <w:szCs w:val="18"/>
        </w:rPr>
        <w:t>non-detected</w:t>
      </w:r>
      <w:r>
        <w:rPr>
          <w:i/>
          <w:color w:val="FF0000"/>
          <w:sz w:val="18"/>
          <w:szCs w:val="18"/>
        </w:rPr>
        <w:t xml:space="preserve"> </w:t>
      </w:r>
      <w:r w:rsidR="00AF7367" w:rsidRPr="00AF7367">
        <w:rPr>
          <w:i/>
          <w:color w:val="FF0000"/>
          <w:sz w:val="18"/>
          <w:szCs w:val="18"/>
        </w:rPr>
        <w:t>banks</w:t>
      </w:r>
      <w:r w:rsidR="00AF7367" w:rsidRPr="0002544C">
        <w:rPr>
          <w:color w:val="FF0000"/>
          <w:sz w:val="18"/>
          <w:szCs w:val="18"/>
        </w:rPr>
        <w:t>}</w:t>
      </w:r>
    </w:p>
    <w:p w14:paraId="6655BF6A" w14:textId="4037AEBE" w:rsidR="00AF7367" w:rsidRPr="0002544C" w:rsidRDefault="009A0847" w:rsidP="00F86E09">
      <w:pPr>
        <w:pStyle w:val="Olivier1"/>
        <w:widowControl w:val="0"/>
        <w:spacing w:after="0"/>
        <w:rPr>
          <w:color w:val="FF0000"/>
        </w:rPr>
      </w:pPr>
      <w:r>
        <w:rPr>
          <w:color w:val="FF0000"/>
        </w:rPr>
        <w:t xml:space="preserve">      </w:t>
      </w:r>
      <w:r w:rsidR="00AF7367" w:rsidRPr="0002544C">
        <w:rPr>
          <w:color w:val="FF0000"/>
        </w:rPr>
        <w:sym w:font="Wingdings" w:char="F0DF"/>
      </w:r>
      <w:r w:rsidR="00AF7367" w:rsidRPr="0002544C">
        <w:rPr>
          <w:color w:val="FF0000"/>
        </w:rPr>
        <w:t>-------------</w:t>
      </w:r>
      <w:r w:rsidR="00AF7367">
        <w:rPr>
          <w:color w:val="FF0000"/>
        </w:rPr>
        <w:t>-</w:t>
      </w:r>
      <w:r w:rsidR="00AF7367" w:rsidRPr="0002544C">
        <w:rPr>
          <w:color w:val="FF0000"/>
        </w:rPr>
        <w:t>-</w:t>
      </w:r>
      <w:r w:rsidR="00AF7367">
        <w:rPr>
          <w:color w:val="FF0000"/>
        </w:rPr>
        <w:t>-</w:t>
      </w:r>
      <w:r w:rsidR="00AF7367" w:rsidRPr="0002544C">
        <w:rPr>
          <w:color w:val="FF0000"/>
        </w:rPr>
        <w:t>-----</w:t>
      </w:r>
      <w:r w:rsidR="00AF7367">
        <w:rPr>
          <w:color w:val="FF0000"/>
        </w:rPr>
        <w:t>----------------------</w:t>
      </w:r>
      <w:r w:rsidR="00AF7367" w:rsidRPr="0002544C">
        <w:rPr>
          <w:color w:val="FF0000"/>
        </w:rPr>
        <w:t>---</w:t>
      </w:r>
      <w:r w:rsidR="00AF7367">
        <w:rPr>
          <w:color w:val="FF0000"/>
        </w:rPr>
        <w:t>--</w:t>
      </w:r>
      <w:r w:rsidR="00AF7367" w:rsidRPr="0002544C">
        <w:rPr>
          <w:color w:val="FF0000"/>
        </w:rPr>
        <w:t>--</w:t>
      </w:r>
      <w:r w:rsidR="00AF7367" w:rsidRPr="0002544C">
        <w:rPr>
          <w:color w:val="FF0000"/>
        </w:rPr>
        <w:sym w:font="Wingdings" w:char="F0E0"/>
      </w:r>
      <w:r>
        <w:rPr>
          <w:color w:val="FF0000"/>
        </w:rPr>
        <w:t xml:space="preserve">  </w:t>
      </w:r>
      <w:r w:rsidR="00AF7367" w:rsidRPr="0002544C">
        <w:rPr>
          <w:color w:val="FF0000"/>
        </w:rPr>
        <w:sym w:font="Wingdings" w:char="F0DF"/>
      </w:r>
      <w:r w:rsidR="00AF7367" w:rsidRPr="0002544C">
        <w:rPr>
          <w:color w:val="FF0000"/>
        </w:rPr>
        <w:t>----</w:t>
      </w:r>
      <w:r w:rsidR="00AF7367">
        <w:rPr>
          <w:color w:val="FF0000"/>
        </w:rPr>
        <w:t>--------------------</w:t>
      </w:r>
      <w:r w:rsidR="00AF7367" w:rsidRPr="0002544C">
        <w:rPr>
          <w:color w:val="FF0000"/>
        </w:rPr>
        <w:t>-------------------------</w:t>
      </w:r>
      <w:r w:rsidR="00AF7367" w:rsidRPr="0002544C">
        <w:rPr>
          <w:color w:val="FF0000"/>
        </w:rPr>
        <w:sym w:font="Wingdings" w:char="F0E0"/>
      </w:r>
    </w:p>
    <w:p w14:paraId="029D3F58" w14:textId="78722B07" w:rsidR="00AF7367" w:rsidRPr="005950C0" w:rsidRDefault="00AF7367" w:rsidP="00F86E09">
      <w:pPr>
        <w:pStyle w:val="Olivier1"/>
        <w:widowControl w:val="0"/>
        <w:spacing w:after="0"/>
      </w:pPr>
      <m:oMath>
        <m:r>
          <m:rPr>
            <m:sty m:val="bi"/>
          </m:rPr>
          <w:rPr>
            <w:rFonts w:ascii="Cambria Math" w:hAnsi="Cambria Math"/>
          </w:rPr>
          <m:t>θ</m:t>
        </m:r>
      </m:oMath>
      <w:r w:rsidR="009A0847">
        <w:t xml:space="preserve">  </w:t>
      </w:r>
      <w:r w:rsidR="009A0847">
        <w:rPr>
          <w:sz w:val="20"/>
          <w:szCs w:val="20"/>
        </w:rPr>
        <w:t xml:space="preserve"> </w:t>
      </w:r>
      <w:r>
        <w:t>+---------------------------------</w:t>
      </w:r>
      <w:r w:rsidRPr="005950C0">
        <w:t>-----</w:t>
      </w:r>
      <w:r>
        <w:t>----------------</w:t>
      </w:r>
      <w:r w:rsidR="009A0847">
        <w:t xml:space="preserve"> </w:t>
      </w:r>
      <w:r>
        <w:t>+</w:t>
      </w:r>
      <w:r w:rsidR="009A0847">
        <w:t xml:space="preserve"> </w:t>
      </w:r>
      <w:r>
        <w:t>-----------</w:t>
      </w:r>
      <w:r w:rsidRPr="005950C0">
        <w:t>-----------</w:t>
      </w:r>
      <w:r>
        <w:t>-----------------------</w:t>
      </w:r>
      <w:r w:rsidRPr="005950C0">
        <w:t>-------+</w:t>
      </w:r>
    </w:p>
    <w:p w14:paraId="6593D3C8" w14:textId="1525007D" w:rsidR="00AF7367" w:rsidRPr="001854F5" w:rsidRDefault="009A0847" w:rsidP="00F86E09">
      <w:pPr>
        <w:pStyle w:val="Olivier1"/>
        <w:widowControl w:val="0"/>
        <w:spacing w:after="0"/>
        <w:ind w:left="27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>
        <w:rPr>
          <w:b/>
          <w:sz w:val="6"/>
          <w:szCs w:val="6"/>
        </w:rPr>
        <w:t xml:space="preserve"> </w:t>
      </w:r>
      <w:r w:rsidR="00AF7367">
        <w:rPr>
          <w:b/>
          <w:sz w:val="20"/>
          <w:szCs w:val="20"/>
        </w:rPr>
        <w:t>0</w:t>
      </w:r>
      <w:r w:rsidR="00AF7367">
        <w:rPr>
          <w:b/>
          <w:sz w:val="20"/>
          <w:szCs w:val="20"/>
        </w:rPr>
        <w:tab/>
      </w:r>
      <w:r w:rsidR="00AF7367">
        <w:rPr>
          <w:b/>
          <w:sz w:val="20"/>
          <w:szCs w:val="20"/>
        </w:rPr>
        <w:tab/>
      </w:r>
      <w:r w:rsidR="00AF7367">
        <w:rPr>
          <w:b/>
          <w:sz w:val="20"/>
          <w:szCs w:val="20"/>
        </w:rPr>
        <w:tab/>
      </w:r>
      <w:r w:rsidR="00AF7367">
        <w:rPr>
          <w:b/>
          <w:sz w:val="20"/>
          <w:szCs w:val="20"/>
        </w:rPr>
        <w:tab/>
      </w:r>
      <w:r w:rsidR="00AF7367">
        <w:rPr>
          <w:b/>
          <w:sz w:val="20"/>
          <w:szCs w:val="20"/>
        </w:rPr>
        <w:tab/>
      </w:r>
      <w:r w:rsidR="00AF7367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</w:t>
      </w:r>
      <m:oMath>
        <m:sSub>
          <m:sSubPr>
            <m:ctrlPr>
              <w:rPr>
                <w:rFonts w:ascii="Cambria Math" w:hAnsi="Cambria Math"/>
                <w:b/>
                <w:sz w:val="20"/>
                <w:szCs w:val="20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θ</m:t>
            </m:r>
          </m:e>
          <m:sub>
            <m:r>
              <m:rPr>
                <m:sty m:val="b"/>
              </m:rPr>
              <w:rPr>
                <w:rFonts w:ascii="Cambria Math" w:hAnsi="Cambria Math"/>
                <w:sz w:val="20"/>
                <w:szCs w:val="20"/>
              </w:rPr>
              <m:t>0</m:t>
            </m:r>
          </m:sub>
        </m:sSub>
        <m:r>
          <m:rPr>
            <m:sty m:val="b"/>
          </m:rPr>
          <w:rPr>
            <w:rFonts w:ascii="Cambria Math" w:hAnsi="Cambria Math"/>
            <w:sz w:val="20"/>
            <w:szCs w:val="20"/>
          </w:rPr>
          <m:t>=</m:t>
        </m:r>
        <m:f>
          <m:fPr>
            <m:ctrlPr>
              <w:rPr>
                <w:rFonts w:ascii="Cambria Math" w:hAnsi="Cambria Math"/>
                <w:b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c</m:t>
            </m:r>
            <m:r>
              <m:rPr>
                <m:sty m:val="b"/>
              </m:rPr>
              <w:rPr>
                <w:rFonts w:ascii="Cambria Math" w:hAnsi="Cambria Math"/>
                <w:sz w:val="20"/>
                <w:szCs w:val="20"/>
              </w:rPr>
              <m:t>-</m:t>
            </m:r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dw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k</m:t>
            </m:r>
          </m:den>
        </m:f>
      </m:oMath>
      <w:r>
        <w:rPr>
          <w:b/>
          <w:sz w:val="20"/>
          <w:szCs w:val="20"/>
        </w:rPr>
        <w:t xml:space="preserve">  </w:t>
      </w:r>
      <w:r w:rsidR="00AF7367" w:rsidRPr="001854F5">
        <w:rPr>
          <w:b/>
          <w:sz w:val="20"/>
          <w:szCs w:val="20"/>
        </w:rPr>
        <w:tab/>
      </w:r>
      <w:r w:rsidR="00AF7367" w:rsidRPr="001854F5">
        <w:rPr>
          <w:b/>
          <w:sz w:val="20"/>
          <w:szCs w:val="20"/>
        </w:rPr>
        <w:tab/>
      </w:r>
      <w:r w:rsidR="00AF7367" w:rsidRPr="001854F5">
        <w:rPr>
          <w:b/>
          <w:sz w:val="20"/>
          <w:szCs w:val="20"/>
        </w:rPr>
        <w:tab/>
      </w:r>
      <w:r w:rsidR="00AF7367">
        <w:rPr>
          <w:b/>
          <w:sz w:val="20"/>
          <w:szCs w:val="20"/>
        </w:rPr>
        <w:tab/>
      </w:r>
      <w:r w:rsidR="00AF7367" w:rsidRPr="001854F5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   </w:t>
      </w:r>
      <w:r w:rsidR="00AF7367" w:rsidRPr="001854F5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 xml:space="preserve"> </w:t>
      </w:r>
    </w:p>
    <w:p w14:paraId="73307E11" w14:textId="77777777" w:rsidR="00AF7367" w:rsidRPr="00EF633E" w:rsidRDefault="00AF7367" w:rsidP="00F86E09">
      <w:pPr>
        <w:pStyle w:val="Olivier1"/>
        <w:widowControl w:val="0"/>
        <w:rPr>
          <w:color w:val="0000FF"/>
          <w:sz w:val="10"/>
          <w:szCs w:val="10"/>
        </w:rPr>
      </w:pPr>
    </w:p>
    <w:p w14:paraId="178207C2" w14:textId="104BDBF8" w:rsidR="00C847E4" w:rsidRPr="00A75740" w:rsidRDefault="00EF633E" w:rsidP="00F86E09">
      <w:pPr>
        <w:pStyle w:val="Olivier1"/>
        <w:widowControl w:val="0"/>
        <w:ind w:firstLine="360"/>
      </w:pPr>
      <w:r w:rsidRPr="00A75740">
        <w:t>We</w:t>
      </w:r>
      <w:r w:rsidR="009A0847">
        <w:t xml:space="preserve"> </w:t>
      </w:r>
      <w:r w:rsidRPr="00A75740">
        <w:t>now</w:t>
      </w:r>
      <w:r w:rsidR="009A0847">
        <w:t xml:space="preserve"> </w:t>
      </w:r>
      <w:r w:rsidRPr="00A75740">
        <w:t>return</w:t>
      </w:r>
      <w:r w:rsidR="009A0847">
        <w:t xml:space="preserve"> </w:t>
      </w:r>
      <w:r w:rsidRPr="00A75740">
        <w:t>to</w:t>
      </w:r>
      <w:r w:rsidR="009A0847">
        <w:t xml:space="preserve"> </w:t>
      </w:r>
      <w:r w:rsidRPr="00A75740">
        <w:t>the</w:t>
      </w:r>
      <w:r w:rsidR="009A0847">
        <w:t xml:space="preserve"> </w:t>
      </w:r>
      <w:r w:rsidRPr="00A75740">
        <w:t>case</w:t>
      </w:r>
      <w:r w:rsidR="009A0847">
        <w:t xml:space="preserve"> </w:t>
      </w:r>
      <w:r w:rsidRPr="00A75740">
        <w:t>of</w:t>
      </w:r>
      <w:r w:rsidR="009A0847">
        <w:t xml:space="preserve"> </w:t>
      </w:r>
      <w:r w:rsidR="00B117E4" w:rsidRPr="00A75740">
        <w:t>an</w:t>
      </w:r>
      <w:r w:rsidR="009A0847">
        <w:t xml:space="preserve"> </w:t>
      </w:r>
      <w:r w:rsidRPr="00A75740">
        <w:t>endogenous</w:t>
      </w:r>
      <w:r w:rsidR="009A0847">
        <w:t xml:space="preserve"> </w:t>
      </w:r>
      <w:r w:rsidRPr="00A75740">
        <w:t>probability</w:t>
      </w:r>
      <w:r w:rsidR="009A0847">
        <w:t xml:space="preserve"> </w:t>
      </w:r>
      <w:r w:rsidRPr="00A75740">
        <w:t>of</w:t>
      </w:r>
      <w:r w:rsidR="009A0847">
        <w:t xml:space="preserve"> </w:t>
      </w:r>
      <w:r w:rsidRPr="00A75740">
        <w:t>detection</w:t>
      </w:r>
      <w:r w:rsidR="009A0847">
        <w:t xml:space="preserve"> </w:t>
      </w:r>
      <m:oMath>
        <m:r>
          <w:rPr>
            <w:rFonts w:ascii="Cambria Math" w:hAnsi="Cambria Math"/>
            <w:sz w:val="22"/>
            <w:szCs w:val="22"/>
          </w:rPr>
          <m:t>θ</m:t>
        </m:r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n</m:t>
            </m:r>
          </m:e>
        </m:d>
      </m:oMath>
      <w:r w:rsidR="00AF7367">
        <w:t>.</w:t>
      </w:r>
      <w:r w:rsidR="009A0847">
        <w:t xml:space="preserve"> </w:t>
      </w:r>
      <w:r w:rsidR="00AF7367">
        <w:t>W</w:t>
      </w:r>
      <w:r w:rsidR="003D2B3A">
        <w:t>e</w:t>
      </w:r>
      <w:r w:rsidR="009A0847">
        <w:t xml:space="preserve"> </w:t>
      </w:r>
      <w:r w:rsidR="00AA3EFB" w:rsidRPr="00A75740">
        <w:t>de</w:t>
      </w:r>
      <w:r w:rsidR="001D697A" w:rsidRPr="00A75740">
        <w:t>note</w:t>
      </w:r>
      <w:r w:rsidR="009A0847">
        <w:t xml:space="preserve"> </w:t>
      </w:r>
      <w:r w:rsidR="00AA3EFB" w:rsidRPr="00A75740">
        <w:t>the</w:t>
      </w:r>
      <w:r w:rsidR="009A0847">
        <w:t xml:space="preserve"> </w:t>
      </w:r>
      <w:r w:rsidR="00AA3EFB" w:rsidRPr="00A75740">
        <w:t>threshold</w:t>
      </w:r>
      <w:r w:rsidR="009A0847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 w:rsidR="009A0847">
        <w:t xml:space="preserve"> </w:t>
      </w:r>
      <w:r w:rsidR="00AA3EFB" w:rsidRPr="00A75740">
        <w:t>such</w:t>
      </w:r>
      <w:r w:rsidR="009A0847">
        <w:t xml:space="preserve"> </w:t>
      </w:r>
      <w:r w:rsidR="00AA3EFB" w:rsidRPr="00A75740">
        <w:t>that</w:t>
      </w:r>
      <w:r w:rsidR="009A0847">
        <w:t xml:space="preserve"> </w:t>
      </w:r>
      <m:oMath>
        <m:r>
          <w:rPr>
            <w:rFonts w:ascii="Cambria Math" w:hAnsi="Cambria Math"/>
            <w:sz w:val="22"/>
            <w:szCs w:val="22"/>
          </w:rPr>
          <m:t>θ</m:t>
        </m:r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2"/>
                    <w:szCs w:val="22"/>
                  </w:rPr>
                  <m:t>0</m:t>
                </m:r>
              </m:sub>
            </m:sSub>
          </m:e>
        </m:d>
        <m:r>
          <w:rPr>
            <w:rFonts w:ascii="Cambria Math" w:hAnsi="Cambria Math"/>
            <w:sz w:val="22"/>
            <w:szCs w:val="22"/>
          </w:rPr>
          <m:t>=</m:t>
        </m:r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θ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0</m:t>
            </m:r>
          </m:sub>
        </m:sSub>
      </m:oMath>
      <w:r w:rsidR="009A0847">
        <w:rPr>
          <w:sz w:val="22"/>
          <w:szCs w:val="22"/>
        </w:rPr>
        <w:t xml:space="preserve"> </w:t>
      </w:r>
      <w:r w:rsidR="00CA04BF">
        <w:rPr>
          <w:sz w:val="22"/>
          <w:szCs w:val="22"/>
        </w:rPr>
        <w:t>and</w:t>
      </w:r>
      <w:r w:rsidR="009A0847">
        <w:rPr>
          <w:sz w:val="22"/>
          <w:szCs w:val="22"/>
        </w:rPr>
        <w:t xml:space="preserve"> </w:t>
      </w:r>
      <w:r w:rsidR="00CA04BF">
        <w:t>t</w:t>
      </w:r>
      <w:r w:rsidR="00CA04BF" w:rsidRPr="007C55A6">
        <w:t>he</w:t>
      </w:r>
      <w:r w:rsidR="009A0847">
        <w:t xml:space="preserve"> </w:t>
      </w:r>
      <w:r w:rsidR="00CA04BF" w:rsidRPr="007C55A6">
        <w:t>expected</w:t>
      </w:r>
      <w:r w:rsidR="009A0847">
        <w:t xml:space="preserve"> </w:t>
      </w:r>
      <w:r w:rsidR="00CA04BF" w:rsidRPr="007C55A6">
        <w:t>number</w:t>
      </w:r>
      <w:r w:rsidR="009A0847">
        <w:t xml:space="preserve"> </w:t>
      </w:r>
      <w:r w:rsidR="00CA04BF" w:rsidRPr="007C55A6">
        <w:t>of</w:t>
      </w:r>
      <w:r w:rsidR="009A0847">
        <w:t xml:space="preserve"> </w:t>
      </w:r>
      <w:r w:rsidR="00CA04BF" w:rsidRPr="007C55A6">
        <w:t>illiquid</w:t>
      </w:r>
      <w:r w:rsidR="009A0847">
        <w:t xml:space="preserve"> </w:t>
      </w:r>
      <w:r w:rsidR="00CA04BF" w:rsidRPr="007C55A6">
        <w:t>banks</w:t>
      </w:r>
      <w:r w:rsidR="009A0847">
        <w:t xml:space="preserve"> </w:t>
      </w:r>
      <m:oMath>
        <m:sSub>
          <m:sSubPr>
            <m:ctrlPr>
              <w:rPr>
                <w:rFonts w:ascii="Cambria Math" w:hAnsi="Cambria Math"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N</m:t>
            </m:r>
          </m:e>
          <m:sub>
            <m:acc>
              <m:accPr>
                <m:chr m:val="̅"/>
                <m:ctrlPr>
                  <w:rPr>
                    <w:rFonts w:ascii="Cambria Math" w:hAnsi="Cambria Math"/>
                    <w:sz w:val="22"/>
                    <w:szCs w:val="22"/>
                  </w:rPr>
                </m:ctrlPr>
              </m:acc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L</m:t>
                </m:r>
              </m:e>
            </m:acc>
          </m:sub>
        </m:sSub>
        <m:r>
          <w:rPr>
            <w:rFonts w:ascii="Cambria Math" w:hAnsi="Cambria Math"/>
            <w:sz w:val="22"/>
            <w:szCs w:val="22"/>
          </w:rPr>
          <m:t>=</m:t>
        </m:r>
        <m:d>
          <m:dPr>
            <m:ctrlPr>
              <w:rPr>
                <w:rFonts w:ascii="Cambria Math" w:hAnsi="Cambria Math"/>
                <w:sz w:val="22"/>
                <w:szCs w:val="22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sz w:val="22"/>
                    <w:szCs w:val="22"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S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sz w:val="22"/>
                            <w:szCs w:val="22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L</m:t>
                        </m:r>
                      </m:e>
                    </m:acc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+</m:t>
                </m:r>
                <m:r>
                  <w:rPr>
                    <w:rFonts w:ascii="Cambria Math" w:hAnsi="Cambria Math"/>
                    <w:sz w:val="22"/>
                    <w:szCs w:val="22"/>
                  </w:rPr>
                  <m:t>P</m:t>
                </m:r>
              </m:e>
              <m:sub>
                <m:acc>
                  <m:accPr>
                    <m:chr m:val="̅"/>
                    <m:ctrlPr>
                      <w:rPr>
                        <w:rFonts w:ascii="Cambria Math" w:hAnsi="Cambria Math"/>
                        <w:sz w:val="22"/>
                        <w:szCs w:val="22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S</m:t>
                    </m:r>
                  </m:e>
                </m:acc>
                <m:acc>
                  <m:accPr>
                    <m:chr m:val="̅"/>
                    <m:ctrlPr>
                      <w:rPr>
                        <w:rFonts w:ascii="Cambria Math" w:hAnsi="Cambria Math"/>
                        <w:sz w:val="22"/>
                        <w:szCs w:val="22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L</m:t>
                    </m:r>
                  </m:e>
                </m:acc>
              </m:sub>
            </m:sSub>
          </m:e>
        </m:d>
        <m:r>
          <w:rPr>
            <w:rFonts w:ascii="Cambria Math" w:hAnsi="Cambria Math"/>
            <w:sz w:val="22"/>
            <w:szCs w:val="22"/>
          </w:rPr>
          <m:t>N</m:t>
        </m:r>
      </m:oMath>
      <w:r w:rsidR="00CA04BF" w:rsidRPr="007C55A6">
        <w:t>.</w:t>
      </w:r>
    </w:p>
    <w:p w14:paraId="2A05B009" w14:textId="27B9334D" w:rsidR="003871E4" w:rsidRPr="00D301DF" w:rsidRDefault="003871E4" w:rsidP="00F86E09">
      <w:pPr>
        <w:pStyle w:val="Olivier1"/>
        <w:widowControl w:val="0"/>
        <w:ind w:left="1620" w:hanging="1620"/>
        <w:rPr>
          <w:b/>
        </w:rPr>
      </w:pPr>
      <w:r>
        <w:rPr>
          <w:b/>
          <w:u w:val="single"/>
        </w:rPr>
        <w:t>Cor</w:t>
      </w:r>
      <w:r w:rsidRPr="00D301DF">
        <w:rPr>
          <w:b/>
          <w:u w:val="single"/>
        </w:rPr>
        <w:t>ol</w:t>
      </w:r>
      <w:r>
        <w:rPr>
          <w:b/>
          <w:u w:val="single"/>
        </w:rPr>
        <w:t>l</w:t>
      </w:r>
      <w:r w:rsidRPr="00D301DF">
        <w:rPr>
          <w:b/>
          <w:u w:val="single"/>
        </w:rPr>
        <w:t>ary</w:t>
      </w:r>
      <w:r w:rsidR="009A0847">
        <w:rPr>
          <w:b/>
          <w:u w:val="single"/>
        </w:rPr>
        <w:t xml:space="preserve"> </w:t>
      </w:r>
      <w:r>
        <w:rPr>
          <w:b/>
          <w:u w:val="single"/>
        </w:rPr>
        <w:t>1</w:t>
      </w:r>
      <w:r w:rsidRPr="00D301DF">
        <w:t>:</w:t>
      </w:r>
      <w:r w:rsidR="00AF7367">
        <w:tab/>
      </w:r>
      <w:r w:rsidRPr="00D301DF">
        <w:t>If</w:t>
      </w:r>
      <w:r w:rsidR="009A0847">
        <w:t xml:space="preserve"> </w:t>
      </w:r>
      <m:oMath>
        <m:r>
          <w:rPr>
            <w:rFonts w:ascii="Cambria Math" w:hAnsi="Cambria Math"/>
            <w:sz w:val="22"/>
            <w:szCs w:val="22"/>
          </w:rPr>
          <m:t>1&lt;</m:t>
        </m:r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n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0</m:t>
            </m:r>
          </m:sub>
        </m:sSub>
        <m:r>
          <w:rPr>
            <w:rFonts w:ascii="Cambria Math" w:hAnsi="Cambria Math"/>
            <w:sz w:val="22"/>
            <w:szCs w:val="22"/>
          </w:rPr>
          <m:t>&lt;</m:t>
        </m:r>
        <m:sSub>
          <m:sSubPr>
            <m:ctrlPr>
              <w:rPr>
                <w:rFonts w:ascii="Cambria Math" w:hAnsi="Cambria Math"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N</m:t>
            </m:r>
          </m:e>
          <m:sub>
            <m:acc>
              <m:accPr>
                <m:chr m:val="̅"/>
                <m:ctrlPr>
                  <w:rPr>
                    <w:rFonts w:ascii="Cambria Math" w:hAnsi="Cambria Math"/>
                    <w:sz w:val="22"/>
                    <w:szCs w:val="22"/>
                  </w:rPr>
                </m:ctrlPr>
              </m:acc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L</m:t>
                </m:r>
              </m:e>
            </m:acc>
          </m:sub>
        </m:sSub>
      </m:oMath>
      <w:r w:rsidRPr="00D301DF">
        <w:t>,</w:t>
      </w:r>
      <w:r w:rsidR="009A0847">
        <w:t xml:space="preserve"> </w:t>
      </w:r>
      <w:r w:rsidRPr="00D301DF">
        <w:t>then</w:t>
      </w:r>
      <w:r w:rsidR="009A0847">
        <w:t xml:space="preserve"> </w:t>
      </w:r>
      <w:r w:rsidRPr="00D301DF">
        <w:t>there</w:t>
      </w:r>
      <w:r w:rsidR="009A0847">
        <w:t xml:space="preserve"> </w:t>
      </w:r>
      <w:r w:rsidRPr="00D301DF">
        <w:t>are</w:t>
      </w:r>
      <w:r w:rsidR="009A0847">
        <w:t xml:space="preserve"> </w:t>
      </w:r>
      <w:r w:rsidRPr="00D301DF">
        <w:t>two</w:t>
      </w:r>
      <w:r w:rsidR="009A0847">
        <w:t xml:space="preserve"> </w:t>
      </w:r>
      <w:r w:rsidRPr="00D301DF">
        <w:t>equilibria,</w:t>
      </w:r>
      <w:r w:rsidR="009A0847">
        <w:t xml:space="preserve"> </w:t>
      </w:r>
      <m:oMath>
        <m:r>
          <m:rPr>
            <m:sty m:val="bi"/>
          </m:rPr>
          <w:rPr>
            <w:rFonts w:ascii="Cambria Math" w:hAnsi="Cambria Math"/>
            <w:sz w:val="22"/>
            <w:szCs w:val="22"/>
          </w:rPr>
          <m:t>NoSt</m:t>
        </m:r>
      </m:oMath>
      <w:r w:rsidR="009A0847">
        <w:t xml:space="preserve"> </w:t>
      </w:r>
      <w:r w:rsidRPr="00D301DF">
        <w:t>and</w:t>
      </w:r>
      <w:r w:rsidR="009A0847">
        <w:t xml:space="preserve"> </w:t>
      </w:r>
      <m:oMath>
        <m:r>
          <m:rPr>
            <m:sty m:val="bi"/>
          </m:rPr>
          <w:rPr>
            <w:rFonts w:ascii="Cambria Math" w:hAnsi="Cambria Math"/>
            <w:sz w:val="22"/>
            <w:szCs w:val="22"/>
          </w:rPr>
          <m:t>St</m:t>
        </m:r>
      </m:oMath>
      <w:r w:rsidRPr="003871E4">
        <w:rPr>
          <w:sz w:val="22"/>
          <w:szCs w:val="22"/>
        </w:rPr>
        <w:t>.</w:t>
      </w:r>
      <w:r w:rsidR="009A0847">
        <w:rPr>
          <w:b/>
        </w:rPr>
        <w:t xml:space="preserve"> </w:t>
      </w:r>
      <w:r w:rsidRPr="00D301DF">
        <w:t>Otherwise,</w:t>
      </w:r>
      <w:r w:rsidR="009A0847">
        <w:t xml:space="preserve"> </w:t>
      </w:r>
      <m:oMath>
        <m:r>
          <m:rPr>
            <m:sty m:val="bi"/>
          </m:rPr>
          <w:rPr>
            <w:rFonts w:ascii="Cambria Math" w:hAnsi="Cambria Math"/>
            <w:sz w:val="22"/>
            <w:szCs w:val="22"/>
          </w:rPr>
          <m:t>NoSt</m:t>
        </m:r>
      </m:oMath>
      <w:r w:rsidR="009A0847">
        <w:rPr>
          <w:b/>
          <w:szCs w:val="24"/>
        </w:rPr>
        <w:t xml:space="preserve"> </w:t>
      </w:r>
      <w:r w:rsidRPr="003871E4">
        <w:rPr>
          <w:szCs w:val="24"/>
        </w:rPr>
        <w:t>is</w:t>
      </w:r>
      <w:r w:rsidR="009A0847">
        <w:rPr>
          <w:szCs w:val="24"/>
        </w:rPr>
        <w:t xml:space="preserve"> </w:t>
      </w:r>
      <w:r w:rsidRPr="003871E4">
        <w:rPr>
          <w:szCs w:val="24"/>
        </w:rPr>
        <w:t>the</w:t>
      </w:r>
      <w:r w:rsidR="009A0847">
        <w:rPr>
          <w:szCs w:val="24"/>
        </w:rPr>
        <w:t xml:space="preserve"> </w:t>
      </w:r>
      <w:r w:rsidRPr="003871E4">
        <w:rPr>
          <w:szCs w:val="24"/>
        </w:rPr>
        <w:t>uni</w:t>
      </w:r>
      <w:r w:rsidRPr="00D301DF">
        <w:t>que</w:t>
      </w:r>
      <w:r w:rsidR="009A0847">
        <w:t xml:space="preserve"> </w:t>
      </w:r>
      <w:r w:rsidRPr="00D301DF">
        <w:t>equilibrium</w:t>
      </w:r>
      <w:r w:rsidR="009A0847">
        <w:t xml:space="preserve"> </w:t>
      </w:r>
      <w:r w:rsidRPr="00D301DF">
        <w:t>when</w:t>
      </w:r>
      <w:r w:rsidR="009A0847"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n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0</m:t>
            </m:r>
          </m:sub>
        </m:sSub>
        <m:r>
          <w:rPr>
            <w:rFonts w:ascii="Cambria Math" w:hAnsi="Cambria Math"/>
            <w:sz w:val="22"/>
            <w:szCs w:val="22"/>
          </w:rPr>
          <m:t>&lt;1</m:t>
        </m:r>
      </m:oMath>
      <w:r w:rsidR="009A0847">
        <w:t xml:space="preserve"> </w:t>
      </w:r>
      <w:r w:rsidRPr="00D301DF">
        <w:t>and</w:t>
      </w:r>
      <w:r w:rsidR="009A0847">
        <w:t xml:space="preserve"> </w:t>
      </w:r>
      <m:oMath>
        <m:r>
          <m:rPr>
            <m:sty m:val="bi"/>
          </m:rPr>
          <w:rPr>
            <w:rFonts w:ascii="Cambria Math" w:hAnsi="Cambria Math"/>
            <w:sz w:val="22"/>
            <w:szCs w:val="22"/>
          </w:rPr>
          <m:t>St</m:t>
        </m:r>
      </m:oMath>
      <w:r w:rsidR="009A0847">
        <w:t xml:space="preserve"> </w:t>
      </w:r>
      <w:r w:rsidRPr="00D301DF">
        <w:t>is</w:t>
      </w:r>
      <w:r w:rsidR="009A0847">
        <w:t xml:space="preserve"> </w:t>
      </w:r>
      <w:r w:rsidRPr="00D301DF">
        <w:t>the</w:t>
      </w:r>
      <w:r w:rsidR="009A0847">
        <w:t xml:space="preserve"> </w:t>
      </w:r>
      <w:r w:rsidRPr="00D301DF">
        <w:t>unique</w:t>
      </w:r>
      <w:r w:rsidR="009A0847">
        <w:t xml:space="preserve"> </w:t>
      </w:r>
      <w:r w:rsidRPr="00D301DF">
        <w:t>equilibrium</w:t>
      </w:r>
      <w:r w:rsidR="009A0847">
        <w:t xml:space="preserve"> </w:t>
      </w:r>
      <w:r w:rsidRPr="00D301DF">
        <w:t>when</w:t>
      </w:r>
      <w:r w:rsidR="009A0847"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n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0</m:t>
            </m:r>
          </m:sub>
        </m:sSub>
        <m:r>
          <w:rPr>
            <w:rFonts w:ascii="Cambria Math" w:hAnsi="Cambria Math"/>
            <w:sz w:val="22"/>
            <w:szCs w:val="22"/>
          </w:rPr>
          <m:t>&gt;</m:t>
        </m:r>
        <m:sSub>
          <m:sSubPr>
            <m:ctrlPr>
              <w:rPr>
                <w:rFonts w:ascii="Cambria Math" w:hAnsi="Cambria Math"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N</m:t>
            </m:r>
          </m:e>
          <m:sub>
            <m:acc>
              <m:accPr>
                <m:chr m:val="̅"/>
                <m:ctrlPr>
                  <w:rPr>
                    <w:rFonts w:ascii="Cambria Math" w:hAnsi="Cambria Math"/>
                    <w:sz w:val="22"/>
                    <w:szCs w:val="22"/>
                  </w:rPr>
                </m:ctrlPr>
              </m:acc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L</m:t>
                </m:r>
              </m:e>
            </m:acc>
          </m:sub>
        </m:sSub>
      </m:oMath>
      <w:r w:rsidRPr="00D301DF">
        <w:t>.</w:t>
      </w:r>
    </w:p>
    <w:p w14:paraId="4CAA5F8E" w14:textId="7A2875BD" w:rsidR="00A9406A" w:rsidRPr="00A75740" w:rsidRDefault="00C847E4" w:rsidP="00F86E09">
      <w:pPr>
        <w:pStyle w:val="Olivier1"/>
        <w:widowControl w:val="0"/>
      </w:pPr>
      <w:r w:rsidRPr="00A75740">
        <w:rPr>
          <w:b/>
        </w:rPr>
        <w:t>Proof</w:t>
      </w:r>
      <w:r w:rsidR="00077CA1">
        <w:t>:</w:t>
      </w:r>
      <w:r w:rsidR="009A0847">
        <w:t xml:space="preserve"> </w:t>
      </w:r>
      <w:r w:rsidR="00077CA1">
        <w:t>see</w:t>
      </w:r>
      <w:r w:rsidR="009A0847">
        <w:t xml:space="preserve"> </w:t>
      </w:r>
      <w:r w:rsidR="00077CA1">
        <w:t>Appendix</w:t>
      </w:r>
      <w:r w:rsidR="009A0847">
        <w:t xml:space="preserve"> </w:t>
      </w:r>
      <w:r w:rsidR="00077CA1">
        <w:t>2</w:t>
      </w:r>
      <w:r w:rsidRPr="00A75740">
        <w:t>.</w:t>
      </w:r>
    </w:p>
    <w:p w14:paraId="73EB4EEA" w14:textId="49E153F8" w:rsidR="005C252F" w:rsidRPr="00A75740" w:rsidRDefault="005C252F" w:rsidP="00F86E09">
      <w:pPr>
        <w:pStyle w:val="Olivier1"/>
        <w:widowControl w:val="0"/>
      </w:pPr>
      <w:r w:rsidRPr="00A75740">
        <w:t>Intuitively,</w:t>
      </w:r>
      <w:r w:rsidR="009A0847">
        <w:t xml:space="preserve"> </w:t>
      </w:r>
      <w:r w:rsidRPr="00A75740">
        <w:t>Corollary</w:t>
      </w:r>
      <w:r w:rsidR="009A0847">
        <w:t xml:space="preserve"> </w:t>
      </w:r>
      <w:r w:rsidRPr="00A75740">
        <w:t>1</w:t>
      </w:r>
      <w:r w:rsidR="009A0847">
        <w:t xml:space="preserve"> </w:t>
      </w:r>
      <w:r w:rsidRPr="00A75740">
        <w:t>states</w:t>
      </w:r>
      <w:r w:rsidR="009A0847">
        <w:t xml:space="preserve"> </w:t>
      </w:r>
      <w:r w:rsidRPr="00A75740">
        <w:t>that</w:t>
      </w:r>
      <w:r w:rsidR="009A0847">
        <w:t xml:space="preserve"> </w:t>
      </w:r>
      <w:r w:rsidRPr="00A75740">
        <w:t>if</w:t>
      </w:r>
      <w:r w:rsidR="009A0847">
        <w:t xml:space="preserve"> </w:t>
      </w:r>
      <w:r w:rsidRPr="00A75740">
        <w:t>a</w:t>
      </w:r>
      <w:r w:rsidR="009A0847">
        <w:t xml:space="preserve"> </w:t>
      </w:r>
      <w:r w:rsidRPr="00A75740">
        <w:t>critical</w:t>
      </w:r>
      <w:r w:rsidR="009A0847">
        <w:t xml:space="preserve"> </w:t>
      </w:r>
      <w:r w:rsidRPr="00A75740">
        <w:t>mass</w:t>
      </w:r>
      <w:r w:rsidR="009A0847">
        <w:t xml:space="preserve"> </w:t>
      </w:r>
      <w:r w:rsidR="00CA04BF">
        <w:t>of</w:t>
      </w:r>
      <w:r w:rsidR="009A0847">
        <w:t xml:space="preserve"> </w:t>
      </w:r>
      <w:r w:rsidR="00CA04BF">
        <w:t>illiquid</w:t>
      </w:r>
      <w:r w:rsidR="009A0847">
        <w:t xml:space="preserve"> </w:t>
      </w:r>
      <w:r w:rsidR="00CA04BF">
        <w:t>banks</w:t>
      </w:r>
      <m:oMath>
        <m:r>
          <w:rPr>
            <w:rFonts w:ascii="Cambria Math" w:hAnsi="Cambria Math"/>
            <w:sz w:val="22"/>
            <w:szCs w:val="22"/>
          </w:rPr>
          <m:t xml:space="preserve"> n</m:t>
        </m:r>
      </m:oMath>
      <w:r w:rsidR="003D2B3A" w:rsidRPr="003D2B3A">
        <w:rPr>
          <w:szCs w:val="24"/>
        </w:rPr>
        <w:t>,</w:t>
      </w:r>
      <w:r w:rsidR="009A0847">
        <w:rPr>
          <w:szCs w:val="24"/>
        </w:rPr>
        <w:t xml:space="preserve"> </w:t>
      </w:r>
      <w:r w:rsidR="003D2B3A" w:rsidRPr="003D2B3A">
        <w:rPr>
          <w:szCs w:val="24"/>
        </w:rPr>
        <w:t>such</w:t>
      </w:r>
      <w:r w:rsidR="009A0847">
        <w:rPr>
          <w:szCs w:val="24"/>
        </w:rPr>
        <w:t xml:space="preserve"> </w:t>
      </w:r>
      <w:r w:rsidR="00787DF1">
        <w:rPr>
          <w:szCs w:val="24"/>
        </w:rPr>
        <w:t>(with</w:t>
      </w:r>
      <w:r w:rsidR="009A0847">
        <w:rPr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n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0</m:t>
            </m:r>
          </m:sub>
        </m:sSub>
        <m:r>
          <w:rPr>
            <w:rFonts w:ascii="Cambria Math" w:hAnsi="Cambria Math"/>
            <w:sz w:val="22"/>
            <w:szCs w:val="22"/>
          </w:rPr>
          <m:t>&lt;n&lt;</m:t>
        </m:r>
        <m:sSub>
          <m:sSubPr>
            <m:ctrlPr>
              <w:rPr>
                <w:rFonts w:ascii="Cambria Math" w:hAnsi="Cambria Math"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N</m:t>
            </m:r>
          </m:e>
          <m:sub>
            <m:acc>
              <m:accPr>
                <m:chr m:val="̅"/>
                <m:ctrlPr>
                  <w:rPr>
                    <w:rFonts w:ascii="Cambria Math" w:hAnsi="Cambria Math"/>
                    <w:sz w:val="22"/>
                    <w:szCs w:val="22"/>
                  </w:rPr>
                </m:ctrlPr>
              </m:acc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L</m:t>
                </m:r>
              </m:e>
            </m:acc>
          </m:sub>
        </m:sSub>
      </m:oMath>
      <w:r w:rsidR="00787DF1">
        <w:rPr>
          <w:sz w:val="22"/>
          <w:szCs w:val="22"/>
        </w:rPr>
        <w:t>)</w:t>
      </w:r>
      <w:r w:rsidR="003D2B3A" w:rsidRPr="003D2B3A">
        <w:rPr>
          <w:szCs w:val="24"/>
        </w:rPr>
        <w:t>,</w:t>
      </w:r>
      <w:r w:rsidR="009A0847">
        <w:t xml:space="preserve"> </w:t>
      </w:r>
      <w:r w:rsidR="00CA04BF">
        <w:t>borrow</w:t>
      </w:r>
      <w:r w:rsidR="009A0847">
        <w:t xml:space="preserve"> </w:t>
      </w:r>
      <w:r w:rsidR="00CA04BF">
        <w:t>at</w:t>
      </w:r>
      <w:r w:rsidR="009A0847">
        <w:t xml:space="preserve"> </w:t>
      </w:r>
      <w:r w:rsidR="00CA04BF">
        <w:t>the</w:t>
      </w:r>
      <w:r w:rsidR="009A0847">
        <w:t xml:space="preserve"> </w:t>
      </w:r>
      <w:r w:rsidR="00CA04BF">
        <w:t>DW</w:t>
      </w:r>
      <w:r w:rsidRPr="00A75740">
        <w:t>,</w:t>
      </w:r>
      <w:r w:rsidR="009A0847">
        <w:t xml:space="preserve"> </w:t>
      </w:r>
      <w:r w:rsidRPr="00A75740">
        <w:t>then</w:t>
      </w:r>
      <w:r w:rsidR="009A0847">
        <w:t xml:space="preserve"> </w:t>
      </w:r>
      <w:r w:rsidR="00B45A48">
        <w:t>the</w:t>
      </w:r>
      <w:r w:rsidR="009A0847">
        <w:t xml:space="preserve"> </w:t>
      </w:r>
      <w:r w:rsidR="00B45A48">
        <w:t>detection</w:t>
      </w:r>
      <w:r w:rsidR="009A0847">
        <w:t xml:space="preserve"> </w:t>
      </w:r>
      <w:r w:rsidR="00B45A48">
        <w:t>probability</w:t>
      </w:r>
      <w:r w:rsidR="009A0847">
        <w:t xml:space="preserve"> </w:t>
      </w:r>
      <m:oMath>
        <m:r>
          <w:rPr>
            <w:rFonts w:ascii="Cambria Math" w:hAnsi="Cambria Math"/>
            <w:sz w:val="22"/>
            <w:szCs w:val="22"/>
          </w:rPr>
          <m:t>θ</m:t>
        </m:r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n</m:t>
            </m:r>
          </m:e>
        </m:d>
      </m:oMath>
      <w:r w:rsidR="009A0847">
        <w:t xml:space="preserve"> </w:t>
      </w:r>
      <w:r w:rsidR="00B45A48">
        <w:t>becomes</w:t>
      </w:r>
      <w:r w:rsidR="009A0847">
        <w:t xml:space="preserve"> </w:t>
      </w:r>
      <w:r w:rsidR="00B45A48">
        <w:t>sufficiently</w:t>
      </w:r>
      <w:r w:rsidR="009A0847">
        <w:t xml:space="preserve"> </w:t>
      </w:r>
      <w:r w:rsidR="00B45A48">
        <w:t>low</w:t>
      </w:r>
      <w:r w:rsidR="009A0847">
        <w:t xml:space="preserve"> </w:t>
      </w:r>
      <w:r w:rsidR="00B45A48">
        <w:t>(</w:t>
      </w:r>
      <w:r w:rsidR="003D2B3A">
        <w:t>i.e.</w:t>
      </w:r>
      <w:r w:rsidR="009A0847">
        <w:t xml:space="preserve"> </w:t>
      </w:r>
      <m:oMath>
        <m:r>
          <w:rPr>
            <w:rFonts w:ascii="Cambria Math" w:hAnsi="Cambria Math"/>
            <w:sz w:val="22"/>
            <w:szCs w:val="22"/>
          </w:rPr>
          <m:t>θ</m:t>
        </m:r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n</m:t>
            </m:r>
          </m:e>
        </m:d>
        <m:r>
          <w:rPr>
            <w:rFonts w:ascii="Cambria Math" w:hAnsi="Cambria Math"/>
            <w:sz w:val="22"/>
            <w:szCs w:val="22"/>
          </w:rPr>
          <m:t>&lt;</m:t>
        </m:r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θ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0</m:t>
            </m:r>
          </m:sub>
        </m:sSub>
      </m:oMath>
      <w:r w:rsidR="00B45A48">
        <w:rPr>
          <w:sz w:val="22"/>
          <w:szCs w:val="22"/>
        </w:rPr>
        <w:t>)</w:t>
      </w:r>
      <w:r w:rsidR="009A0847">
        <w:t xml:space="preserve"> </w:t>
      </w:r>
      <w:r w:rsidR="00B45A48">
        <w:t>to</w:t>
      </w:r>
      <w:r w:rsidR="009A0847">
        <w:t xml:space="preserve"> </w:t>
      </w:r>
      <w:r w:rsidR="00B45A48">
        <w:t>make</w:t>
      </w:r>
      <w:r w:rsidR="009A0847">
        <w:t xml:space="preserve"> </w:t>
      </w:r>
      <w:r w:rsidR="003D2B3A">
        <w:t>DW</w:t>
      </w:r>
      <w:r w:rsidR="009A0847">
        <w:t xml:space="preserve"> </w:t>
      </w:r>
      <w:r w:rsidR="00B45A48">
        <w:t>borrowing</w:t>
      </w:r>
      <w:r w:rsidR="009A0847">
        <w:t xml:space="preserve"> </w:t>
      </w:r>
      <w:r w:rsidRPr="00A75740">
        <w:t>a</w:t>
      </w:r>
      <w:r w:rsidR="009A0847">
        <w:t xml:space="preserve"> </w:t>
      </w:r>
      <w:r w:rsidRPr="00A75740">
        <w:t>best</w:t>
      </w:r>
      <w:r w:rsidR="009A0847">
        <w:t xml:space="preserve"> </w:t>
      </w:r>
      <w:r w:rsidRPr="00A75740">
        <w:t>response</w:t>
      </w:r>
      <w:r w:rsidR="009A0847">
        <w:t xml:space="preserve"> </w:t>
      </w:r>
      <w:r w:rsidRPr="00A75740">
        <w:t>for</w:t>
      </w:r>
      <w:r w:rsidR="009A0847">
        <w:t xml:space="preserve"> </w:t>
      </w:r>
      <w:r w:rsidRPr="00A75740">
        <w:t>an</w:t>
      </w:r>
      <w:r w:rsidR="00C345EE">
        <w:t>y</w:t>
      </w:r>
      <w:r w:rsidR="009A0847">
        <w:t xml:space="preserve"> </w:t>
      </w:r>
      <w:r w:rsidRPr="00A75740">
        <w:t>illiquid</w:t>
      </w:r>
      <w:r w:rsidR="009A0847">
        <w:t xml:space="preserve"> </w:t>
      </w:r>
      <w:r w:rsidRPr="00A75740">
        <w:t>bank</w:t>
      </w:r>
      <w:r w:rsidR="00CD0A44" w:rsidRPr="00A75740">
        <w:t>.</w:t>
      </w:r>
      <w:r w:rsidR="009A0847">
        <w:t xml:space="preserve"> </w:t>
      </w:r>
      <w:r w:rsidR="00CD0A44" w:rsidRPr="00A75740">
        <w:t>Thus,</w:t>
      </w:r>
      <w:r w:rsidR="009A0847">
        <w:t xml:space="preserve"> </w:t>
      </w:r>
      <w:r w:rsidR="00B45A48">
        <w:t>banks</w:t>
      </w:r>
      <w:r w:rsidR="009A0847">
        <w:t xml:space="preserve"> </w:t>
      </w:r>
      <w:r w:rsidR="00B45A48">
        <w:t>coordinate</w:t>
      </w:r>
      <w:r w:rsidR="009A0847">
        <w:t xml:space="preserve"> </w:t>
      </w:r>
      <w:r w:rsidR="00B45A48">
        <w:t>on</w:t>
      </w:r>
      <w:r w:rsidR="009A0847">
        <w:t xml:space="preserve"> </w:t>
      </w:r>
      <w:r w:rsidR="00B45A48">
        <w:t>DW</w:t>
      </w:r>
      <w:r w:rsidR="009A0847">
        <w:t xml:space="preserve"> </w:t>
      </w:r>
      <w:r w:rsidR="00B45A48">
        <w:t>borrowing</w:t>
      </w:r>
      <w:r w:rsidR="009A0847">
        <w:t xml:space="preserve"> </w:t>
      </w:r>
      <w:r w:rsidR="00B45A48">
        <w:t>in</w:t>
      </w:r>
      <w:r w:rsidR="009A0847">
        <w:t xml:space="preserve"> </w:t>
      </w:r>
      <w:r w:rsidR="00B45A48">
        <w:t>that</w:t>
      </w:r>
      <w:r w:rsidR="009A0847">
        <w:t xml:space="preserve"> </w:t>
      </w:r>
      <w:r w:rsidR="00B45A48">
        <w:t>case</w:t>
      </w:r>
      <w:r w:rsidR="009A0847">
        <w:t xml:space="preserve"> </w:t>
      </w:r>
      <w:r w:rsidR="00B45A48">
        <w:t>and</w:t>
      </w:r>
      <w:r w:rsidR="009A0847">
        <w:t xml:space="preserve"> </w:t>
      </w:r>
      <m:oMath>
        <m:r>
          <m:rPr>
            <m:sty m:val="bi"/>
          </m:rPr>
          <w:rPr>
            <w:rFonts w:ascii="Cambria Math" w:hAnsi="Cambria Math"/>
            <w:sz w:val="22"/>
            <w:szCs w:val="22"/>
          </w:rPr>
          <m:t>NoSt</m:t>
        </m:r>
      </m:oMath>
      <w:r w:rsidR="009A0847">
        <w:t xml:space="preserve"> </w:t>
      </w:r>
      <w:r w:rsidRPr="00A75740">
        <w:t>is</w:t>
      </w:r>
      <w:r w:rsidR="009A0847">
        <w:t xml:space="preserve"> </w:t>
      </w:r>
      <w:r w:rsidRPr="00A75740">
        <w:t>an</w:t>
      </w:r>
      <w:r w:rsidR="009A0847">
        <w:t xml:space="preserve"> </w:t>
      </w:r>
      <w:r w:rsidRPr="00A75740">
        <w:t>equilibrium.</w:t>
      </w:r>
      <w:r w:rsidR="009A0847">
        <w:t xml:space="preserve"> </w:t>
      </w:r>
      <w:r w:rsidRPr="00A75740">
        <w:t>Conversely</w:t>
      </w:r>
      <w:r w:rsidR="00B45A48">
        <w:t>,</w:t>
      </w:r>
      <w:r w:rsidR="009A0847">
        <w:t xml:space="preserve"> </w:t>
      </w:r>
      <w:r w:rsidR="00C85242">
        <w:t>if</w:t>
      </w:r>
      <w:r w:rsidR="009A0847">
        <w:t xml:space="preserve"> </w:t>
      </w:r>
      <w:r w:rsidR="00C85242">
        <w:t>a</w:t>
      </w:r>
      <w:r w:rsidR="009A0847">
        <w:t xml:space="preserve"> </w:t>
      </w:r>
      <w:r w:rsidR="00C85242">
        <w:t>critical</w:t>
      </w:r>
      <w:r w:rsidR="009A0847">
        <w:t xml:space="preserve"> </w:t>
      </w:r>
      <w:r w:rsidR="00C85242">
        <w:t>mass</w:t>
      </w:r>
      <m:oMath>
        <m:r>
          <w:rPr>
            <w:rFonts w:ascii="Cambria Math" w:hAnsi="Cambria Math"/>
            <w:sz w:val="22"/>
            <w:szCs w:val="22"/>
          </w:rPr>
          <m:t xml:space="preserve"> </m:t>
        </m:r>
      </m:oMath>
      <w:r w:rsidRPr="00A75740">
        <w:t>of</w:t>
      </w:r>
      <w:r w:rsidR="009A0847">
        <w:t xml:space="preserve"> </w:t>
      </w:r>
      <w:r w:rsidRPr="00A75740">
        <w:t>DW</w:t>
      </w:r>
      <w:r w:rsidR="009A0847">
        <w:t xml:space="preserve"> </w:t>
      </w:r>
      <w:r w:rsidRPr="00A75740">
        <w:t>borrowers</w:t>
      </w:r>
      <w:r w:rsidR="009A0847">
        <w:t xml:space="preserve"> </w:t>
      </w:r>
      <m:oMath>
        <m:r>
          <w:rPr>
            <w:rFonts w:ascii="Cambria Math" w:hAnsi="Cambria Math"/>
            <w:sz w:val="22"/>
            <w:szCs w:val="22"/>
          </w:rPr>
          <m:t>n</m:t>
        </m:r>
      </m:oMath>
      <w:r w:rsidR="009A0847">
        <w:rPr>
          <w:szCs w:val="24"/>
        </w:rPr>
        <w:t xml:space="preserve"> </w:t>
      </w:r>
      <w:r w:rsidRPr="00A75740">
        <w:t>is</w:t>
      </w:r>
      <w:r w:rsidR="009A0847">
        <w:t xml:space="preserve"> </w:t>
      </w:r>
      <w:r w:rsidRPr="00A75740">
        <w:t>not</w:t>
      </w:r>
      <w:r w:rsidR="009A0847">
        <w:t xml:space="preserve"> </w:t>
      </w:r>
      <w:r w:rsidRPr="00A75740">
        <w:t>reached</w:t>
      </w:r>
      <w:r w:rsidR="009A0847">
        <w:t xml:space="preserve"> </w:t>
      </w:r>
      <w:r w:rsidR="00AF7367">
        <w:rPr>
          <w:szCs w:val="24"/>
        </w:rPr>
        <w:t>(i.e.</w:t>
      </w:r>
      <w:r w:rsidR="009A0847">
        <w:rPr>
          <w:szCs w:val="24"/>
        </w:rPr>
        <w:t xml:space="preserve"> </w:t>
      </w:r>
      <m:oMath>
        <m:r>
          <w:rPr>
            <w:rFonts w:ascii="Cambria Math" w:hAnsi="Cambria Math"/>
            <w:szCs w:val="24"/>
          </w:rPr>
          <m:t>1&lt;n&lt;</m:t>
        </m:r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n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0</m:t>
            </m:r>
          </m:sub>
        </m:sSub>
      </m:oMath>
      <w:r w:rsidR="00AF7367">
        <w:rPr>
          <w:szCs w:val="24"/>
        </w:rPr>
        <w:t>)</w:t>
      </w:r>
      <w:r w:rsidRPr="00A75740">
        <w:t>,</w:t>
      </w:r>
      <w:r w:rsidR="009A0847">
        <w:t xml:space="preserve"> </w:t>
      </w:r>
      <w:r w:rsidRPr="00A75740">
        <w:t>then</w:t>
      </w:r>
      <w:r w:rsidR="009A0847">
        <w:t xml:space="preserve"> </w:t>
      </w:r>
      <w:r w:rsidR="00B45A48">
        <w:t>the</w:t>
      </w:r>
      <w:r w:rsidR="009A0847">
        <w:t xml:space="preserve"> </w:t>
      </w:r>
      <w:r w:rsidR="00B45A48">
        <w:t>detection</w:t>
      </w:r>
      <w:r w:rsidR="009A0847">
        <w:t xml:space="preserve"> </w:t>
      </w:r>
      <w:r w:rsidR="00B45A48">
        <w:t>probability</w:t>
      </w:r>
      <w:r w:rsidR="009A0847">
        <w:t xml:space="preserve"> </w:t>
      </w:r>
      <m:oMath>
        <m:r>
          <w:rPr>
            <w:rFonts w:ascii="Cambria Math" w:hAnsi="Cambria Math"/>
            <w:sz w:val="22"/>
            <w:szCs w:val="22"/>
          </w:rPr>
          <m:t>θ</m:t>
        </m:r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n</m:t>
            </m:r>
          </m:e>
        </m:d>
      </m:oMath>
      <w:r w:rsidR="009A0847">
        <w:t xml:space="preserve"> </w:t>
      </w:r>
      <w:r w:rsidR="00CD0A44" w:rsidRPr="00A75740">
        <w:t>is</w:t>
      </w:r>
      <w:r w:rsidR="009A0847">
        <w:t xml:space="preserve"> </w:t>
      </w:r>
      <w:r w:rsidR="00216AD0">
        <w:t>too</w:t>
      </w:r>
      <w:r w:rsidR="009A0847">
        <w:t xml:space="preserve"> </w:t>
      </w:r>
      <w:r w:rsidR="00216AD0">
        <w:t>high</w:t>
      </w:r>
      <w:r w:rsidR="009A0847">
        <w:t xml:space="preserve"> </w:t>
      </w:r>
      <w:r w:rsidR="00216AD0">
        <w:t>(i.e.</w:t>
      </w:r>
      <w:r w:rsidR="009A0847">
        <w:t xml:space="preserve"> </w:t>
      </w:r>
      <m:oMath>
        <m:r>
          <w:rPr>
            <w:rFonts w:ascii="Cambria Math" w:hAnsi="Cambria Math"/>
            <w:sz w:val="22"/>
            <w:szCs w:val="22"/>
          </w:rPr>
          <m:t>θ</m:t>
        </m:r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n</m:t>
            </m:r>
          </m:e>
        </m:d>
        <m:r>
          <w:rPr>
            <w:rFonts w:ascii="Cambria Math" w:hAnsi="Cambria Math"/>
            <w:sz w:val="22"/>
            <w:szCs w:val="22"/>
          </w:rPr>
          <m:t>&gt;</m:t>
        </m:r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θ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0</m:t>
            </m:r>
          </m:sub>
        </m:sSub>
      </m:oMath>
      <w:r w:rsidR="00B45A48">
        <w:rPr>
          <w:sz w:val="22"/>
          <w:szCs w:val="22"/>
        </w:rPr>
        <w:t>)</w:t>
      </w:r>
      <w:r w:rsidR="009A0847">
        <w:t xml:space="preserve"> </w:t>
      </w:r>
      <w:r w:rsidR="00B45A48">
        <w:t>to</w:t>
      </w:r>
      <w:r w:rsidR="009A0847">
        <w:t xml:space="preserve"> </w:t>
      </w:r>
      <w:r w:rsidR="00B45A48">
        <w:t>make</w:t>
      </w:r>
      <w:r w:rsidR="009A0847">
        <w:t xml:space="preserve"> </w:t>
      </w:r>
      <w:r w:rsidR="00C85242">
        <w:t>DW</w:t>
      </w:r>
      <w:r w:rsidR="009A0847">
        <w:t xml:space="preserve"> </w:t>
      </w:r>
      <w:r w:rsidR="00B45A48">
        <w:t>borrowing</w:t>
      </w:r>
      <w:r w:rsidR="009A0847">
        <w:t xml:space="preserve"> </w:t>
      </w:r>
      <w:r w:rsidRPr="00A75740">
        <w:t>a</w:t>
      </w:r>
      <w:r w:rsidR="009A0847">
        <w:t xml:space="preserve"> </w:t>
      </w:r>
      <w:r w:rsidRPr="00A75740">
        <w:t>best</w:t>
      </w:r>
      <w:r w:rsidR="009A0847">
        <w:t xml:space="preserve"> </w:t>
      </w:r>
      <w:r w:rsidRPr="00A75740">
        <w:t>response</w:t>
      </w:r>
      <w:r w:rsidR="009A0847">
        <w:t xml:space="preserve"> </w:t>
      </w:r>
      <w:r w:rsidRPr="00A75740">
        <w:t>for</w:t>
      </w:r>
      <w:r w:rsidR="009A0847">
        <w:t xml:space="preserve"> </w:t>
      </w:r>
      <w:r w:rsidRPr="00A75740">
        <w:t>an</w:t>
      </w:r>
      <w:r w:rsidR="009A0847">
        <w:t xml:space="preserve"> </w:t>
      </w:r>
      <w:r w:rsidRPr="00A75740">
        <w:t>illiquid</w:t>
      </w:r>
      <w:r w:rsidR="009A0847">
        <w:t xml:space="preserve"> </w:t>
      </w:r>
      <w:r w:rsidRPr="00A75740">
        <w:t>bank</w:t>
      </w:r>
      <w:r w:rsidR="00C85242">
        <w:t>.</w:t>
      </w:r>
      <w:r w:rsidR="009A0847">
        <w:t xml:space="preserve"> </w:t>
      </w:r>
      <w:r w:rsidR="00CD0A44" w:rsidRPr="00A75740">
        <w:t>Thus,</w:t>
      </w:r>
      <w:r w:rsidR="009A0847">
        <w:t xml:space="preserve"> </w:t>
      </w:r>
      <w:r w:rsidR="00B45A48">
        <w:t>banks</w:t>
      </w:r>
      <w:r w:rsidR="009A0847">
        <w:t xml:space="preserve"> </w:t>
      </w:r>
      <w:r w:rsidR="00B45A48">
        <w:t>coordinate</w:t>
      </w:r>
      <w:r w:rsidR="009A0847">
        <w:t xml:space="preserve"> </w:t>
      </w:r>
      <w:r w:rsidR="00B45A48">
        <w:t>on</w:t>
      </w:r>
      <w:r w:rsidR="009A0847">
        <w:t xml:space="preserve"> </w:t>
      </w:r>
      <w:r w:rsidR="00B45A48">
        <w:t>not</w:t>
      </w:r>
      <w:r w:rsidR="009A0847">
        <w:t xml:space="preserve"> </w:t>
      </w:r>
      <w:r w:rsidR="00B45A48">
        <w:t>borrowing</w:t>
      </w:r>
      <w:r w:rsidR="009A0847">
        <w:t xml:space="preserve"> </w:t>
      </w:r>
      <w:r w:rsidR="00B45A48">
        <w:t>at</w:t>
      </w:r>
      <w:r w:rsidR="009A0847">
        <w:t xml:space="preserve"> </w:t>
      </w:r>
      <w:r w:rsidR="00B45A48">
        <w:t>the</w:t>
      </w:r>
      <w:r w:rsidR="009A0847">
        <w:t xml:space="preserve"> </w:t>
      </w:r>
      <w:r w:rsidR="00B45A48">
        <w:t>DW</w:t>
      </w:r>
      <w:r w:rsidR="009A0847">
        <w:t xml:space="preserve"> </w:t>
      </w:r>
      <w:r w:rsidR="00B45A48">
        <w:t>in</w:t>
      </w:r>
      <w:r w:rsidR="009A0847">
        <w:t xml:space="preserve"> </w:t>
      </w:r>
      <w:r w:rsidR="00B45A48">
        <w:t>that</w:t>
      </w:r>
      <w:r w:rsidR="009A0847">
        <w:t xml:space="preserve"> </w:t>
      </w:r>
      <w:r w:rsidR="00B45A48">
        <w:t>case</w:t>
      </w:r>
      <w:r w:rsidR="009A0847">
        <w:t xml:space="preserve"> </w:t>
      </w:r>
      <w:r w:rsidR="00B45A48">
        <w:t>and</w:t>
      </w:r>
      <w:r w:rsidR="009A0847">
        <w:t xml:space="preserve"> </w:t>
      </w:r>
      <m:oMath>
        <m:r>
          <m:rPr>
            <m:sty m:val="bi"/>
          </m:rPr>
          <w:rPr>
            <w:rFonts w:ascii="Cambria Math" w:hAnsi="Cambria Math"/>
            <w:sz w:val="22"/>
            <w:szCs w:val="22"/>
          </w:rPr>
          <m:t>St</m:t>
        </m:r>
      </m:oMath>
      <w:r w:rsidR="009A0847">
        <w:t xml:space="preserve"> </w:t>
      </w:r>
      <w:r w:rsidR="00B45A48" w:rsidRPr="00A75740">
        <w:t>is</w:t>
      </w:r>
      <w:r w:rsidR="009A0847">
        <w:t xml:space="preserve"> </w:t>
      </w:r>
      <w:r w:rsidR="00B45A48" w:rsidRPr="00A75740">
        <w:t>an</w:t>
      </w:r>
      <w:r w:rsidR="009A0847">
        <w:t xml:space="preserve"> </w:t>
      </w:r>
      <w:r w:rsidR="00B45A48" w:rsidRPr="00A75740">
        <w:t>equilibrium</w:t>
      </w:r>
      <w:r w:rsidR="00CD0A44" w:rsidRPr="00A75740">
        <w:t>.</w:t>
      </w:r>
    </w:p>
    <w:p w14:paraId="1405A2B7" w14:textId="371A199F" w:rsidR="001D697A" w:rsidRPr="00A75740" w:rsidRDefault="001C30BE" w:rsidP="00F86E09">
      <w:pPr>
        <w:pStyle w:val="Olivier1"/>
        <w:widowControl w:val="0"/>
        <w:ind w:firstLine="360"/>
      </w:pPr>
      <w:r>
        <w:t>In</w:t>
      </w:r>
      <w:r w:rsidR="009A0847">
        <w:t xml:space="preserve"> </w:t>
      </w:r>
      <w:r>
        <w:t>the</w:t>
      </w:r>
      <w:r w:rsidR="009A0847">
        <w:t xml:space="preserve"> </w:t>
      </w:r>
      <w:r>
        <w:t>remainder</w:t>
      </w:r>
      <w:r w:rsidR="009A0847">
        <w:t xml:space="preserve"> </w:t>
      </w:r>
      <w:r w:rsidR="00216AD0">
        <w:t>of</w:t>
      </w:r>
      <w:r w:rsidR="009A0847">
        <w:t xml:space="preserve"> </w:t>
      </w:r>
      <w:r w:rsidR="00216AD0">
        <w:t>the</w:t>
      </w:r>
      <w:r w:rsidR="009A0847">
        <w:t xml:space="preserve"> </w:t>
      </w:r>
      <w:r w:rsidR="00216AD0">
        <w:t>paper</w:t>
      </w:r>
      <w:r w:rsidR="00CD0A44" w:rsidRPr="00A75740">
        <w:t>,</w:t>
      </w:r>
      <w:r w:rsidR="009A0847">
        <w:t xml:space="preserve"> </w:t>
      </w:r>
      <w:r>
        <w:t>we</w:t>
      </w:r>
      <w:r w:rsidR="009A0847">
        <w:t xml:space="preserve"> </w:t>
      </w:r>
      <w:r>
        <w:t>assume</w:t>
      </w:r>
      <w:r w:rsidR="009A0847">
        <w:t xml:space="preserve"> </w:t>
      </w:r>
      <w:r>
        <w:t>that</w:t>
      </w:r>
      <w:r w:rsidR="009A0847">
        <w:t xml:space="preserve"> </w:t>
      </w:r>
      <m:oMath>
        <m:r>
          <w:rPr>
            <w:rFonts w:ascii="Cambria Math" w:hAnsi="Cambria Math"/>
            <w:sz w:val="22"/>
            <w:szCs w:val="22"/>
          </w:rPr>
          <m:t>1&lt;</m:t>
        </m:r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n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0</m:t>
            </m:r>
          </m:sub>
        </m:sSub>
        <m:r>
          <w:rPr>
            <w:rFonts w:ascii="Cambria Math" w:hAnsi="Cambria Math"/>
            <w:sz w:val="22"/>
            <w:szCs w:val="22"/>
          </w:rPr>
          <m:t>&lt;</m:t>
        </m:r>
        <m:sSub>
          <m:sSubPr>
            <m:ctrlPr>
              <w:rPr>
                <w:rFonts w:ascii="Cambria Math" w:hAnsi="Cambria Math"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N</m:t>
            </m:r>
          </m:e>
          <m:sub>
            <m:acc>
              <m:accPr>
                <m:chr m:val="̅"/>
                <m:ctrlPr>
                  <w:rPr>
                    <w:rFonts w:ascii="Cambria Math" w:hAnsi="Cambria Math"/>
                    <w:sz w:val="22"/>
                    <w:szCs w:val="22"/>
                  </w:rPr>
                </m:ctrlPr>
              </m:acc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L</m:t>
                </m:r>
              </m:e>
            </m:acc>
          </m:sub>
        </m:sSub>
      </m:oMath>
      <w:r w:rsidR="009A0847">
        <w:t xml:space="preserve"> </w:t>
      </w:r>
      <w:r w:rsidR="00C345EE">
        <w:t>which</w:t>
      </w:r>
      <w:r w:rsidR="009A0847">
        <w:t xml:space="preserve"> </w:t>
      </w:r>
      <w:r w:rsidR="00C345EE">
        <w:t>let</w:t>
      </w:r>
      <w:r w:rsidR="009A0847">
        <w:t xml:space="preserve"> </w:t>
      </w:r>
      <w:r w:rsidR="00C345EE">
        <w:t>us</w:t>
      </w:r>
      <w:r w:rsidR="009A0847">
        <w:t xml:space="preserve"> </w:t>
      </w:r>
      <w:r w:rsidRPr="00A75740">
        <w:t>focus</w:t>
      </w:r>
      <w:r w:rsidR="009A0847">
        <w:t xml:space="preserve"> </w:t>
      </w:r>
      <w:r w:rsidRPr="00A75740">
        <w:t>on</w:t>
      </w:r>
      <w:r w:rsidR="009A0847">
        <w:t xml:space="preserve"> </w:t>
      </w:r>
      <w:r w:rsidRPr="00A75740">
        <w:t>the</w:t>
      </w:r>
      <w:r w:rsidR="009A0847">
        <w:t xml:space="preserve"> </w:t>
      </w:r>
      <w:r w:rsidRPr="00A75740">
        <w:t>most</w:t>
      </w:r>
      <w:r w:rsidR="009A0847">
        <w:t xml:space="preserve"> </w:t>
      </w:r>
      <w:r w:rsidRPr="00A75740">
        <w:t>interesting</w:t>
      </w:r>
      <w:r w:rsidR="009A0847">
        <w:t xml:space="preserve"> </w:t>
      </w:r>
      <w:r w:rsidRPr="00A75740">
        <w:t>case</w:t>
      </w:r>
      <w:r w:rsidR="009A0847">
        <w:t xml:space="preserve"> </w:t>
      </w:r>
      <w:r>
        <w:t>with</w:t>
      </w:r>
      <w:r w:rsidR="009A0847">
        <w:t xml:space="preserve"> </w:t>
      </w:r>
      <w:r>
        <w:t>multiple</w:t>
      </w:r>
      <w:r w:rsidR="009A0847">
        <w:t xml:space="preserve"> </w:t>
      </w:r>
      <w:r>
        <w:t>equilibria.</w:t>
      </w:r>
      <w:r w:rsidR="009A0847">
        <w:t xml:space="preserve"> </w:t>
      </w:r>
      <w:r>
        <w:t>The</w:t>
      </w:r>
      <w:r w:rsidR="009A0847">
        <w:t xml:space="preserve"> </w:t>
      </w:r>
      <w:r>
        <w:t>objective</w:t>
      </w:r>
      <w:r w:rsidR="009A0847">
        <w:t xml:space="preserve"> </w:t>
      </w:r>
      <w:r>
        <w:t>is</w:t>
      </w:r>
      <w:r w:rsidR="009A0847">
        <w:t xml:space="preserve"> </w:t>
      </w:r>
      <w:r>
        <w:t>then</w:t>
      </w:r>
      <w:r w:rsidR="009A0847">
        <w:t xml:space="preserve"> </w:t>
      </w:r>
      <w:r w:rsidR="006A7352" w:rsidRPr="00A75740">
        <w:t>to</w:t>
      </w:r>
      <w:r w:rsidR="009A0847">
        <w:t xml:space="preserve"> </w:t>
      </w:r>
      <w:r w:rsidR="006A7352" w:rsidRPr="00A75740">
        <w:t>understand</w:t>
      </w:r>
      <w:r w:rsidR="009A0847">
        <w:t xml:space="preserve"> </w:t>
      </w:r>
      <w:r w:rsidR="006A7352" w:rsidRPr="00A75740">
        <w:t>what</w:t>
      </w:r>
      <w:r w:rsidR="009A0847">
        <w:t xml:space="preserve"> </w:t>
      </w:r>
      <w:r w:rsidR="001D697A" w:rsidRPr="00A75740">
        <w:t>factors</w:t>
      </w:r>
      <w:r w:rsidR="009A0847">
        <w:t xml:space="preserve"> </w:t>
      </w:r>
      <w:r w:rsidR="00CD0A44" w:rsidRPr="00A75740">
        <w:t>drive</w:t>
      </w:r>
      <w:r w:rsidR="009A0847">
        <w:t xml:space="preserve"> </w:t>
      </w:r>
      <w:r w:rsidR="006A7352" w:rsidRPr="00A75740">
        <w:t>bank</w:t>
      </w:r>
      <w:r w:rsidR="00CD0A44" w:rsidRPr="00A75740">
        <w:t>s</w:t>
      </w:r>
      <w:r w:rsidR="009A0847">
        <w:t xml:space="preserve"> </w:t>
      </w:r>
      <w:r w:rsidR="00CD0A44" w:rsidRPr="00A75740">
        <w:t>to</w:t>
      </w:r>
      <w:r w:rsidR="009A0847">
        <w:t xml:space="preserve"> </w:t>
      </w:r>
      <w:r w:rsidR="006A7352" w:rsidRPr="00A75740">
        <w:t>coordinate</w:t>
      </w:r>
      <w:r w:rsidR="009A0847">
        <w:t xml:space="preserve"> </w:t>
      </w:r>
      <w:r w:rsidR="006A7352" w:rsidRPr="00A75740">
        <w:t>on</w:t>
      </w:r>
      <w:r w:rsidR="009A0847">
        <w:t xml:space="preserve"> </w:t>
      </w:r>
      <w:r w:rsidR="006A7352" w:rsidRPr="00A75740">
        <w:t>one</w:t>
      </w:r>
      <w:r w:rsidR="009A0847">
        <w:t xml:space="preserve"> </w:t>
      </w:r>
      <w:r w:rsidR="006A7352" w:rsidRPr="00A75740">
        <w:t>equilibrium</w:t>
      </w:r>
      <w:r w:rsidR="009A0847">
        <w:t xml:space="preserve"> </w:t>
      </w:r>
      <w:r w:rsidR="006A7352" w:rsidRPr="00A75740">
        <w:t>or</w:t>
      </w:r>
      <w:r w:rsidR="009A0847">
        <w:t xml:space="preserve"> </w:t>
      </w:r>
      <w:r w:rsidR="006A7352" w:rsidRPr="00A75740">
        <w:t>the</w:t>
      </w:r>
      <w:r w:rsidR="009A0847">
        <w:t xml:space="preserve"> </w:t>
      </w:r>
      <w:r w:rsidR="006A7352" w:rsidRPr="00A75740">
        <w:t>other.</w:t>
      </w:r>
      <w:r w:rsidR="009A0847">
        <w:t xml:space="preserve"> </w:t>
      </w:r>
      <w:r w:rsidR="006A7352" w:rsidRPr="00A75740">
        <w:t>Of</w:t>
      </w:r>
      <w:r w:rsidR="009A0847">
        <w:t xml:space="preserve"> </w:t>
      </w:r>
      <w:r w:rsidR="006A7352" w:rsidRPr="00A75740">
        <w:t>particular</w:t>
      </w:r>
      <w:r w:rsidR="009A0847">
        <w:t xml:space="preserve"> </w:t>
      </w:r>
      <w:r w:rsidR="006A7352" w:rsidRPr="00A75740">
        <w:t>interest</w:t>
      </w:r>
      <w:r w:rsidR="009A0847">
        <w:t xml:space="preserve"> </w:t>
      </w:r>
      <w:r w:rsidR="006A7352" w:rsidRPr="00A75740">
        <w:t>is</w:t>
      </w:r>
      <w:r w:rsidR="009A0847">
        <w:t xml:space="preserve"> </w:t>
      </w:r>
      <m:oMath>
        <m:r>
          <w:rPr>
            <w:rFonts w:ascii="Cambria Math" w:hAnsi="Cambria Math"/>
          </w:rPr>
          <m:t>dw</m:t>
        </m:r>
      </m:oMath>
      <w:r w:rsidR="006A7352" w:rsidRPr="00A75740">
        <w:t>,</w:t>
      </w:r>
      <w:r w:rsidR="009A0847">
        <w:t xml:space="preserve"> </w:t>
      </w:r>
      <w:r w:rsidR="006A7352" w:rsidRPr="00A75740">
        <w:t>the</w:t>
      </w:r>
      <w:r w:rsidR="009A0847">
        <w:t xml:space="preserve"> </w:t>
      </w:r>
      <w:r w:rsidR="006A7352" w:rsidRPr="00A75740">
        <w:t>only</w:t>
      </w:r>
      <w:r w:rsidR="009A0847">
        <w:t xml:space="preserve"> </w:t>
      </w:r>
      <w:r w:rsidR="006A7352" w:rsidRPr="00A75740">
        <w:t>policy</w:t>
      </w:r>
      <w:r w:rsidR="009A0847">
        <w:t xml:space="preserve"> </w:t>
      </w:r>
      <w:r w:rsidR="006A7352" w:rsidRPr="00A75740">
        <w:t>variable</w:t>
      </w:r>
      <w:r w:rsidR="009A0847">
        <w:t xml:space="preserve"> </w:t>
      </w:r>
      <w:r w:rsidR="006A7352" w:rsidRPr="00A75740">
        <w:t>which</w:t>
      </w:r>
      <w:r w:rsidR="009A0847">
        <w:t xml:space="preserve"> </w:t>
      </w:r>
      <w:r w:rsidR="006A7352" w:rsidRPr="00A75740">
        <w:t>is</w:t>
      </w:r>
      <w:r w:rsidR="009A0847">
        <w:t xml:space="preserve"> </w:t>
      </w:r>
      <w:r w:rsidR="006A7352" w:rsidRPr="00A75740">
        <w:t>under</w:t>
      </w:r>
      <w:r w:rsidR="009A0847">
        <w:t xml:space="preserve"> </w:t>
      </w:r>
      <w:r w:rsidR="006A7352" w:rsidRPr="00A75740">
        <w:t>the</w:t>
      </w:r>
      <w:r w:rsidR="009A0847">
        <w:t xml:space="preserve"> </w:t>
      </w:r>
      <w:r w:rsidR="006A7352" w:rsidRPr="00A75740">
        <w:t>control</w:t>
      </w:r>
      <w:r w:rsidR="009A0847">
        <w:t xml:space="preserve"> </w:t>
      </w:r>
      <w:r w:rsidR="006A7352" w:rsidRPr="00A75740">
        <w:t>of</w:t>
      </w:r>
      <w:r w:rsidR="009A0847">
        <w:t xml:space="preserve"> </w:t>
      </w:r>
      <w:r w:rsidR="006A7352" w:rsidRPr="00A75740">
        <w:t>the</w:t>
      </w:r>
      <w:r w:rsidR="009A0847">
        <w:t xml:space="preserve"> </w:t>
      </w:r>
      <w:r>
        <w:t>LoLR</w:t>
      </w:r>
      <w:r w:rsidR="006A7352" w:rsidRPr="00A75740">
        <w:t>.</w:t>
      </w:r>
      <w:r w:rsidR="009A0847">
        <w:t xml:space="preserve"> </w:t>
      </w:r>
      <w:r w:rsidR="006A7352" w:rsidRPr="00A75740">
        <w:t>Because</w:t>
      </w:r>
      <w:r w:rsidR="009A0847">
        <w:t xml:space="preserve"> </w:t>
      </w:r>
      <m:oMath>
        <m:r>
          <w:rPr>
            <w:rFonts w:ascii="Cambria Math" w:hAnsi="Cambria Math"/>
            <w:sz w:val="22"/>
            <w:szCs w:val="22"/>
          </w:rPr>
          <m:t>θ</m:t>
        </m:r>
      </m:oMath>
      <w:r w:rsidR="009A0847">
        <w:t xml:space="preserve"> </w:t>
      </w:r>
      <w:r w:rsidR="006A7352" w:rsidRPr="00A75740">
        <w:t>is</w:t>
      </w:r>
      <w:r w:rsidR="009A0847">
        <w:t xml:space="preserve"> </w:t>
      </w:r>
      <w:r w:rsidR="006A7352" w:rsidRPr="00A75740">
        <w:t>decreasing</w:t>
      </w:r>
      <w:r w:rsidR="009A0847">
        <w:t xml:space="preserve"> </w:t>
      </w:r>
      <w:r w:rsidR="00EB4E1B">
        <w:t>in</w:t>
      </w:r>
      <w:r w:rsidR="009A0847">
        <w:t xml:space="preserve"> </w:t>
      </w:r>
      <m:oMath>
        <m:r>
          <w:rPr>
            <w:rFonts w:ascii="Cambria Math" w:hAnsi="Cambria Math"/>
            <w:sz w:val="22"/>
            <w:szCs w:val="22"/>
          </w:rPr>
          <m:t>n</m:t>
        </m:r>
      </m:oMath>
      <w:r w:rsidR="009A0847">
        <w:t xml:space="preserve"> </w:t>
      </w:r>
      <w:r w:rsidR="00EB4E1B">
        <w:t>and</w:t>
      </w:r>
      <w:r w:rsidR="009A0847"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θ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0</m:t>
            </m:r>
          </m:sub>
        </m:sSub>
      </m:oMath>
      <w:r w:rsidR="009A0847">
        <w:rPr>
          <w:sz w:val="22"/>
          <w:szCs w:val="22"/>
        </w:rPr>
        <w:t xml:space="preserve"> </w:t>
      </w:r>
      <w:r w:rsidR="00EB4E1B">
        <w:rPr>
          <w:sz w:val="22"/>
          <w:szCs w:val="22"/>
        </w:rPr>
        <w:t>is</w:t>
      </w:r>
      <w:r w:rsidR="009A0847">
        <w:rPr>
          <w:sz w:val="22"/>
          <w:szCs w:val="22"/>
        </w:rPr>
        <w:t xml:space="preserve"> </w:t>
      </w:r>
      <w:r w:rsidR="00EB4E1B">
        <w:rPr>
          <w:sz w:val="22"/>
          <w:szCs w:val="22"/>
        </w:rPr>
        <w:t>decreasing</w:t>
      </w:r>
      <w:r w:rsidR="009A0847">
        <w:rPr>
          <w:sz w:val="22"/>
          <w:szCs w:val="22"/>
        </w:rPr>
        <w:t xml:space="preserve"> </w:t>
      </w:r>
      <w:r w:rsidR="00EB4E1B">
        <w:rPr>
          <w:sz w:val="22"/>
          <w:szCs w:val="22"/>
        </w:rPr>
        <w:t>in</w:t>
      </w:r>
      <w:r w:rsidR="009A0847">
        <w:rPr>
          <w:sz w:val="22"/>
          <w:szCs w:val="22"/>
        </w:rPr>
        <w:t xml:space="preserve"> </w:t>
      </w:r>
      <m:oMath>
        <m:r>
          <w:rPr>
            <w:rFonts w:ascii="Cambria Math" w:hAnsi="Cambria Math"/>
            <w:sz w:val="22"/>
            <w:szCs w:val="22"/>
          </w:rPr>
          <m:t>dw</m:t>
        </m:r>
      </m:oMath>
      <w:r w:rsidR="006A7352" w:rsidRPr="00A75740">
        <w:t>,</w:t>
      </w:r>
      <w:r w:rsidR="009A0847">
        <w:t xml:space="preserve"> </w:t>
      </w:r>
      <w:r w:rsidR="006A7352" w:rsidRPr="00A75740">
        <w:t>we</w:t>
      </w:r>
      <w:r w:rsidR="009A0847">
        <w:t xml:space="preserve"> </w:t>
      </w:r>
      <w:r w:rsidR="006A7352" w:rsidRPr="00A75740">
        <w:t>have</w:t>
      </w:r>
      <w:r w:rsidR="009A0847">
        <w:t xml:space="preserve"> 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∂n</m:t>
                </m:r>
              </m:e>
              <m:sub>
                <m:r>
                  <w:rPr>
                    <w:rFonts w:ascii="Cambria Math" w:hAnsi="Cambria Math"/>
                    <w:sz w:val="22"/>
                    <w:szCs w:val="22"/>
                  </w:rPr>
                  <m:t>0</m:t>
                </m:r>
              </m:sub>
            </m:sSub>
          </m:num>
          <m:den>
            <m:r>
              <w:rPr>
                <w:rFonts w:ascii="Cambria Math" w:hAnsi="Cambria Math"/>
                <w:sz w:val="22"/>
                <w:szCs w:val="22"/>
              </w:rPr>
              <m:t>∂dw</m:t>
            </m:r>
          </m:den>
        </m:f>
        <m:r>
          <w:rPr>
            <w:rFonts w:ascii="Cambria Math" w:hAnsi="Cambria Math"/>
            <w:sz w:val="22"/>
            <w:szCs w:val="22"/>
          </w:rPr>
          <m:t>&gt;0</m:t>
        </m:r>
      </m:oMath>
      <w:r w:rsidR="006A7352" w:rsidRPr="00A75740">
        <w:t>.</w:t>
      </w:r>
      <w:r w:rsidR="009A0847">
        <w:t xml:space="preserve"> </w:t>
      </w:r>
      <w:r w:rsidR="001D697A" w:rsidRPr="00A75740">
        <w:t>Th</w:t>
      </w:r>
      <w:r w:rsidR="00C85242">
        <w:t>us,</w:t>
      </w:r>
      <w:r w:rsidR="009A0847">
        <w:t xml:space="preserve"> </w:t>
      </w:r>
      <w:r w:rsidR="00C85242">
        <w:t>in</w:t>
      </w:r>
      <w:r w:rsidR="00CD0A44" w:rsidRPr="00A75740">
        <w:t>creasing</w:t>
      </w:r>
      <w:r w:rsidR="009A0847">
        <w:t xml:space="preserve"> </w:t>
      </w:r>
      <w:r w:rsidR="00CD0A44" w:rsidRPr="00A75740">
        <w:t>the</w:t>
      </w:r>
      <w:r w:rsidR="009A0847">
        <w:t xml:space="preserve"> </w:t>
      </w:r>
      <w:r w:rsidR="00C85242">
        <w:t>DW</w:t>
      </w:r>
      <w:r w:rsidR="009A0847">
        <w:t xml:space="preserve"> </w:t>
      </w:r>
      <w:r w:rsidR="00CD0A44" w:rsidRPr="00A75740">
        <w:t>cost</w:t>
      </w:r>
      <w:r w:rsidR="009A0847">
        <w:t xml:space="preserve"> </w:t>
      </w:r>
      <w:r w:rsidR="001D697A" w:rsidRPr="00A75740">
        <w:t>m</w:t>
      </w:r>
      <w:r w:rsidR="00216AD0">
        <w:t>akes</w:t>
      </w:r>
      <w:r w:rsidR="009A0847">
        <w:t xml:space="preserve"> </w:t>
      </w:r>
      <w:r w:rsidR="00216AD0">
        <w:t>coordination</w:t>
      </w:r>
      <w:r w:rsidR="009A0847">
        <w:t xml:space="preserve"> </w:t>
      </w:r>
      <w:r w:rsidR="00AF7367">
        <w:t>on</w:t>
      </w:r>
      <w:r w:rsidR="009A0847">
        <w:t xml:space="preserve"> </w:t>
      </w:r>
      <w:r w:rsidR="00216AD0">
        <w:t>the</w:t>
      </w:r>
      <w:r w:rsidR="009A0847">
        <w:t xml:space="preserve"> </w:t>
      </w:r>
      <w:r w:rsidR="001D697A" w:rsidRPr="00A75740">
        <w:t>stigma</w:t>
      </w:r>
      <w:r w:rsidR="00216AD0">
        <w:t>-free</w:t>
      </w:r>
      <w:r w:rsidR="009A0847">
        <w:t xml:space="preserve"> </w:t>
      </w:r>
      <w:r w:rsidR="001D697A" w:rsidRPr="00A75740">
        <w:t>equilibrium</w:t>
      </w:r>
      <w:r w:rsidR="009A0847">
        <w:t xml:space="preserve"> </w:t>
      </w:r>
      <w:r w:rsidR="00C85242">
        <w:t>more</w:t>
      </w:r>
      <w:r w:rsidR="009A0847">
        <w:t xml:space="preserve"> </w:t>
      </w:r>
      <w:r w:rsidR="00C85242">
        <w:t>difficult</w:t>
      </w:r>
      <w:r w:rsidR="009A0847">
        <w:t xml:space="preserve"> </w:t>
      </w:r>
      <w:r w:rsidR="001D697A" w:rsidRPr="00A75740">
        <w:t>in</w:t>
      </w:r>
      <w:r w:rsidR="009A0847">
        <w:t xml:space="preserve"> </w:t>
      </w:r>
      <w:r>
        <w:t>the</w:t>
      </w:r>
      <w:r w:rsidR="009A0847">
        <w:t xml:space="preserve"> </w:t>
      </w:r>
      <w:r w:rsidR="001D697A" w:rsidRPr="00A75740">
        <w:t>sense</w:t>
      </w:r>
      <w:r w:rsidR="009A0847">
        <w:t xml:space="preserve"> </w:t>
      </w:r>
      <w:r w:rsidR="001D697A" w:rsidRPr="00A75740">
        <w:t>that</w:t>
      </w:r>
      <w:r w:rsidR="009A0847">
        <w:t xml:space="preserve"> </w:t>
      </w:r>
      <w:r w:rsidR="001D697A" w:rsidRPr="00A75740">
        <w:t>a</w:t>
      </w:r>
      <w:r w:rsidR="009A0847">
        <w:t xml:space="preserve"> </w:t>
      </w:r>
      <w:r w:rsidR="00C85242">
        <w:t>larg</w:t>
      </w:r>
      <w:r w:rsidR="001D697A" w:rsidRPr="00A75740">
        <w:t>er</w:t>
      </w:r>
      <w:r w:rsidR="009A0847">
        <w:t xml:space="preserve"> </w:t>
      </w:r>
      <w:r w:rsidR="001D697A" w:rsidRPr="00A75740">
        <w:t>critical</w:t>
      </w:r>
      <w:r w:rsidR="009A0847">
        <w:t xml:space="preserve"> </w:t>
      </w:r>
      <w:r w:rsidR="001D697A" w:rsidRPr="00A75740">
        <w:t>mass</w:t>
      </w:r>
      <w:r w:rsidR="009A0847"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n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0</m:t>
            </m:r>
          </m:sub>
        </m:sSub>
      </m:oMath>
      <w:r w:rsidR="009A0847">
        <w:t xml:space="preserve"> </w:t>
      </w:r>
      <w:r w:rsidR="001D697A" w:rsidRPr="00A75740">
        <w:t>of</w:t>
      </w:r>
      <w:r w:rsidR="009A0847">
        <w:t xml:space="preserve"> </w:t>
      </w:r>
      <w:r w:rsidR="001D697A" w:rsidRPr="00A75740">
        <w:t>DW</w:t>
      </w:r>
      <w:r w:rsidR="009A0847">
        <w:t xml:space="preserve"> </w:t>
      </w:r>
      <w:r w:rsidR="001D697A" w:rsidRPr="00A75740">
        <w:t>borrowers</w:t>
      </w:r>
      <w:r w:rsidR="009A0847">
        <w:t xml:space="preserve"> </w:t>
      </w:r>
      <w:r w:rsidR="001D697A" w:rsidRPr="00A75740">
        <w:t>is</w:t>
      </w:r>
      <w:r w:rsidR="009A0847">
        <w:t xml:space="preserve"> </w:t>
      </w:r>
      <w:r w:rsidR="001D697A" w:rsidRPr="00A75740">
        <w:t>required</w:t>
      </w:r>
      <w:r w:rsidR="009A0847">
        <w:t xml:space="preserve"> </w:t>
      </w:r>
      <w:r w:rsidR="001D697A" w:rsidRPr="00A75740">
        <w:t>to</w:t>
      </w:r>
      <w:r w:rsidR="009A0847">
        <w:t xml:space="preserve"> </w:t>
      </w:r>
      <w:r w:rsidR="001D697A" w:rsidRPr="00A75740">
        <w:t>make</w:t>
      </w:r>
      <w:r w:rsidR="009A0847">
        <w:t xml:space="preserve"> </w:t>
      </w:r>
      <m:oMath>
        <m:r>
          <m:rPr>
            <m:sty m:val="bi"/>
          </m:rPr>
          <w:rPr>
            <w:rFonts w:ascii="Cambria Math" w:hAnsi="Cambria Math"/>
          </w:rPr>
          <m:t>NoSt</m:t>
        </m:r>
      </m:oMath>
      <w:r w:rsidR="009A0847">
        <w:t xml:space="preserve"> </w:t>
      </w:r>
      <w:r w:rsidR="001D697A" w:rsidRPr="00A75740">
        <w:t>a</w:t>
      </w:r>
      <w:r w:rsidR="009A0847">
        <w:t xml:space="preserve"> </w:t>
      </w:r>
      <w:r w:rsidR="00B45A48">
        <w:t>best</w:t>
      </w:r>
      <w:r w:rsidR="009A0847">
        <w:t xml:space="preserve"> </w:t>
      </w:r>
      <w:r w:rsidR="00B45A48">
        <w:t>response</w:t>
      </w:r>
      <w:r w:rsidR="001D697A" w:rsidRPr="00A75740">
        <w:t>.</w:t>
      </w:r>
      <w:r w:rsidR="009A0847">
        <w:t xml:space="preserve"> </w:t>
      </w:r>
      <w:r w:rsidR="001D697A" w:rsidRPr="00A75740">
        <w:t>In</w:t>
      </w:r>
      <w:r w:rsidR="009A0847">
        <w:t xml:space="preserve"> </w:t>
      </w:r>
      <w:r w:rsidR="001D697A" w:rsidRPr="00A75740">
        <w:t>the</w:t>
      </w:r>
      <w:r w:rsidR="009A0847">
        <w:t xml:space="preserve"> </w:t>
      </w:r>
      <w:r w:rsidR="001D697A" w:rsidRPr="00A75740">
        <w:t>extreme,</w:t>
      </w:r>
      <w:r w:rsidR="009A0847">
        <w:t xml:space="preserve"> </w:t>
      </w:r>
      <w:r w:rsidR="00C85242" w:rsidRPr="00A75740">
        <w:t>setting</w:t>
      </w:r>
      <w:r w:rsidR="009A0847">
        <w:t xml:space="preserve"> </w:t>
      </w:r>
      <m:oMath>
        <m:r>
          <w:rPr>
            <w:rFonts w:ascii="Cambria Math" w:hAnsi="Cambria Math"/>
            <w:sz w:val="22"/>
            <w:szCs w:val="22"/>
          </w:rPr>
          <m:t>dw=c</m:t>
        </m:r>
      </m:oMath>
      <w:r w:rsidR="009A0847">
        <w:t xml:space="preserve"> </w:t>
      </w:r>
      <w:r w:rsidR="00C85242" w:rsidRPr="00A75740">
        <w:t>would</w:t>
      </w:r>
      <w:r w:rsidR="009A0847">
        <w:t xml:space="preserve"> </w:t>
      </w:r>
      <w:r w:rsidR="00C85242">
        <w:t>necessarily</w:t>
      </w:r>
      <w:r w:rsidR="009A0847">
        <w:t xml:space="preserve"> </w:t>
      </w:r>
      <w:r w:rsidR="00C85242">
        <w:t>create</w:t>
      </w:r>
      <w:r w:rsidR="009A0847">
        <w:t xml:space="preserve"> </w:t>
      </w:r>
      <w:r w:rsidR="00C85242" w:rsidRPr="00A75740">
        <w:t>stigma</w:t>
      </w:r>
      <w:r w:rsidR="009A0847">
        <w:t xml:space="preserve"> </w:t>
      </w:r>
      <w:r w:rsidR="00C85242" w:rsidRPr="00A75740">
        <w:t>(since</w:t>
      </w:r>
      <w:r w:rsidR="009A0847"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θ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0</m:t>
            </m:r>
          </m:sub>
        </m:sSub>
        <m:r>
          <w:rPr>
            <w:rFonts w:ascii="Cambria Math" w:hAnsi="Cambria Math"/>
            <w:sz w:val="22"/>
            <w:szCs w:val="22"/>
          </w:rPr>
          <m:t>=0</m:t>
        </m:r>
      </m:oMath>
      <w:r w:rsidR="009A0847">
        <w:rPr>
          <w:szCs w:val="24"/>
        </w:rPr>
        <w:t xml:space="preserve"> </w:t>
      </w:r>
      <w:r w:rsidR="00EB4E1B">
        <w:rPr>
          <w:szCs w:val="24"/>
        </w:rPr>
        <w:t>and</w:t>
      </w:r>
      <w:r w:rsidR="009A0847">
        <w:rPr>
          <w:szCs w:val="24"/>
        </w:rPr>
        <w:t xml:space="preserve"> </w:t>
      </w:r>
      <w:r w:rsidR="00EB4E1B">
        <w:rPr>
          <w:szCs w:val="24"/>
        </w:rPr>
        <w:t>any</w:t>
      </w:r>
      <w:r w:rsidR="009A0847">
        <w:rPr>
          <w:szCs w:val="24"/>
        </w:rPr>
        <w:t xml:space="preserve"> </w:t>
      </w:r>
      <w:r w:rsidR="00EB4E1B">
        <w:rPr>
          <w:szCs w:val="24"/>
        </w:rPr>
        <w:t>positive</w:t>
      </w:r>
      <w:r w:rsidR="009A0847">
        <w:rPr>
          <w:szCs w:val="24"/>
        </w:rPr>
        <w:t xml:space="preserve"> </w:t>
      </w:r>
      <w:r w:rsidR="00EB4E1B">
        <w:rPr>
          <w:szCs w:val="24"/>
        </w:rPr>
        <w:t>detection</w:t>
      </w:r>
      <w:r w:rsidR="009A0847">
        <w:rPr>
          <w:szCs w:val="24"/>
        </w:rPr>
        <w:t xml:space="preserve"> </w:t>
      </w:r>
      <w:r w:rsidR="00EB4E1B">
        <w:rPr>
          <w:szCs w:val="24"/>
        </w:rPr>
        <w:t>probability</w:t>
      </w:r>
      <w:r w:rsidR="009A0847">
        <w:rPr>
          <w:szCs w:val="24"/>
        </w:rPr>
        <w:t xml:space="preserve"> </w:t>
      </w:r>
      <w:r w:rsidR="00EB4E1B">
        <w:rPr>
          <w:szCs w:val="24"/>
        </w:rPr>
        <w:t>would</w:t>
      </w:r>
      <w:r w:rsidR="009A0847">
        <w:rPr>
          <w:szCs w:val="24"/>
        </w:rPr>
        <w:t xml:space="preserve"> </w:t>
      </w:r>
      <w:r w:rsidR="00EB4E1B">
        <w:rPr>
          <w:szCs w:val="24"/>
        </w:rPr>
        <w:t>support</w:t>
      </w:r>
      <w:r w:rsidR="009A0847">
        <w:rPr>
          <w:szCs w:val="24"/>
        </w:rPr>
        <w:t xml:space="preserve"> </w:t>
      </w:r>
      <w:r w:rsidR="00EB4E1B">
        <w:rPr>
          <w:szCs w:val="24"/>
        </w:rPr>
        <w:t>stigma</w:t>
      </w:r>
      <w:r w:rsidR="009A0847">
        <w:t xml:space="preserve"> </w:t>
      </w:r>
      <w:r w:rsidR="00AF7367">
        <w:t>in</w:t>
      </w:r>
      <w:r w:rsidR="009A0847">
        <w:t xml:space="preserve"> </w:t>
      </w:r>
      <w:r w:rsidR="00AF7367">
        <w:t>that</w:t>
      </w:r>
      <w:r w:rsidR="009A0847">
        <w:t xml:space="preserve"> </w:t>
      </w:r>
      <w:r w:rsidR="00AF7367">
        <w:t>case)</w:t>
      </w:r>
      <w:r w:rsidR="00C85242">
        <w:t>,</w:t>
      </w:r>
      <w:r w:rsidR="009A0847">
        <w:t xml:space="preserve"> </w:t>
      </w:r>
      <w:r w:rsidR="00C85242">
        <w:t>while</w:t>
      </w:r>
      <w:r w:rsidR="009A0847">
        <w:t xml:space="preserve"> </w:t>
      </w:r>
      <w:r w:rsidR="001D697A" w:rsidRPr="00A75740">
        <w:t>setting</w:t>
      </w:r>
      <w:r w:rsidR="009A0847">
        <w:t xml:space="preserve"> </w:t>
      </w:r>
      <m:oMath>
        <m:r>
          <w:rPr>
            <w:rFonts w:ascii="Cambria Math" w:hAnsi="Cambria Math"/>
            <w:sz w:val="22"/>
            <w:szCs w:val="22"/>
          </w:rPr>
          <m:t>dw=0</m:t>
        </m:r>
      </m:oMath>
      <w:r w:rsidR="009A0847">
        <w:t xml:space="preserve"> </w:t>
      </w:r>
      <w:r w:rsidR="00C85242">
        <w:t>would</w:t>
      </w:r>
      <w:r w:rsidR="009A0847">
        <w:t xml:space="preserve"> </w:t>
      </w:r>
      <w:r w:rsidR="006B0293">
        <w:t>not</w:t>
      </w:r>
      <w:r w:rsidR="009A0847">
        <w:t xml:space="preserve"> </w:t>
      </w:r>
      <w:r w:rsidR="00216AD0">
        <w:t>necessarily</w:t>
      </w:r>
      <w:r w:rsidR="009A0847">
        <w:t xml:space="preserve"> </w:t>
      </w:r>
      <w:r w:rsidR="00C85242">
        <w:t>eliminate</w:t>
      </w:r>
      <w:r w:rsidR="009A0847">
        <w:t xml:space="preserve"> </w:t>
      </w:r>
      <w:r w:rsidR="00216AD0">
        <w:t>stigma</w:t>
      </w:r>
      <w:r w:rsidR="009A0847">
        <w:t xml:space="preserve"> </w:t>
      </w:r>
      <w:r w:rsidR="00AF7367">
        <w:t>(</w:t>
      </w:r>
      <w:r w:rsidR="001D697A" w:rsidRPr="00A75740">
        <w:t>since</w:t>
      </w:r>
      <w:r w:rsidR="009A0847"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0&lt;θ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0</m:t>
            </m:r>
          </m:sub>
        </m:sSub>
        <m:r>
          <w:rPr>
            <w:rFonts w:ascii="Cambria Math" w:hAnsi="Cambria Math"/>
            <w:sz w:val="22"/>
            <w:szCs w:val="22"/>
          </w:rPr>
          <m:t>=c/k&lt;1</m:t>
        </m:r>
      </m:oMath>
      <w:r w:rsidR="009A0847">
        <w:t xml:space="preserve"> </w:t>
      </w:r>
      <w:r w:rsidR="00EB4E1B">
        <w:t>in</w:t>
      </w:r>
      <w:r w:rsidR="009A0847">
        <w:t xml:space="preserve"> </w:t>
      </w:r>
      <w:r w:rsidR="00EB4E1B">
        <w:t>that</w:t>
      </w:r>
      <w:r w:rsidR="009A0847">
        <w:t xml:space="preserve"> </w:t>
      </w:r>
      <w:r w:rsidR="00EB4E1B">
        <w:t>case</w:t>
      </w:r>
      <w:r w:rsidR="00AF7367">
        <w:t>)</w:t>
      </w:r>
      <w:r w:rsidR="001D697A" w:rsidRPr="00A75740">
        <w:t>.</w:t>
      </w:r>
      <w:r w:rsidR="009A0847">
        <w:t xml:space="preserve"> </w:t>
      </w:r>
    </w:p>
    <w:p w14:paraId="1799AA45" w14:textId="145D0A8E" w:rsidR="00931533" w:rsidRPr="007C55A6" w:rsidRDefault="00AC6C4F" w:rsidP="00F86E09">
      <w:pPr>
        <w:pStyle w:val="Heading3"/>
        <w:widowControl w:val="0"/>
        <w:spacing w:line="276" w:lineRule="auto"/>
      </w:pPr>
      <w:r>
        <w:t>Total</w:t>
      </w:r>
      <w:r w:rsidR="009A0847">
        <w:t xml:space="preserve"> </w:t>
      </w:r>
      <w:r>
        <w:t>Surplus</w:t>
      </w:r>
    </w:p>
    <w:p w14:paraId="55EB98B8" w14:textId="356EB218" w:rsidR="004E7058" w:rsidRPr="00A75740" w:rsidRDefault="00AC6C4F" w:rsidP="00F86E09">
      <w:pPr>
        <w:pStyle w:val="Olivier1"/>
        <w:widowControl w:val="0"/>
      </w:pPr>
      <w:r>
        <w:t>Following</w:t>
      </w:r>
      <w:r w:rsidR="009A0847">
        <w:t xml:space="preserve"> </w:t>
      </w:r>
      <w:r w:rsidRPr="00AC6C4F">
        <w:t>Ennis</w:t>
      </w:r>
      <w:r w:rsidR="009A0847">
        <w:t xml:space="preserve"> </w:t>
      </w:r>
      <w:r w:rsidRPr="00AC6C4F">
        <w:t>and</w:t>
      </w:r>
      <w:r w:rsidR="009A0847">
        <w:t xml:space="preserve"> </w:t>
      </w:r>
      <w:r w:rsidRPr="00AC6C4F">
        <w:t>Weinberg</w:t>
      </w:r>
      <w:r w:rsidR="009A0847">
        <w:t xml:space="preserve"> </w:t>
      </w:r>
      <w:r w:rsidRPr="00AC6C4F">
        <w:t>(2013),</w:t>
      </w:r>
      <w:r w:rsidR="009A0847">
        <w:t xml:space="preserve"> </w:t>
      </w:r>
      <w:r w:rsidR="001C30BE">
        <w:t>we</w:t>
      </w:r>
      <w:r w:rsidR="009A0847">
        <w:t xml:space="preserve"> </w:t>
      </w:r>
      <w:r w:rsidR="001C30BE">
        <w:t>define</w:t>
      </w:r>
      <w:r w:rsidR="009A0847">
        <w:t xml:space="preserve"> </w:t>
      </w:r>
      <w:r>
        <w:t>total</w:t>
      </w:r>
      <w:r w:rsidR="009A0847">
        <w:t xml:space="preserve"> </w:t>
      </w:r>
      <w:r w:rsidRPr="00AF7367">
        <w:t>surplus</w:t>
      </w:r>
      <w:r w:rsidR="009A0847">
        <w:t xml:space="preserve"> </w:t>
      </w:r>
      <w:r w:rsidR="0067731F" w:rsidRPr="00AF7367">
        <w:t>for</w:t>
      </w:r>
      <w:r w:rsidR="009A0847">
        <w:t xml:space="preserve"> </w:t>
      </w:r>
      <w:r w:rsidR="0067731F" w:rsidRPr="00AF7367">
        <w:t>each</w:t>
      </w:r>
      <w:r w:rsidR="009A0847">
        <w:t xml:space="preserve"> </w:t>
      </w:r>
      <w:r w:rsidR="0067731F" w:rsidRPr="00AF7367">
        <w:t>bank/investor</w:t>
      </w:r>
      <w:r w:rsidR="009A0847">
        <w:t xml:space="preserve"> </w:t>
      </w:r>
      <w:r w:rsidR="0067731F" w:rsidRPr="00AF7367">
        <w:t>pair</w:t>
      </w:r>
      <w:r w:rsidR="009A0847">
        <w:t xml:space="preserve"> </w:t>
      </w:r>
      <w:r w:rsidRPr="00AF7367">
        <w:t>as</w:t>
      </w:r>
      <w:r w:rsidR="009A0847">
        <w:t xml:space="preserve"> </w:t>
      </w:r>
      <w:r w:rsidRPr="00AF7367">
        <w:t>the</w:t>
      </w:r>
      <w:r w:rsidR="009A0847">
        <w:t xml:space="preserve"> </w:t>
      </w:r>
      <w:r>
        <w:t>sum</w:t>
      </w:r>
      <w:r w:rsidR="009A0847">
        <w:t xml:space="preserve"> </w:t>
      </w:r>
      <w:r w:rsidR="002E7B16">
        <w:t>of</w:t>
      </w:r>
      <w:r w:rsidR="009A0847">
        <w:t xml:space="preserve"> </w:t>
      </w:r>
      <w:r w:rsidR="002E7B16">
        <w:t>the</w:t>
      </w:r>
      <w:r w:rsidR="009A0847">
        <w:t xml:space="preserve"> </w:t>
      </w:r>
      <w:r w:rsidR="002E7B16">
        <w:t>bank’s</w:t>
      </w:r>
      <w:r w:rsidR="009A0847">
        <w:t xml:space="preserve"> </w:t>
      </w:r>
      <w:r w:rsidR="002E7B16">
        <w:t>and</w:t>
      </w:r>
      <w:r w:rsidR="009A0847">
        <w:t xml:space="preserve"> </w:t>
      </w:r>
      <w:r>
        <w:t>investor’s</w:t>
      </w:r>
      <w:r w:rsidR="009A0847">
        <w:t xml:space="preserve"> </w:t>
      </w:r>
      <w:r w:rsidR="00216AD0">
        <w:t>expected</w:t>
      </w:r>
      <w:r w:rsidR="009A0847">
        <w:t xml:space="preserve"> </w:t>
      </w:r>
      <w:r>
        <w:t>profits.</w:t>
      </w:r>
      <w:r w:rsidR="00CE2933" w:rsidRPr="00A75740">
        <w:rPr>
          <w:rStyle w:val="FootnoteReference"/>
          <w:szCs w:val="24"/>
        </w:rPr>
        <w:footnoteReference w:id="22"/>
      </w:r>
      <w:r w:rsidR="009A0847">
        <w:t xml:space="preserve"> </w:t>
      </w:r>
      <w:r>
        <w:t>We</w:t>
      </w:r>
      <w:r w:rsidR="009A0847">
        <w:t xml:space="preserve"> </w:t>
      </w:r>
      <w:r w:rsidR="00787DF1">
        <w:t>consider</w:t>
      </w:r>
      <w:r w:rsidR="009A0847">
        <w:t xml:space="preserve"> </w:t>
      </w:r>
      <w:r>
        <w:t>two</w:t>
      </w:r>
      <w:r w:rsidR="009A0847">
        <w:t xml:space="preserve"> </w:t>
      </w:r>
      <w:r>
        <w:t>benchmarks.</w:t>
      </w:r>
      <w:r w:rsidR="009A0847">
        <w:t xml:space="preserve"> </w:t>
      </w:r>
      <w:r>
        <w:t>Under</w:t>
      </w:r>
      <w:r w:rsidR="009A0847">
        <w:t xml:space="preserve"> </w:t>
      </w:r>
      <w:r>
        <w:t>the</w:t>
      </w:r>
      <w:r w:rsidR="009A0847">
        <w:t xml:space="preserve"> </w:t>
      </w:r>
      <w:r>
        <w:t>upper</w:t>
      </w:r>
      <w:r w:rsidR="009A0847">
        <w:t xml:space="preserve"> </w:t>
      </w:r>
      <w:r>
        <w:t>benchmark</w:t>
      </w:r>
      <w:r w:rsidR="009A0847">
        <w:t xml:space="preserve"> </w:t>
      </w:r>
      <w:r w:rsidR="001C30BE">
        <w:t>every</w:t>
      </w:r>
      <w:r w:rsidR="009A0847">
        <w:t xml:space="preserve"> </w:t>
      </w:r>
      <w:r w:rsidR="001C30BE">
        <w:t>illiquid</w:t>
      </w:r>
      <w:r w:rsidR="009A0847">
        <w:t xml:space="preserve"> </w:t>
      </w:r>
      <w:r w:rsidR="001C30BE">
        <w:t>bank</w:t>
      </w:r>
      <w:r w:rsidR="009A0847">
        <w:t xml:space="preserve"> </w:t>
      </w:r>
      <w:r w:rsidR="001C30BE">
        <w:t>borrow</w:t>
      </w:r>
      <w:r w:rsidR="005B2496">
        <w:t>s</w:t>
      </w:r>
      <w:r w:rsidR="009A0847">
        <w:t xml:space="preserve"> </w:t>
      </w:r>
      <w:r w:rsidR="001C30BE">
        <w:t>at</w:t>
      </w:r>
      <w:r w:rsidR="009A0847">
        <w:t xml:space="preserve"> </w:t>
      </w:r>
      <w:r w:rsidR="001C30BE">
        <w:t>the</w:t>
      </w:r>
      <w:r w:rsidR="009A0847">
        <w:t xml:space="preserve"> </w:t>
      </w:r>
      <w:r w:rsidR="00C345EE">
        <w:t>DW</w:t>
      </w:r>
      <w:r w:rsidR="009A0847">
        <w:t xml:space="preserve"> </w:t>
      </w:r>
      <w:r w:rsidR="00C345EE">
        <w:t>(thereby</w:t>
      </w:r>
      <w:r w:rsidR="009A0847">
        <w:t xml:space="preserve"> </w:t>
      </w:r>
      <w:r w:rsidR="00C345EE">
        <w:t>incurring</w:t>
      </w:r>
      <w:r w:rsidR="009A0847">
        <w:t xml:space="preserve"> </w:t>
      </w:r>
      <w:r w:rsidR="00C345EE">
        <w:t>the</w:t>
      </w:r>
      <w:r w:rsidR="009A0847">
        <w:t xml:space="preserve"> </w:t>
      </w:r>
      <w:r w:rsidR="00C345EE">
        <w:t>low</w:t>
      </w:r>
      <w:r w:rsidR="009A0847">
        <w:t xml:space="preserve"> </w:t>
      </w:r>
      <w:r w:rsidR="001C30BE">
        <w:t>illiquidity</w:t>
      </w:r>
      <w:r w:rsidR="009A0847">
        <w:t xml:space="preserve"> </w:t>
      </w:r>
      <w:r w:rsidR="001C30BE">
        <w:t>cost</w:t>
      </w:r>
      <w:r w:rsidR="009A0847">
        <w:t xml:space="preserve"> </w:t>
      </w:r>
      <m:oMath>
        <m:r>
          <w:rPr>
            <w:rFonts w:ascii="Cambria Math" w:hAnsi="Cambria Math" w:cs="Apple Chancery"/>
            <w:sz w:val="22"/>
            <w:szCs w:val="22"/>
          </w:rPr>
          <m:t>dw</m:t>
        </m:r>
      </m:oMath>
      <w:r w:rsidR="001C30BE">
        <w:t>)</w:t>
      </w:r>
      <w:r w:rsidR="009A0847">
        <w:t xml:space="preserve"> </w:t>
      </w:r>
      <w:r w:rsidR="004E7058" w:rsidRPr="00A75740">
        <w:t>and</w:t>
      </w:r>
      <w:r w:rsidR="009A0847">
        <w:t xml:space="preserve"> </w:t>
      </w:r>
      <w:r w:rsidR="004E7058" w:rsidRPr="00A75740">
        <w:t>the</w:t>
      </w:r>
      <w:r w:rsidR="009A0847">
        <w:t xml:space="preserve"> </w:t>
      </w:r>
      <w:r w:rsidR="004E7058" w:rsidRPr="00A75740">
        <w:t>investor</w:t>
      </w:r>
      <w:r w:rsidR="001C30BE">
        <w:t>s</w:t>
      </w:r>
      <w:r w:rsidR="009A0847">
        <w:t xml:space="preserve"> </w:t>
      </w:r>
      <w:r w:rsidR="007E7B30" w:rsidRPr="00A75740">
        <w:t>fund</w:t>
      </w:r>
      <w:r w:rsidR="009A0847">
        <w:t xml:space="preserve"> </w:t>
      </w:r>
      <w:r w:rsidR="007E7B30" w:rsidRPr="00A75740">
        <w:t>solvent</w:t>
      </w:r>
      <w:r w:rsidR="009A0847">
        <w:t xml:space="preserve"> </w:t>
      </w:r>
      <w:r w:rsidR="007E7B30" w:rsidRPr="00A75740">
        <w:t>banks</w:t>
      </w:r>
      <w:r w:rsidR="009A0847">
        <w:t xml:space="preserve"> </w:t>
      </w:r>
      <w:r w:rsidR="007E7B30" w:rsidRPr="00A75740">
        <w:t>only.</w:t>
      </w:r>
      <w:r w:rsidR="00C345EE" w:rsidRPr="00A75740">
        <w:rPr>
          <w:rStyle w:val="FootnoteReference"/>
          <w:szCs w:val="24"/>
        </w:rPr>
        <w:footnoteReference w:id="23"/>
      </w:r>
      <w:r w:rsidR="009A0847">
        <w:t xml:space="preserve"> </w:t>
      </w:r>
      <w:r>
        <w:t>Total</w:t>
      </w:r>
      <w:r w:rsidR="009A0847">
        <w:t xml:space="preserve"> </w:t>
      </w:r>
      <w:r>
        <w:t>surplus</w:t>
      </w:r>
      <w:r w:rsidR="009A0847">
        <w:t xml:space="preserve"> </w:t>
      </w:r>
      <w:r w:rsidR="007E7B30" w:rsidRPr="00A75740">
        <w:t>in</w:t>
      </w:r>
      <w:r w:rsidR="009A0847">
        <w:t xml:space="preserve"> </w:t>
      </w:r>
      <w:r w:rsidR="007E7B30" w:rsidRPr="00A75740">
        <w:t>that</w:t>
      </w:r>
      <w:r w:rsidR="009A0847">
        <w:t xml:space="preserve"> </w:t>
      </w:r>
      <w:r w:rsidR="007E7B30" w:rsidRPr="00A75740">
        <w:t>case</w:t>
      </w:r>
      <w:r w:rsidR="009A0847">
        <w:t xml:space="preserve"> </w:t>
      </w:r>
      <w:r w:rsidR="007E7B30" w:rsidRPr="00A75740">
        <w:t>is:</w:t>
      </w:r>
    </w:p>
    <w:p w14:paraId="4A4EA4C2" w14:textId="016DF737" w:rsidR="004E7058" w:rsidRPr="00A75740" w:rsidRDefault="00BF114B" w:rsidP="00F86E09">
      <w:pPr>
        <w:pStyle w:val="Olivier1"/>
        <w:widowControl w:val="0"/>
        <w:jc w:val="center"/>
        <w:rPr>
          <w:szCs w:val="24"/>
        </w:rPr>
      </w:pPr>
      <m:oMath>
        <m:acc>
          <m:accPr>
            <m:chr m:val="̅"/>
            <m:ctrlPr>
              <w:rPr>
                <w:rFonts w:ascii="Cambria Math" w:hAnsi="Cambria Math" w:cs="Apple Chancery"/>
                <w:sz w:val="22"/>
                <w:szCs w:val="22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pple Chancery"/>
                <w:sz w:val="22"/>
                <w:szCs w:val="22"/>
              </w:rPr>
              <m:t>TS</m:t>
            </m:r>
          </m:e>
        </m:acc>
        <m:r>
          <m:rPr>
            <m:sty m:val="p"/>
          </m:rPr>
          <w:rPr>
            <w:rFonts w:ascii="Cambria Math" w:hAnsi="Cambria Math" w:cs="Apple Chancery"/>
            <w:sz w:val="22"/>
            <w:szCs w:val="22"/>
          </w:rPr>
          <m:t>=</m:t>
        </m:r>
        <m:sSub>
          <m:sSubPr>
            <m:ctrlPr>
              <w:rPr>
                <w:rFonts w:ascii="Cambria Math" w:hAnsi="Cambria Math" w:cs="Apple Chancery"/>
                <w:sz w:val="22"/>
                <w:szCs w:val="22"/>
              </w:rPr>
            </m:ctrlPr>
          </m:sSubPr>
          <m:e>
            <m:r>
              <w:rPr>
                <w:rFonts w:ascii="Cambria Math" w:hAnsi="Cambria Math" w:cs="Apple Chancery"/>
                <w:sz w:val="22"/>
                <w:szCs w:val="22"/>
              </w:rPr>
              <m:t>P</m:t>
            </m:r>
          </m:e>
          <m:sub>
            <m:r>
              <w:rPr>
                <w:rFonts w:ascii="Cambria Math" w:hAnsi="Cambria Math" w:cs="Apple Chancery"/>
                <w:sz w:val="22"/>
                <w:szCs w:val="22"/>
              </w:rPr>
              <m:t>SL</m:t>
            </m:r>
          </m:sub>
        </m:sSub>
        <m:d>
          <m:dPr>
            <m:ctrlPr>
              <w:rPr>
                <w:rFonts w:ascii="Cambria Math" w:hAnsi="Cambria Math" w:cs="Apple Chancery"/>
                <w:sz w:val="22"/>
                <w:szCs w:val="22"/>
              </w:rPr>
            </m:ctrlPr>
          </m:dPr>
          <m:e>
            <m:r>
              <w:rPr>
                <w:rFonts w:ascii="Cambria Math" w:hAnsi="Cambria Math" w:cs="Apple Chancery"/>
                <w:sz w:val="22"/>
                <w:szCs w:val="22"/>
              </w:rPr>
              <m:t>k</m:t>
            </m:r>
            <m:r>
              <m:rPr>
                <m:sty m:val="p"/>
              </m:rPr>
              <w:rPr>
                <w:rFonts w:ascii="Cambria Math" w:hAnsi="Cambria Math" w:cs="Apple Chancery"/>
                <w:sz w:val="22"/>
                <w:szCs w:val="22"/>
              </w:rPr>
              <m:t>+</m:t>
            </m:r>
            <m:r>
              <w:rPr>
                <w:rFonts w:ascii="Cambria Math" w:hAnsi="Cambria Math" w:cs="Apple Chancery"/>
                <w:sz w:val="22"/>
                <w:szCs w:val="22"/>
              </w:rPr>
              <m:t>V</m:t>
            </m:r>
          </m:e>
        </m:d>
        <m:r>
          <m:rPr>
            <m:sty m:val="p"/>
          </m:rPr>
          <w:rPr>
            <w:rFonts w:ascii="Cambria Math" w:hAnsi="Cambria Math" w:cs="Apple Chancery"/>
            <w:sz w:val="22"/>
            <w:szCs w:val="22"/>
          </w:rPr>
          <m:t>+</m:t>
        </m:r>
        <m:sSub>
          <m:sSubPr>
            <m:ctrlPr>
              <w:rPr>
                <w:rFonts w:ascii="Cambria Math" w:hAnsi="Cambria Math" w:cs="Apple Chancery"/>
                <w:sz w:val="22"/>
                <w:szCs w:val="22"/>
              </w:rPr>
            </m:ctrlPr>
          </m:sSubPr>
          <m:e>
            <m:r>
              <w:rPr>
                <w:rFonts w:ascii="Cambria Math" w:hAnsi="Cambria Math" w:cs="Apple Chancery"/>
                <w:sz w:val="22"/>
                <w:szCs w:val="22"/>
              </w:rPr>
              <m:t>P</m:t>
            </m:r>
          </m:e>
          <m:sub>
            <m:r>
              <w:rPr>
                <w:rFonts w:ascii="Cambria Math" w:hAnsi="Cambria Math" w:cs="Apple Chancery"/>
                <w:sz w:val="22"/>
                <w:szCs w:val="22"/>
              </w:rPr>
              <m:t>S</m:t>
            </m:r>
            <m:acc>
              <m:accPr>
                <m:chr m:val="̅"/>
                <m:ctrlPr>
                  <w:rPr>
                    <w:rFonts w:ascii="Cambria Math" w:hAnsi="Cambria Math" w:cs="Apple Chancery"/>
                    <w:sz w:val="22"/>
                    <w:szCs w:val="22"/>
                  </w:rPr>
                </m:ctrlPr>
              </m:accPr>
              <m:e>
                <m:r>
                  <w:rPr>
                    <w:rFonts w:ascii="Cambria Math" w:hAnsi="Cambria Math" w:cs="Apple Chancery"/>
                    <w:sz w:val="22"/>
                    <w:szCs w:val="22"/>
                  </w:rPr>
                  <m:t>L</m:t>
                </m:r>
              </m:e>
            </m:acc>
          </m:sub>
        </m:sSub>
        <m:d>
          <m:dPr>
            <m:ctrlPr>
              <w:rPr>
                <w:rFonts w:ascii="Cambria Math" w:hAnsi="Cambria Math" w:cs="Apple Chancery"/>
                <w:sz w:val="22"/>
                <w:szCs w:val="22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pple Chancery"/>
                <w:sz w:val="22"/>
                <w:szCs w:val="22"/>
              </w:rPr>
              <m:t>-</m:t>
            </m:r>
            <m:r>
              <w:rPr>
                <w:rFonts w:ascii="Cambria Math" w:hAnsi="Cambria Math" w:cs="Apple Chancery"/>
                <w:sz w:val="22"/>
                <w:szCs w:val="22"/>
              </w:rPr>
              <m:t>dw</m:t>
            </m:r>
            <m:r>
              <m:rPr>
                <m:sty m:val="p"/>
              </m:rPr>
              <w:rPr>
                <w:rFonts w:ascii="Cambria Math" w:hAnsi="Cambria Math" w:cs="Apple Chancery"/>
                <w:sz w:val="22"/>
                <w:szCs w:val="22"/>
              </w:rPr>
              <m:t>+</m:t>
            </m:r>
            <m:r>
              <w:rPr>
                <w:rFonts w:ascii="Cambria Math" w:hAnsi="Cambria Math" w:cs="Apple Chancery"/>
                <w:sz w:val="22"/>
                <w:szCs w:val="22"/>
              </w:rPr>
              <m:t>k+V</m:t>
            </m:r>
          </m:e>
        </m:d>
        <m:r>
          <m:rPr>
            <m:sty m:val="p"/>
          </m:rPr>
          <w:rPr>
            <w:rFonts w:ascii="Cambria Math" w:hAnsi="Cambria Math" w:cs="Apple Chancery"/>
            <w:sz w:val="22"/>
            <w:szCs w:val="22"/>
          </w:rPr>
          <m:t>+</m:t>
        </m:r>
        <m:sSub>
          <m:sSubPr>
            <m:ctrlPr>
              <w:rPr>
                <w:rFonts w:ascii="Cambria Math" w:hAnsi="Cambria Math" w:cs="Apple Chancery"/>
                <w:sz w:val="22"/>
                <w:szCs w:val="22"/>
              </w:rPr>
            </m:ctrlPr>
          </m:sSubPr>
          <m:e>
            <m:r>
              <w:rPr>
                <w:rFonts w:ascii="Cambria Math" w:hAnsi="Cambria Math" w:cs="Apple Chancery"/>
                <w:sz w:val="22"/>
                <w:szCs w:val="22"/>
              </w:rPr>
              <m:t>P</m:t>
            </m:r>
          </m:e>
          <m:sub>
            <m:acc>
              <m:accPr>
                <m:chr m:val="̅"/>
                <m:ctrlPr>
                  <w:rPr>
                    <w:rFonts w:ascii="Cambria Math" w:hAnsi="Cambria Math" w:cs="Apple Chancery"/>
                    <w:sz w:val="22"/>
                    <w:szCs w:val="22"/>
                  </w:rPr>
                </m:ctrlPr>
              </m:accPr>
              <m:e>
                <m:r>
                  <w:rPr>
                    <w:rFonts w:ascii="Cambria Math" w:hAnsi="Cambria Math" w:cs="Apple Chancery"/>
                    <w:sz w:val="22"/>
                    <w:szCs w:val="22"/>
                  </w:rPr>
                  <m:t>S</m:t>
                </m:r>
              </m:e>
            </m:acc>
            <m:acc>
              <m:accPr>
                <m:chr m:val="̅"/>
                <m:ctrlPr>
                  <w:rPr>
                    <w:rFonts w:ascii="Cambria Math" w:hAnsi="Cambria Math" w:cs="Apple Chancery"/>
                    <w:sz w:val="22"/>
                    <w:szCs w:val="22"/>
                  </w:rPr>
                </m:ctrlPr>
              </m:accPr>
              <m:e>
                <m:r>
                  <w:rPr>
                    <w:rFonts w:ascii="Cambria Math" w:hAnsi="Cambria Math" w:cs="Apple Chancery"/>
                    <w:sz w:val="22"/>
                    <w:szCs w:val="22"/>
                  </w:rPr>
                  <m:t>L</m:t>
                </m:r>
              </m:e>
            </m:acc>
          </m:sub>
        </m:sSub>
        <m:r>
          <m:rPr>
            <m:sty m:val="p"/>
          </m:rPr>
          <w:rPr>
            <w:rFonts w:ascii="Cambria Math" w:hAnsi="Cambria Math" w:cs="Apple Chancery"/>
            <w:sz w:val="22"/>
            <w:szCs w:val="22"/>
          </w:rPr>
          <m:t>(-</m:t>
        </m:r>
        <m:r>
          <w:rPr>
            <w:rFonts w:ascii="Cambria Math" w:hAnsi="Cambria Math" w:cs="Apple Chancery"/>
            <w:sz w:val="22"/>
            <w:szCs w:val="22"/>
          </w:rPr>
          <m:t>dw</m:t>
        </m:r>
        <m:r>
          <m:rPr>
            <m:sty m:val="p"/>
          </m:rPr>
          <w:rPr>
            <w:rFonts w:ascii="Cambria Math" w:hAnsi="Cambria Math" w:cs="Apple Chancery"/>
            <w:sz w:val="22"/>
            <w:szCs w:val="22"/>
          </w:rPr>
          <m:t>+</m:t>
        </m:r>
        <m:r>
          <w:rPr>
            <w:rFonts w:ascii="Cambria Math" w:hAnsi="Cambria Math" w:cs="Apple Chancery"/>
            <w:sz w:val="22"/>
            <w:szCs w:val="22"/>
          </w:rPr>
          <m:t>v</m:t>
        </m:r>
        <m:r>
          <m:rPr>
            <m:sty m:val="p"/>
          </m:rPr>
          <w:rPr>
            <w:rFonts w:ascii="Cambria Math" w:hAnsi="Cambria Math" w:cs="Apple Chancery"/>
            <w:sz w:val="22"/>
            <w:szCs w:val="22"/>
          </w:rPr>
          <m:t>)</m:t>
        </m:r>
      </m:oMath>
      <w:r w:rsidR="001C30BE">
        <w:rPr>
          <w:sz w:val="22"/>
          <w:szCs w:val="22"/>
        </w:rPr>
        <w:t>.</w:t>
      </w:r>
    </w:p>
    <w:p w14:paraId="5925356A" w14:textId="4E24B461" w:rsidR="007E7B30" w:rsidRPr="00A75740" w:rsidRDefault="0059442D" w:rsidP="00F86E09">
      <w:pPr>
        <w:pStyle w:val="Olivier1"/>
        <w:widowControl w:val="0"/>
      </w:pPr>
      <w:r>
        <w:t>Under</w:t>
      </w:r>
      <w:r w:rsidR="009A0847">
        <w:t xml:space="preserve"> </w:t>
      </w:r>
      <w:r>
        <w:t>the</w:t>
      </w:r>
      <w:r w:rsidR="009A0847">
        <w:t xml:space="preserve"> </w:t>
      </w:r>
      <w:r>
        <w:t>lower</w:t>
      </w:r>
      <w:r w:rsidR="009A0847">
        <w:t xml:space="preserve"> </w:t>
      </w:r>
      <w:r>
        <w:t>benchmark</w:t>
      </w:r>
      <w:r w:rsidR="009A0847">
        <w:t xml:space="preserve"> </w:t>
      </w:r>
      <w:r>
        <w:t>there</w:t>
      </w:r>
      <w:r w:rsidR="009A0847">
        <w:t xml:space="preserve"> </w:t>
      </w:r>
      <w:r>
        <w:t>is</w:t>
      </w:r>
      <w:r w:rsidR="009A0847">
        <w:t xml:space="preserve"> </w:t>
      </w:r>
      <w:r>
        <w:t>no</w:t>
      </w:r>
      <w:r w:rsidR="009A0847">
        <w:t xml:space="preserve"> </w:t>
      </w:r>
      <w:r w:rsidR="004E7058" w:rsidRPr="00A75740">
        <w:t>DW</w:t>
      </w:r>
      <w:r w:rsidR="009A0847">
        <w:t xml:space="preserve"> </w:t>
      </w:r>
      <w:r>
        <w:t>in</w:t>
      </w:r>
      <w:r w:rsidR="009A0847">
        <w:t xml:space="preserve"> </w:t>
      </w:r>
      <w:r>
        <w:t>which</w:t>
      </w:r>
      <w:r w:rsidR="009A0847">
        <w:t xml:space="preserve"> </w:t>
      </w:r>
      <w:r>
        <w:t>case</w:t>
      </w:r>
      <w:r w:rsidR="009A0847">
        <w:t xml:space="preserve"> </w:t>
      </w:r>
      <w:r w:rsidR="004E7058" w:rsidRPr="00A75740">
        <w:t>the</w:t>
      </w:r>
      <w:r w:rsidR="009A0847">
        <w:t xml:space="preserve"> </w:t>
      </w:r>
      <w:r w:rsidR="004E7058" w:rsidRPr="00A75740">
        <w:t>investor</w:t>
      </w:r>
      <w:r w:rsidR="00B7748F" w:rsidRPr="00A75740">
        <w:t>s</w:t>
      </w:r>
      <w:r w:rsidR="009A0847">
        <w:t xml:space="preserve"> </w:t>
      </w:r>
      <w:r w:rsidR="00B7748F" w:rsidRPr="00A75740">
        <w:t>lend</w:t>
      </w:r>
      <w:r w:rsidR="009A0847">
        <w:t xml:space="preserve"> </w:t>
      </w:r>
      <w:r w:rsidR="004E7058" w:rsidRPr="00A75740">
        <w:t>to</w:t>
      </w:r>
      <w:r w:rsidR="009A0847">
        <w:t xml:space="preserve"> </w:t>
      </w:r>
      <w:r w:rsidR="004E7058" w:rsidRPr="00A75740">
        <w:t>every</w:t>
      </w:r>
      <w:r w:rsidR="009A0847">
        <w:t xml:space="preserve"> </w:t>
      </w:r>
      <w:r w:rsidR="004E7058" w:rsidRPr="00A75740">
        <w:t>bank</w:t>
      </w:r>
      <w:r w:rsidR="009A0847">
        <w:t xml:space="preserve"> </w:t>
      </w:r>
      <w:r w:rsidR="004E7058" w:rsidRPr="00A75740">
        <w:t>and</w:t>
      </w:r>
      <w:r w:rsidR="009A0847">
        <w:t xml:space="preserve"> </w:t>
      </w:r>
      <w:r w:rsidR="004E7058" w:rsidRPr="00A75740">
        <w:t>illiquid</w:t>
      </w:r>
      <w:r w:rsidR="009A0847">
        <w:t xml:space="preserve"> </w:t>
      </w:r>
      <w:r w:rsidR="004E7058" w:rsidRPr="00A75740">
        <w:t>ban</w:t>
      </w:r>
      <w:r w:rsidR="00EA2439" w:rsidRPr="00A75740">
        <w:t>k</w:t>
      </w:r>
      <w:r w:rsidR="004E7058" w:rsidRPr="00A75740">
        <w:t>s</w:t>
      </w:r>
      <w:r w:rsidR="009A0847">
        <w:t xml:space="preserve"> </w:t>
      </w:r>
      <w:r w:rsidR="004E7058" w:rsidRPr="00A75740">
        <w:t>incur</w:t>
      </w:r>
      <w:r w:rsidR="009A0847">
        <w:t xml:space="preserve"> </w:t>
      </w:r>
      <w:r w:rsidR="005B2496">
        <w:t>the</w:t>
      </w:r>
      <w:r w:rsidR="009A0847">
        <w:t xml:space="preserve"> </w:t>
      </w:r>
      <w:r w:rsidR="005A78A0">
        <w:t>higher</w:t>
      </w:r>
      <w:r w:rsidR="009A0847">
        <w:t xml:space="preserve"> </w:t>
      </w:r>
      <w:r w:rsidR="005B2496">
        <w:t>illiquidity</w:t>
      </w:r>
      <w:r w:rsidR="009A0847">
        <w:t xml:space="preserve"> </w:t>
      </w:r>
      <w:r w:rsidR="005B2496">
        <w:t>cost</w:t>
      </w:r>
      <w:r w:rsidR="009A0847">
        <w:t xml:space="preserve"> </w:t>
      </w:r>
      <m:oMath>
        <m:r>
          <w:rPr>
            <w:rFonts w:ascii="Cambria Math" w:hAnsi="Cambria Math"/>
          </w:rPr>
          <m:t>c</m:t>
        </m:r>
      </m:oMath>
      <w:r w:rsidR="004E7058" w:rsidRPr="00A75740">
        <w:t>.</w:t>
      </w:r>
      <w:r w:rsidR="009A0847">
        <w:t xml:space="preserve"> </w:t>
      </w:r>
      <w:r w:rsidR="00AC6C4F">
        <w:t>Total</w:t>
      </w:r>
      <w:r w:rsidR="009A0847">
        <w:t xml:space="preserve"> </w:t>
      </w:r>
      <w:r w:rsidR="00AC6C4F">
        <w:t>surplus</w:t>
      </w:r>
      <w:r w:rsidR="009A0847">
        <w:t xml:space="preserve"> </w:t>
      </w:r>
      <w:r w:rsidR="007E7B30" w:rsidRPr="00A75740">
        <w:t>in</w:t>
      </w:r>
      <w:r w:rsidR="009A0847">
        <w:t xml:space="preserve"> </w:t>
      </w:r>
      <w:r w:rsidR="007E7B30" w:rsidRPr="00A75740">
        <w:t>that</w:t>
      </w:r>
      <w:r w:rsidR="009A0847">
        <w:t xml:space="preserve"> </w:t>
      </w:r>
      <w:r w:rsidR="007E7B30" w:rsidRPr="00A75740">
        <w:t>case</w:t>
      </w:r>
      <w:r w:rsidR="009A0847">
        <w:t xml:space="preserve"> </w:t>
      </w:r>
      <w:r w:rsidR="007E7B30" w:rsidRPr="00A75740">
        <w:t>is:</w:t>
      </w:r>
    </w:p>
    <w:p w14:paraId="7500772A" w14:textId="72B1B25F" w:rsidR="004E7058" w:rsidRPr="00A75740" w:rsidRDefault="00BF114B" w:rsidP="00F86E09">
      <w:pPr>
        <w:pStyle w:val="Olivier1"/>
        <w:widowControl w:val="0"/>
      </w:pPr>
      <m:oMathPara>
        <m:oMath>
          <m:bar>
            <m:barPr>
              <m:ctrlPr>
                <w:rPr>
                  <w:rFonts w:ascii="Cambria Math" w:hAnsi="Cambria Math"/>
                  <w:sz w:val="22"/>
                  <w:szCs w:val="22"/>
                </w:rPr>
              </m:ctrlPr>
            </m:barPr>
            <m:e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TS</m:t>
              </m:r>
            </m:e>
          </m:bar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=</m:t>
          </m:r>
          <m:sSub>
            <m:sSubPr>
              <m:ctrlPr>
                <w:rPr>
                  <w:rFonts w:ascii="Cambria Math" w:hAnsi="Cambria Math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P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SL</m:t>
              </m:r>
            </m:sub>
          </m:sSub>
          <m:d>
            <m:dPr>
              <m:ctrlPr>
                <w:rPr>
                  <w:rFonts w:ascii="Cambria Math" w:hAnsi="Cambria Math"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/>
                  <w:sz w:val="22"/>
                  <w:szCs w:val="22"/>
                </w:rPr>
                <m:t>k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+</m:t>
              </m:r>
              <m:r>
                <w:rPr>
                  <w:rFonts w:ascii="Cambria Math" w:hAnsi="Cambria Math"/>
                  <w:sz w:val="22"/>
                  <w:szCs w:val="22"/>
                </w:rPr>
                <m:t>V</m:t>
              </m:r>
            </m:e>
          </m:d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+</m:t>
          </m:r>
          <m:sSub>
            <m:sSubPr>
              <m:ctrlPr>
                <w:rPr>
                  <w:rFonts w:ascii="Cambria Math" w:hAnsi="Cambria Math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P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S</m:t>
              </m:r>
              <m:acc>
                <m:accPr>
                  <m:chr m:val="̅"/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L</m:t>
                  </m:r>
                </m:e>
              </m:acc>
            </m:sub>
          </m:sSub>
          <m:d>
            <m:dPr>
              <m:ctrlPr>
                <w:rPr>
                  <w:rFonts w:ascii="Cambria Math" w:hAnsi="Cambria Math"/>
                  <w:sz w:val="22"/>
                  <w:szCs w:val="22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-</m:t>
              </m:r>
              <m:r>
                <w:rPr>
                  <w:rFonts w:ascii="Cambria Math" w:hAnsi="Cambria Math"/>
                  <w:sz w:val="22"/>
                  <w:szCs w:val="22"/>
                </w:rPr>
                <m:t>c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+</m:t>
              </m:r>
              <m:r>
                <w:rPr>
                  <w:rFonts w:ascii="Cambria Math" w:hAnsi="Cambria Math"/>
                  <w:sz w:val="22"/>
                  <w:szCs w:val="22"/>
                </w:rPr>
                <m:t>k+V</m:t>
              </m:r>
            </m:e>
          </m:d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+</m:t>
          </m:r>
          <m:sSub>
            <m:sSubPr>
              <m:ctrlPr>
                <w:rPr>
                  <w:rFonts w:ascii="Cambria Math" w:hAnsi="Cambria Math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P</m:t>
              </m:r>
            </m:e>
            <m:sub>
              <m:acc>
                <m:accPr>
                  <m:chr m:val="̅"/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S</m:t>
                  </m:r>
                </m:e>
              </m:acc>
              <m:acc>
                <m:accPr>
                  <m:chr m:val="̅"/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L</m:t>
                  </m:r>
                </m:e>
              </m:acc>
            </m:sub>
          </m:sSub>
          <m:d>
            <m:dPr>
              <m:ctrlPr>
                <w:rPr>
                  <w:rFonts w:ascii="Cambria Math" w:hAnsi="Cambria Math"/>
                  <w:sz w:val="22"/>
                  <w:szCs w:val="22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-</m:t>
              </m:r>
              <m:r>
                <w:rPr>
                  <w:rFonts w:ascii="Cambria Math" w:hAnsi="Cambria Math"/>
                  <w:sz w:val="22"/>
                  <w:szCs w:val="22"/>
                </w:rPr>
                <m:t>c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+</m:t>
              </m:r>
              <m:r>
                <w:rPr>
                  <w:rFonts w:ascii="Cambria Math" w:hAnsi="Cambria Math"/>
                  <w:sz w:val="22"/>
                  <w:szCs w:val="22"/>
                </w:rPr>
                <m:t>k</m:t>
              </m:r>
            </m:e>
          </m:d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.</m:t>
          </m:r>
        </m:oMath>
      </m:oMathPara>
    </w:p>
    <w:p w14:paraId="4ACC0203" w14:textId="761E93FA" w:rsidR="004E7058" w:rsidRPr="00A75740" w:rsidRDefault="0059442D" w:rsidP="00F86E09">
      <w:pPr>
        <w:pStyle w:val="Olivier1"/>
        <w:widowControl w:val="0"/>
      </w:pPr>
      <w:r>
        <w:t>It</w:t>
      </w:r>
      <w:r w:rsidR="009A0847">
        <w:t xml:space="preserve"> </w:t>
      </w:r>
      <w:r>
        <w:t>is</w:t>
      </w:r>
      <w:r w:rsidR="009A0847">
        <w:t xml:space="preserve"> </w:t>
      </w:r>
      <w:r>
        <w:t>easy</w:t>
      </w:r>
      <w:r w:rsidR="009A0847">
        <w:t xml:space="preserve"> </w:t>
      </w:r>
      <w:r>
        <w:t>to</w:t>
      </w:r>
      <w:r w:rsidR="009A0847">
        <w:t xml:space="preserve"> </w:t>
      </w:r>
      <w:r>
        <w:t>verify</w:t>
      </w:r>
      <w:r w:rsidR="009A0847">
        <w:t xml:space="preserve"> </w:t>
      </w:r>
      <w:r>
        <w:t>that</w:t>
      </w:r>
      <w:r w:rsidR="009A0847">
        <w:rPr>
          <w:szCs w:val="24"/>
        </w:rPr>
        <w:t xml:space="preserve"> </w:t>
      </w:r>
      <m:oMath>
        <m:acc>
          <m:accPr>
            <m:chr m:val="̅"/>
            <m:ctrlPr>
              <w:rPr>
                <w:rFonts w:ascii="Cambria Math" w:hAnsi="Cambria Math" w:cs="Apple Chancery"/>
                <w:sz w:val="22"/>
                <w:szCs w:val="22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pple Chancery"/>
                <w:sz w:val="22"/>
                <w:szCs w:val="22"/>
              </w:rPr>
              <m:t>TS</m:t>
            </m:r>
          </m:e>
        </m:acc>
        <m:r>
          <m:rPr>
            <m:sty m:val="p"/>
          </m:rPr>
          <w:rPr>
            <w:rFonts w:ascii="Cambria Math" w:hAnsi="Cambria Math"/>
            <w:sz w:val="22"/>
            <w:szCs w:val="22"/>
          </w:rPr>
          <m:t>-</m:t>
        </m:r>
        <m:bar>
          <m:barPr>
            <m:ctrlPr>
              <w:rPr>
                <w:rFonts w:ascii="Cambria Math" w:hAnsi="Cambria Math"/>
                <w:sz w:val="22"/>
                <w:szCs w:val="22"/>
              </w:rPr>
            </m:ctrlPr>
          </m:barPr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TS</m:t>
            </m:r>
          </m:e>
        </m:bar>
        <m:r>
          <m:rPr>
            <m:sty m:val="p"/>
          </m:rPr>
          <w:rPr>
            <w:rFonts w:ascii="Cambria Math" w:hAnsi="Cambria Math"/>
            <w:sz w:val="22"/>
            <w:szCs w:val="22"/>
          </w:rPr>
          <m:t>=</m:t>
        </m:r>
        <m:sSub>
          <m:sSubPr>
            <m:ctrlPr>
              <w:rPr>
                <w:rFonts w:ascii="Cambria Math" w:hAnsi="Cambria Math"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P</m:t>
            </m:r>
          </m:e>
          <m:sub>
            <m:acc>
              <m:accPr>
                <m:chr m:val="̅"/>
                <m:ctrlPr>
                  <w:rPr>
                    <w:rFonts w:ascii="Cambria Math" w:hAnsi="Cambria Math"/>
                    <w:sz w:val="22"/>
                    <w:szCs w:val="22"/>
                  </w:rPr>
                </m:ctrlPr>
              </m:acc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S</m:t>
                </m:r>
              </m:e>
            </m:acc>
            <m:acc>
              <m:accPr>
                <m:chr m:val="̅"/>
                <m:ctrlPr>
                  <w:rPr>
                    <w:rFonts w:ascii="Cambria Math" w:hAnsi="Cambria Math"/>
                    <w:sz w:val="22"/>
                    <w:szCs w:val="22"/>
                  </w:rPr>
                </m:ctrlPr>
              </m:acc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L</m:t>
                </m:r>
              </m:e>
            </m:acc>
          </m:sub>
        </m:sSub>
        <m:d>
          <m:dPr>
            <m:ctrlPr>
              <w:rPr>
                <w:rFonts w:ascii="Cambria Math" w:hAnsi="Cambria Math"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v</m:t>
            </m:r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-</m:t>
            </m:r>
            <m:r>
              <w:rPr>
                <w:rFonts w:ascii="Cambria Math" w:hAnsi="Cambria Math"/>
                <w:sz w:val="22"/>
                <w:szCs w:val="22"/>
              </w:rPr>
              <m:t>k</m:t>
            </m:r>
          </m:e>
        </m:d>
        <m:r>
          <m:rPr>
            <m:sty m:val="p"/>
          </m:rPr>
          <w:rPr>
            <w:rFonts w:ascii="Cambria Math" w:hAnsi="Cambria Math"/>
            <w:sz w:val="22"/>
            <w:szCs w:val="22"/>
          </w:rPr>
          <m:t>+</m:t>
        </m:r>
        <m:d>
          <m:dPr>
            <m:ctrlPr>
              <w:rPr>
                <w:rFonts w:ascii="Cambria Math" w:hAnsi="Cambria Math"/>
                <w:sz w:val="22"/>
                <w:szCs w:val="22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P</m:t>
                </m:r>
              </m:e>
              <m:sub>
                <m:acc>
                  <m:accPr>
                    <m:chr m:val="̅"/>
                    <m:ctrlPr>
                      <w:rPr>
                        <w:rFonts w:ascii="Cambria Math" w:hAnsi="Cambria Math"/>
                        <w:sz w:val="22"/>
                        <w:szCs w:val="22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S</m:t>
                    </m:r>
                  </m:e>
                </m:acc>
                <m:acc>
                  <m:accPr>
                    <m:chr m:val="̅"/>
                    <m:ctrlPr>
                      <w:rPr>
                        <w:rFonts w:ascii="Cambria Math" w:hAnsi="Cambria Math"/>
                        <w:sz w:val="22"/>
                        <w:szCs w:val="22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L</m:t>
                    </m:r>
                  </m:e>
                </m:acc>
              </m:sub>
            </m:sSub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+</m:t>
            </m:r>
            <m:sSub>
              <m:sSubPr>
                <m:ctrlPr>
                  <w:rPr>
                    <w:rFonts w:ascii="Cambria Math" w:hAnsi="Cambria Math"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2"/>
                    <w:szCs w:val="22"/>
                  </w:rPr>
                  <m:t>S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sz w:val="22"/>
                        <w:szCs w:val="22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L</m:t>
                    </m:r>
                  </m:e>
                </m:acc>
              </m:sub>
            </m:sSub>
          </m:e>
        </m:d>
        <m:d>
          <m:dPr>
            <m:ctrlPr>
              <w:rPr>
                <w:rFonts w:ascii="Cambria Math" w:hAnsi="Cambria Math"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c</m:t>
            </m:r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-</m:t>
            </m:r>
            <m:r>
              <w:rPr>
                <w:rFonts w:ascii="Cambria Math" w:hAnsi="Cambria Math"/>
                <w:sz w:val="22"/>
                <w:szCs w:val="22"/>
              </w:rPr>
              <m:t>dw</m:t>
            </m:r>
          </m:e>
        </m:d>
        <m:r>
          <m:rPr>
            <m:sty m:val="p"/>
          </m:rPr>
          <w:rPr>
            <w:rFonts w:ascii="Cambria Math" w:hAnsi="Cambria Math"/>
            <w:sz w:val="22"/>
            <w:szCs w:val="22"/>
          </w:rPr>
          <m:t>&gt;0</m:t>
        </m:r>
      </m:oMath>
      <w:r w:rsidR="009A0847">
        <w:rPr>
          <w:sz w:val="22"/>
          <w:szCs w:val="22"/>
        </w:rPr>
        <w:t xml:space="preserve"> </w:t>
      </w:r>
      <w:r w:rsidR="005B2496">
        <w:t>under</w:t>
      </w:r>
      <w:r w:rsidR="009A0847">
        <w:rPr>
          <w:i/>
        </w:rPr>
        <w:t xml:space="preserve"> </w:t>
      </w:r>
      <w:r w:rsidR="005B2496" w:rsidRPr="00A75740">
        <w:rPr>
          <w:i/>
        </w:rPr>
        <w:t>R1</w:t>
      </w:r>
      <w:r w:rsidR="00326624" w:rsidRPr="00A75740">
        <w:t>.</w:t>
      </w:r>
      <w:r w:rsidR="009A0847">
        <w:t xml:space="preserve"> </w:t>
      </w:r>
    </w:p>
    <w:p w14:paraId="2782C4F8" w14:textId="30C0EEB7" w:rsidR="0028774F" w:rsidRPr="00A75740" w:rsidRDefault="00B7748F" w:rsidP="00F86E09">
      <w:pPr>
        <w:pStyle w:val="Olivier1"/>
        <w:widowControl w:val="0"/>
        <w:ind w:firstLine="360"/>
      </w:pPr>
      <w:r w:rsidRPr="00A75740">
        <w:t>Because</w:t>
      </w:r>
      <w:r w:rsidR="009A0847">
        <w:t xml:space="preserve"> </w:t>
      </w:r>
      <w:r w:rsidR="002E6D0B" w:rsidRPr="00A75740">
        <w:t>no</w:t>
      </w:r>
      <w:r w:rsidR="009A0847">
        <w:t xml:space="preserve"> </w:t>
      </w:r>
      <w:r w:rsidR="002E6D0B" w:rsidRPr="00A75740">
        <w:t>one</w:t>
      </w:r>
      <w:r w:rsidR="009A0847">
        <w:t xml:space="preserve"> </w:t>
      </w:r>
      <w:r w:rsidR="002E6D0B" w:rsidRPr="00A75740">
        <w:t>borrows</w:t>
      </w:r>
      <w:r w:rsidR="009A0847">
        <w:t xml:space="preserve"> </w:t>
      </w:r>
      <w:r w:rsidR="002E6D0B" w:rsidRPr="00A75740">
        <w:t>at</w:t>
      </w:r>
      <w:r w:rsidR="009A0847">
        <w:t xml:space="preserve"> </w:t>
      </w:r>
      <w:r w:rsidR="002E6D0B" w:rsidRPr="00A75740">
        <w:t>the</w:t>
      </w:r>
      <w:r w:rsidR="009A0847">
        <w:t xml:space="preserve"> </w:t>
      </w:r>
      <w:r w:rsidR="002E6D0B" w:rsidRPr="00A75740">
        <w:t>DW</w:t>
      </w:r>
      <w:r w:rsidR="009A0847">
        <w:t xml:space="preserve"> </w:t>
      </w:r>
      <w:r w:rsidR="002E6D0B" w:rsidRPr="00A75740">
        <w:t>under</w:t>
      </w:r>
      <w:r w:rsidR="009A0847">
        <w:t xml:space="preserve"> </w:t>
      </w:r>
      <m:oMath>
        <m:r>
          <m:rPr>
            <m:sty m:val="bi"/>
          </m:rPr>
          <w:rPr>
            <w:rFonts w:ascii="Cambria Math" w:hAnsi="Cambria Math"/>
            <w:sz w:val="22"/>
            <w:szCs w:val="22"/>
          </w:rPr>
          <m:t>St</m:t>
        </m:r>
      </m:oMath>
      <w:r w:rsidR="002E6D0B" w:rsidRPr="00A75740">
        <w:t>,</w:t>
      </w:r>
      <w:r w:rsidR="009A0847">
        <w:rPr>
          <w:b/>
        </w:rPr>
        <w:t xml:space="preserve"> </w:t>
      </w:r>
      <w:r w:rsidR="00AC6C4F">
        <w:t>total</w:t>
      </w:r>
      <w:r w:rsidR="009A0847">
        <w:t xml:space="preserve"> </w:t>
      </w:r>
      <w:r w:rsidR="00AC6C4F">
        <w:t>surplus</w:t>
      </w:r>
      <w:r w:rsidR="009A0847">
        <w:t xml:space="preserve"> </w:t>
      </w:r>
      <w:r w:rsidRPr="00A75740">
        <w:t>is</w:t>
      </w:r>
      <w:r w:rsidR="009A0847">
        <w:t xml:space="preserve"> </w:t>
      </w:r>
      <w:r w:rsidR="00A75740" w:rsidRPr="00A75740">
        <w:t>equal</w:t>
      </w:r>
      <w:r w:rsidR="009A0847">
        <w:t xml:space="preserve"> </w:t>
      </w:r>
      <w:r w:rsidR="00A75740" w:rsidRPr="00A75740">
        <w:t>to</w:t>
      </w:r>
      <w:r w:rsidR="009A0847">
        <w:t xml:space="preserve"> </w:t>
      </w:r>
      <w:r w:rsidR="002E6D0B" w:rsidRPr="00A75740">
        <w:t>the</w:t>
      </w:r>
      <w:r w:rsidR="009A0847">
        <w:t xml:space="preserve"> </w:t>
      </w:r>
      <w:r w:rsidR="001C30BE">
        <w:t>lower</w:t>
      </w:r>
      <w:r w:rsidR="009A0847">
        <w:t xml:space="preserve"> </w:t>
      </w:r>
      <w:r w:rsidR="00A75740" w:rsidRPr="00A75740">
        <w:t>benchmark</w:t>
      </w:r>
      <w:r w:rsidR="009A0847">
        <w:t xml:space="preserve"> </w:t>
      </w:r>
      <w:r w:rsidR="002E6D0B" w:rsidRPr="00A75740">
        <w:t>without</w:t>
      </w:r>
      <w:r w:rsidR="009A0847">
        <w:t xml:space="preserve"> </w:t>
      </w:r>
      <w:r w:rsidR="002E6D0B" w:rsidRPr="00A75740">
        <w:t>DW</w:t>
      </w:r>
      <w:r w:rsidR="009A0847">
        <w:t xml:space="preserve"> </w:t>
      </w:r>
      <w:r w:rsidRPr="00A75740">
        <w:t>(</w:t>
      </w:r>
      <m:oMath>
        <m:sSub>
          <m:sSubPr>
            <m:ctrlPr>
              <w:rPr>
                <w:rFonts w:ascii="Cambria Math" w:hAnsi="Cambria Math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TS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St</m:t>
            </m:r>
          </m:sub>
        </m:sSub>
        <m:r>
          <w:rPr>
            <w:rFonts w:ascii="Cambria Math" w:hAnsi="Cambria Math"/>
            <w:sz w:val="22"/>
            <w:szCs w:val="22"/>
          </w:rPr>
          <m:t>=</m:t>
        </m:r>
        <m:bar>
          <m:barPr>
            <m:ctrlPr>
              <w:rPr>
                <w:rFonts w:ascii="Cambria Math" w:hAnsi="Cambria Math"/>
                <w:sz w:val="22"/>
                <w:szCs w:val="22"/>
              </w:rPr>
            </m:ctrlPr>
          </m:barPr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TS</m:t>
            </m:r>
          </m:e>
        </m:bar>
      </m:oMath>
      <w:r w:rsidRPr="00A75740">
        <w:t>)</w:t>
      </w:r>
      <w:r w:rsidR="002E6D0B" w:rsidRPr="00A75740">
        <w:t>.</w:t>
      </w:r>
      <w:r w:rsidR="009A0847">
        <w:t xml:space="preserve"> </w:t>
      </w:r>
      <w:r w:rsidR="002E6D0B" w:rsidRPr="00A75740">
        <w:t>U</w:t>
      </w:r>
      <w:r w:rsidR="00BD1A9C" w:rsidRPr="00A75740">
        <w:t>n</w:t>
      </w:r>
      <w:r w:rsidR="005B2496">
        <w:t>der</w:t>
      </w:r>
      <w:r w:rsidR="009A0847">
        <w:t xml:space="preserve"> </w:t>
      </w:r>
      <m:oMath>
        <m:r>
          <m:rPr>
            <m:sty m:val="bi"/>
          </m:rPr>
          <w:rPr>
            <w:rFonts w:ascii="Cambria Math" w:hAnsi="Cambria Math"/>
            <w:sz w:val="22"/>
            <w:szCs w:val="22"/>
          </w:rPr>
          <m:t>NoSt</m:t>
        </m:r>
      </m:oMath>
      <w:r w:rsidR="00BD1A9C" w:rsidRPr="00A75740">
        <w:t>,</w:t>
      </w:r>
      <w:r w:rsidR="009A0847">
        <w:t xml:space="preserve"> </w:t>
      </w:r>
      <w:r w:rsidR="00AC6C4F">
        <w:t>total</w:t>
      </w:r>
      <w:r w:rsidR="009A0847">
        <w:t xml:space="preserve"> </w:t>
      </w:r>
      <w:r w:rsidR="00AC6C4F">
        <w:t>surplus</w:t>
      </w:r>
      <w:r w:rsidR="009A0847">
        <w:t xml:space="preserve"> </w:t>
      </w:r>
      <w:r w:rsidR="00BD1A9C" w:rsidRPr="00A75740">
        <w:t>is</w:t>
      </w:r>
      <w:r w:rsidR="001C30BE">
        <w:t>:</w:t>
      </w:r>
    </w:p>
    <w:p w14:paraId="02B5DC70" w14:textId="670A1AB8" w:rsidR="00C847E4" w:rsidRPr="00A75740" w:rsidRDefault="00BF114B" w:rsidP="00F86E09">
      <w:pPr>
        <w:pStyle w:val="Olivier1"/>
        <w:widowControl w:val="0"/>
        <w:ind w:left="-90" w:right="-450"/>
        <w:jc w:val="center"/>
        <w:rPr>
          <w:szCs w:val="24"/>
        </w:rPr>
      </w:pPr>
      <m:oMath>
        <m:sSub>
          <m:sSubPr>
            <m:ctrlPr>
              <w:rPr>
                <w:rFonts w:ascii="Cambria Math" w:hAnsi="Cambria Math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TS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NoSt</m:t>
            </m:r>
          </m:sub>
        </m:sSub>
        <m:r>
          <m:rPr>
            <m:sty m:val="p"/>
          </m:rPr>
          <w:rPr>
            <w:rFonts w:ascii="Cambria Math" w:hAnsi="Cambria Math"/>
            <w:sz w:val="22"/>
            <w:szCs w:val="22"/>
          </w:rPr>
          <m:t>=</m:t>
        </m:r>
        <m:sSub>
          <m:sSubPr>
            <m:ctrlPr>
              <w:rPr>
                <w:rFonts w:ascii="Cambria Math" w:hAnsi="Cambria Math"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P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SL</m:t>
            </m:r>
          </m:sub>
        </m:sSub>
        <m:d>
          <m:dPr>
            <m:ctrlPr>
              <w:rPr>
                <w:rFonts w:ascii="Cambria Math" w:hAnsi="Cambria Math"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k</m:t>
            </m:r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+</m:t>
            </m:r>
            <m:r>
              <w:rPr>
                <w:rFonts w:ascii="Cambria Math" w:hAnsi="Cambria Math"/>
                <w:sz w:val="22"/>
                <w:szCs w:val="22"/>
              </w:rPr>
              <m:t>V</m:t>
            </m:r>
          </m:e>
        </m:d>
        <m:r>
          <m:rPr>
            <m:sty m:val="p"/>
          </m:rPr>
          <w:rPr>
            <w:rFonts w:ascii="Cambria Math" w:hAnsi="Cambria Math"/>
            <w:sz w:val="22"/>
            <w:szCs w:val="22"/>
          </w:rPr>
          <m:t>+</m:t>
        </m:r>
        <m:sSub>
          <m:sSubPr>
            <m:ctrlPr>
              <w:rPr>
                <w:rFonts w:ascii="Cambria Math" w:hAnsi="Cambria Math"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P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S</m:t>
            </m:r>
            <m:acc>
              <m:accPr>
                <m:chr m:val="̅"/>
                <m:ctrlPr>
                  <w:rPr>
                    <w:rFonts w:ascii="Cambria Math" w:hAnsi="Cambria Math"/>
                    <w:sz w:val="22"/>
                    <w:szCs w:val="22"/>
                  </w:rPr>
                </m:ctrlPr>
              </m:acc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L</m:t>
                </m:r>
              </m:e>
            </m:acc>
          </m:sub>
        </m:sSub>
        <m:d>
          <m:dPr>
            <m:ctrlPr>
              <w:rPr>
                <w:rFonts w:ascii="Cambria Math" w:hAnsi="Cambria Math"/>
                <w:sz w:val="22"/>
                <w:szCs w:val="22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-</m:t>
            </m:r>
            <m:r>
              <w:rPr>
                <w:rFonts w:ascii="Cambria Math" w:hAnsi="Cambria Math"/>
                <w:sz w:val="22"/>
                <w:szCs w:val="22"/>
              </w:rPr>
              <m:t>dw</m:t>
            </m:r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+</m:t>
            </m:r>
            <m:d>
              <m:dPr>
                <m:ctrlPr>
                  <w:rPr>
                    <w:rFonts w:ascii="Cambria Math" w:hAnsi="Cambria Math"/>
                    <w:sz w:val="22"/>
                    <w:szCs w:val="22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1-</m:t>
                </m:r>
                <m:sSub>
                  <m:sSubPr>
                    <m:ctrlPr>
                      <w:rPr>
                        <w:rFonts w:ascii="Cambria Math" w:hAnsi="Cambria Math"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θ</m:t>
                    </m:r>
                  </m:e>
                  <m:sub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sz w:val="22"/>
                            <w:szCs w:val="22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L</m:t>
                        </m:r>
                      </m:e>
                    </m:acc>
                  </m:sub>
                </m:sSub>
              </m:e>
            </m:d>
            <m:d>
              <m:d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k+V</m:t>
                </m:r>
              </m:e>
            </m:d>
            <m:sSub>
              <m:sSubPr>
                <m:ctrlPr>
                  <w:rPr>
                    <w:rFonts w:ascii="Cambria Math" w:hAnsi="Cambria Math"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+θ</m:t>
                </m:r>
              </m:e>
              <m:sub>
                <m:acc>
                  <m:accPr>
                    <m:chr m:val="̅"/>
                    <m:ctrlPr>
                      <w:rPr>
                        <w:rFonts w:ascii="Cambria Math" w:hAnsi="Cambria Math"/>
                        <w:sz w:val="22"/>
                        <w:szCs w:val="22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L</m:t>
                    </m:r>
                  </m:e>
                </m:acc>
              </m:sub>
            </m:sSub>
            <m:r>
              <w:rPr>
                <w:rFonts w:ascii="Cambria Math" w:hAnsi="Cambria Math"/>
                <w:sz w:val="22"/>
                <w:szCs w:val="22"/>
              </w:rPr>
              <m:t>v</m:t>
            </m:r>
          </m:e>
        </m:d>
        <m:r>
          <m:rPr>
            <m:sty m:val="p"/>
          </m:rPr>
          <w:rPr>
            <w:rFonts w:ascii="Cambria Math" w:hAnsi="Cambria Math"/>
            <w:sz w:val="22"/>
            <w:szCs w:val="22"/>
          </w:rPr>
          <m:t>+</m:t>
        </m:r>
        <m:sSub>
          <m:sSubPr>
            <m:ctrlPr>
              <w:rPr>
                <w:rFonts w:ascii="Cambria Math" w:hAnsi="Cambria Math"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P</m:t>
            </m:r>
          </m:e>
          <m:sub>
            <m:acc>
              <m:accPr>
                <m:chr m:val="̅"/>
                <m:ctrlPr>
                  <w:rPr>
                    <w:rFonts w:ascii="Cambria Math" w:hAnsi="Cambria Math"/>
                    <w:sz w:val="22"/>
                    <w:szCs w:val="22"/>
                  </w:rPr>
                </m:ctrlPr>
              </m:acc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S</m:t>
                </m:r>
              </m:e>
            </m:acc>
            <m:acc>
              <m:accPr>
                <m:chr m:val="̅"/>
                <m:ctrlPr>
                  <w:rPr>
                    <w:rFonts w:ascii="Cambria Math" w:hAnsi="Cambria Math"/>
                    <w:sz w:val="22"/>
                    <w:szCs w:val="22"/>
                  </w:rPr>
                </m:ctrlPr>
              </m:acc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L</m:t>
                </m:r>
              </m:e>
            </m:acc>
          </m:sub>
        </m:sSub>
        <m:r>
          <m:rPr>
            <m:sty m:val="p"/>
          </m:rPr>
          <w:rPr>
            <w:rFonts w:ascii="Cambria Math" w:hAnsi="Cambria Math"/>
            <w:sz w:val="22"/>
            <w:szCs w:val="22"/>
          </w:rPr>
          <m:t>(-</m:t>
        </m:r>
        <m:r>
          <w:rPr>
            <w:rFonts w:ascii="Cambria Math" w:hAnsi="Cambria Math"/>
            <w:sz w:val="22"/>
            <w:szCs w:val="22"/>
          </w:rPr>
          <m:t>dw</m:t>
        </m:r>
        <m:r>
          <m:rPr>
            <m:sty m:val="p"/>
          </m:rPr>
          <w:rPr>
            <w:rFonts w:ascii="Cambria Math" w:hAnsi="Cambria Math"/>
            <w:sz w:val="22"/>
            <w:szCs w:val="22"/>
          </w:rPr>
          <m:t>+</m:t>
        </m:r>
        <m:d>
          <m:dPr>
            <m:ctrlPr>
              <w:rPr>
                <w:rFonts w:ascii="Cambria Math" w:hAnsi="Cambria Math"/>
                <w:sz w:val="22"/>
                <w:szCs w:val="22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1-</m:t>
            </m:r>
            <m:sSub>
              <m:sSubPr>
                <m:ctrlPr>
                  <w:rPr>
                    <w:rFonts w:ascii="Cambria Math" w:hAnsi="Cambria Math"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θ</m:t>
                </m:r>
              </m:e>
              <m:sub>
                <m:acc>
                  <m:accPr>
                    <m:chr m:val="̅"/>
                    <m:ctrlPr>
                      <w:rPr>
                        <w:rFonts w:ascii="Cambria Math" w:hAnsi="Cambria Math"/>
                        <w:sz w:val="22"/>
                        <w:szCs w:val="22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L</m:t>
                    </m:r>
                  </m:e>
                </m:acc>
              </m:sub>
            </m:sSub>
          </m:e>
        </m:d>
        <m:r>
          <w:rPr>
            <w:rFonts w:ascii="Cambria Math" w:hAnsi="Cambria Math"/>
            <w:sz w:val="22"/>
            <w:szCs w:val="22"/>
          </w:rPr>
          <m:t>k+</m:t>
        </m:r>
        <m:sSub>
          <m:sSubPr>
            <m:ctrlPr>
              <w:rPr>
                <w:rFonts w:ascii="Cambria Math" w:hAnsi="Cambria Math"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θ</m:t>
            </m:r>
          </m:e>
          <m:sub>
            <m:acc>
              <m:accPr>
                <m:chr m:val="̅"/>
                <m:ctrlPr>
                  <w:rPr>
                    <w:rFonts w:ascii="Cambria Math" w:hAnsi="Cambria Math"/>
                    <w:sz w:val="22"/>
                    <w:szCs w:val="22"/>
                  </w:rPr>
                </m:ctrlPr>
              </m:acc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L</m:t>
                </m:r>
              </m:e>
            </m:acc>
          </m:sub>
        </m:sSub>
        <m:r>
          <w:rPr>
            <w:rFonts w:ascii="Cambria Math" w:hAnsi="Cambria Math"/>
            <w:sz w:val="22"/>
            <w:szCs w:val="22"/>
          </w:rPr>
          <m:t>v</m:t>
        </m:r>
        <m:r>
          <m:rPr>
            <m:sty m:val="p"/>
          </m:rPr>
          <w:rPr>
            <w:rFonts w:ascii="Cambria Math" w:hAnsi="Cambria Math"/>
            <w:sz w:val="22"/>
            <w:szCs w:val="22"/>
          </w:rPr>
          <m:t>)</m:t>
        </m:r>
      </m:oMath>
      <w:r w:rsidR="001C30BE">
        <w:rPr>
          <w:sz w:val="22"/>
          <w:szCs w:val="22"/>
        </w:rPr>
        <w:t>,</w:t>
      </w:r>
    </w:p>
    <w:p w14:paraId="38DFCF25" w14:textId="232C9013" w:rsidR="00BD1A9C" w:rsidRPr="00A75740" w:rsidRDefault="0028774F" w:rsidP="00F86E09">
      <w:pPr>
        <w:pStyle w:val="Olivier1"/>
        <w:widowControl w:val="0"/>
      </w:pPr>
      <w:r w:rsidRPr="00A75740">
        <w:t>where</w:t>
      </w:r>
      <w:r w:rsidR="009A0847">
        <w:t xml:space="preserve"> </w:t>
      </w:r>
      <m:oMath>
        <m:sSub>
          <m:sSubPr>
            <m:ctrlPr>
              <w:rPr>
                <w:rFonts w:ascii="Cambria Math" w:hAnsi="Cambria Math"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θ</m:t>
            </m:r>
          </m:e>
          <m:sub>
            <m:acc>
              <m:accPr>
                <m:chr m:val="̅"/>
                <m:ctrlPr>
                  <w:rPr>
                    <w:rFonts w:ascii="Cambria Math" w:hAnsi="Cambria Math"/>
                    <w:sz w:val="22"/>
                    <w:szCs w:val="22"/>
                  </w:rPr>
                </m:ctrlPr>
              </m:acc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L</m:t>
                </m:r>
              </m:e>
            </m:acc>
          </m:sub>
        </m:sSub>
        <m:r>
          <w:rPr>
            <w:rFonts w:ascii="Cambria Math" w:hAnsi="Cambria Math"/>
            <w:sz w:val="22"/>
            <w:szCs w:val="22"/>
          </w:rPr>
          <m:t>=θ</m:t>
        </m:r>
        <m:d>
          <m:dPr>
            <m:ctrlPr>
              <w:rPr>
                <w:rFonts w:ascii="Cambria Math" w:hAnsi="Cambria Math"/>
                <w:sz w:val="22"/>
                <w:szCs w:val="22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N</m:t>
                </m:r>
              </m:e>
              <m:sub>
                <m:acc>
                  <m:accPr>
                    <m:chr m:val="̅"/>
                    <m:ctrlPr>
                      <w:rPr>
                        <w:rFonts w:ascii="Cambria Math" w:hAnsi="Cambria Math"/>
                        <w:sz w:val="22"/>
                        <w:szCs w:val="22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L</m:t>
                    </m:r>
                  </m:e>
                </m:acc>
              </m:sub>
            </m:sSub>
          </m:e>
        </m:d>
      </m:oMath>
      <w:r w:rsidR="009A0847">
        <w:t xml:space="preserve"> </w:t>
      </w:r>
      <w:r w:rsidRPr="00A75740">
        <w:t>is</w:t>
      </w:r>
      <w:r w:rsidR="009A0847">
        <w:t xml:space="preserve"> </w:t>
      </w:r>
      <w:r w:rsidRPr="00A75740">
        <w:t>the</w:t>
      </w:r>
      <w:r w:rsidR="009A0847">
        <w:t xml:space="preserve"> </w:t>
      </w:r>
      <w:r w:rsidRPr="00A75740">
        <w:t>expected</w:t>
      </w:r>
      <w:r w:rsidR="009A0847">
        <w:t xml:space="preserve"> </w:t>
      </w:r>
      <w:r w:rsidRPr="00A75740">
        <w:t>detection</w:t>
      </w:r>
      <w:r w:rsidR="009A0847">
        <w:t xml:space="preserve"> </w:t>
      </w:r>
      <w:r w:rsidRPr="00A75740">
        <w:t>probability</w:t>
      </w:r>
      <w:r w:rsidR="009A0847">
        <w:t xml:space="preserve"> </w:t>
      </w:r>
      <w:r w:rsidR="005B2496">
        <w:t>u</w:t>
      </w:r>
      <w:r w:rsidR="005B2496" w:rsidRPr="00A75740">
        <w:t>n</w:t>
      </w:r>
      <w:r w:rsidR="005B2496">
        <w:t>der</w:t>
      </w:r>
      <w:r w:rsidR="009A0847">
        <w:t xml:space="preserve"> </w:t>
      </w:r>
      <m:oMath>
        <m:r>
          <m:rPr>
            <m:sty m:val="bi"/>
          </m:rPr>
          <w:rPr>
            <w:rFonts w:ascii="Cambria Math" w:hAnsi="Cambria Math"/>
            <w:sz w:val="22"/>
            <w:szCs w:val="22"/>
          </w:rPr>
          <m:t>NoSt</m:t>
        </m:r>
      </m:oMath>
      <w:r w:rsidRPr="00A75740">
        <w:t>.</w:t>
      </w:r>
      <w:r w:rsidR="009A0847">
        <w:t xml:space="preserve"> </w:t>
      </w:r>
      <w:r w:rsidRPr="00A75740">
        <w:t>W</w:t>
      </w:r>
      <w:r w:rsidR="00DF28B2" w:rsidRPr="00A75740">
        <w:t>e</w:t>
      </w:r>
      <w:r w:rsidR="009A0847">
        <w:t xml:space="preserve"> </w:t>
      </w:r>
      <w:r w:rsidR="00DF28B2" w:rsidRPr="00A75740">
        <w:t>have</w:t>
      </w:r>
      <w:r w:rsidR="005B2496">
        <w:t>:</w:t>
      </w:r>
      <w:r w:rsidR="009A0847">
        <w:t xml:space="preserve"> </w:t>
      </w:r>
    </w:p>
    <w:p w14:paraId="55D12C71" w14:textId="330CE474" w:rsidR="00BD1A9C" w:rsidRPr="00A75740" w:rsidRDefault="00BF114B" w:rsidP="00F86E09">
      <w:pPr>
        <w:pStyle w:val="Olivier1"/>
        <w:widowControl w:val="0"/>
      </w:pPr>
      <m:oMathPara>
        <m:oMath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TS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>NoSt</m:t>
              </m:r>
            </m:sub>
          </m:sSub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-</m:t>
          </m:r>
          <m:sSub>
            <m:sSubPr>
              <m:ctrlPr>
                <w:rPr>
                  <w:rFonts w:ascii="Cambria Math" w:hAnsi="Cambria Math"/>
                  <w:sz w:val="22"/>
                  <w:szCs w:val="2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TS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>St</m:t>
              </m:r>
            </m:sub>
          </m:sSub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=</m:t>
          </m:r>
          <m:d>
            <m:dPr>
              <m:ctrlPr>
                <w:rPr>
                  <w:rFonts w:ascii="Cambria Math" w:hAnsi="Cambria Math"/>
                  <w:sz w:val="22"/>
                  <w:szCs w:val="22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SL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 xml:space="preserve">+ </m:t>
              </m:r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S</m:t>
                  </m:r>
                  <m:acc>
                    <m:accPr>
                      <m:chr m:val="̅"/>
                      <m:ctrlPr>
                        <w:rPr>
                          <w:rFonts w:ascii="Cambria Math" w:hAnsi="Cambria Math"/>
                          <w:sz w:val="22"/>
                          <w:szCs w:val="22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L</m:t>
                      </m:r>
                    </m:e>
                  </m:acc>
                </m:sub>
              </m:sSub>
            </m:e>
          </m:d>
          <m:d>
            <m:dPr>
              <m:ctrlPr>
                <w:rPr>
                  <w:rFonts w:ascii="Cambria Math" w:hAnsi="Cambria Math"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/>
                  <w:sz w:val="22"/>
                  <w:szCs w:val="22"/>
                </w:rPr>
                <m:t>c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-</m:t>
              </m:r>
              <m:r>
                <w:rPr>
                  <w:rFonts w:ascii="Cambria Math" w:hAnsi="Cambria Math"/>
                  <w:sz w:val="22"/>
                  <w:szCs w:val="22"/>
                </w:rPr>
                <m:t>dw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θ</m:t>
                  </m:r>
                </m:e>
                <m:sub>
                  <m:acc>
                    <m:accPr>
                      <m:chr m:val="̅"/>
                      <m:ctrlPr>
                        <w:rPr>
                          <w:rFonts w:ascii="Cambria Math" w:hAnsi="Cambria Math"/>
                          <w:sz w:val="22"/>
                          <w:szCs w:val="22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L</m:t>
                      </m:r>
                    </m:e>
                  </m:acc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>k</m:t>
              </m:r>
            </m:e>
          </m:d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+</m:t>
          </m:r>
          <m:sSub>
            <m:sSubPr>
              <m:ctrlPr>
                <w:rPr>
                  <w:rFonts w:ascii="Cambria Math" w:hAnsi="Cambria Math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θ</m:t>
              </m:r>
            </m:e>
            <m:sub>
              <m:acc>
                <m:accPr>
                  <m:chr m:val="̅"/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L</m:t>
                  </m:r>
                </m:e>
              </m:acc>
            </m:sub>
          </m:sSub>
          <m:d>
            <m:dPr>
              <m:begChr m:val="["/>
              <m:endChr m:val="]"/>
              <m:ctrlPr>
                <w:rPr>
                  <w:rFonts w:ascii="Cambria Math" w:hAnsi="Cambria Math"/>
                  <w:sz w:val="22"/>
                  <w:szCs w:val="22"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P</m:t>
                      </m:r>
                    </m:e>
                    <m:sub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S</m:t>
                          </m:r>
                        </m:e>
                      </m:acc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L</m:t>
                          </m:r>
                        </m:e>
                      </m:acc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S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L</m:t>
                          </m:r>
                        </m:e>
                      </m:acc>
                    </m:sub>
                  </m:sSub>
                </m:e>
              </m:d>
              <m:r>
                <w:rPr>
                  <w:rFonts w:ascii="Cambria Math" w:hAnsi="Cambria Math"/>
                  <w:sz w:val="22"/>
                  <w:szCs w:val="22"/>
                </w:rPr>
                <m:t>v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-</m:t>
              </m:r>
              <m:r>
                <w:rPr>
                  <w:rFonts w:ascii="Cambria Math" w:hAnsi="Cambria Math"/>
                  <w:sz w:val="22"/>
                  <w:szCs w:val="22"/>
                </w:rPr>
                <m:t>V</m:t>
              </m:r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S</m:t>
                  </m:r>
                  <m:acc>
                    <m:accPr>
                      <m:chr m:val="̅"/>
                      <m:ctrlPr>
                        <w:rPr>
                          <w:rFonts w:ascii="Cambria Math" w:hAnsi="Cambria Math"/>
                          <w:sz w:val="22"/>
                          <w:szCs w:val="22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L</m:t>
                      </m:r>
                    </m:e>
                  </m:acc>
                </m:sub>
              </m:sSub>
            </m:e>
          </m:d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.</m:t>
          </m:r>
        </m:oMath>
      </m:oMathPara>
    </w:p>
    <w:p w14:paraId="15180197" w14:textId="72B324A6" w:rsidR="006C339C" w:rsidRDefault="00DF28B2" w:rsidP="00F86E09">
      <w:pPr>
        <w:pStyle w:val="Olivier1"/>
        <w:widowControl w:val="0"/>
      </w:pPr>
      <w:r w:rsidRPr="00A75740">
        <w:t>Observe</w:t>
      </w:r>
      <w:r w:rsidR="009A0847">
        <w:t xml:space="preserve"> </w:t>
      </w:r>
      <w:r w:rsidRPr="00A75740">
        <w:t>that</w:t>
      </w:r>
      <w:r w:rsidR="009A0847">
        <w:t xml:space="preserve"> </w:t>
      </w:r>
      <m:oMath>
        <m:r>
          <w:rPr>
            <w:rFonts w:ascii="Cambria Math" w:hAnsi="Cambria Math"/>
            <w:sz w:val="22"/>
            <w:szCs w:val="22"/>
          </w:rPr>
          <m:t>c-dw-</m:t>
        </m:r>
        <m:sSub>
          <m:sSubPr>
            <m:ctrlPr>
              <w:rPr>
                <w:rFonts w:ascii="Cambria Math" w:hAnsi="Cambria Math"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θ</m:t>
            </m:r>
          </m:e>
          <m:sub>
            <m:acc>
              <m:accPr>
                <m:chr m:val="̅"/>
                <m:ctrlPr>
                  <w:rPr>
                    <w:rFonts w:ascii="Cambria Math" w:hAnsi="Cambria Math"/>
                    <w:sz w:val="22"/>
                    <w:szCs w:val="22"/>
                  </w:rPr>
                </m:ctrlPr>
              </m:acc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L</m:t>
                </m:r>
              </m:e>
            </m:acc>
          </m:sub>
        </m:sSub>
        <m:r>
          <w:rPr>
            <w:rFonts w:ascii="Cambria Math" w:hAnsi="Cambria Math"/>
            <w:sz w:val="22"/>
            <w:szCs w:val="22"/>
          </w:rPr>
          <m:t>k&gt;0</m:t>
        </m:r>
      </m:oMath>
      <w:r w:rsidR="009A0847">
        <w:t xml:space="preserve"> </w:t>
      </w:r>
      <w:r w:rsidR="00A75740" w:rsidRPr="00A75740">
        <w:t>since</w:t>
      </w:r>
      <w:r w:rsidR="009A0847">
        <w:t xml:space="preserve"> </w:t>
      </w:r>
      <m:oMath>
        <m:sSub>
          <m:sSubPr>
            <m:ctrlPr>
              <w:rPr>
                <w:rFonts w:ascii="Cambria Math" w:hAnsi="Cambria Math"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θ</m:t>
            </m:r>
          </m:e>
          <m:sub>
            <m:acc>
              <m:accPr>
                <m:chr m:val="̅"/>
                <m:ctrlPr>
                  <w:rPr>
                    <w:rFonts w:ascii="Cambria Math" w:hAnsi="Cambria Math"/>
                    <w:sz w:val="22"/>
                    <w:szCs w:val="22"/>
                  </w:rPr>
                </m:ctrlPr>
              </m:acc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L</m:t>
                </m:r>
              </m:e>
            </m:acc>
          </m:sub>
        </m:sSub>
        <m:r>
          <w:rPr>
            <w:rFonts w:ascii="Cambria Math" w:hAnsi="Cambria Math"/>
            <w:sz w:val="22"/>
            <w:szCs w:val="22"/>
          </w:rPr>
          <m:t>&lt;θ</m:t>
        </m:r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2"/>
                    <w:szCs w:val="22"/>
                  </w:rPr>
                  <m:t>0</m:t>
                </m:r>
              </m:sub>
            </m:sSub>
          </m:e>
        </m:d>
        <m:r>
          <w:rPr>
            <w:rFonts w:ascii="Cambria Math" w:hAnsi="Cambria Math"/>
            <w:sz w:val="22"/>
            <w:szCs w:val="22"/>
          </w:rPr>
          <m:t>=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c-dw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k</m:t>
            </m:r>
          </m:den>
        </m:f>
      </m:oMath>
      <w:r w:rsidR="009A0847">
        <w:rPr>
          <w:sz w:val="22"/>
          <w:szCs w:val="22"/>
        </w:rPr>
        <w:t xml:space="preserve"> </w:t>
      </w:r>
      <w:r w:rsidR="005A78A0" w:rsidRPr="00A75740">
        <w:t>under</w:t>
      </w:r>
      <w:r w:rsidR="009A0847">
        <w:t xml:space="preserve"> </w:t>
      </w:r>
      <w:r w:rsidR="005A78A0" w:rsidRPr="00A75740">
        <w:rPr>
          <w:i/>
        </w:rPr>
        <w:t>R1</w:t>
      </w:r>
      <w:r w:rsidRPr="00A75740">
        <w:t>.</w:t>
      </w:r>
      <w:r w:rsidR="009A0847">
        <w:t xml:space="preserve"> </w:t>
      </w:r>
      <w:r w:rsidRPr="00A75740">
        <w:t>Further,</w:t>
      </w:r>
      <w:r w:rsidR="009A0847">
        <w:t xml:space="preserve"> </w:t>
      </w:r>
      <m:oMath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P</m:t>
                </m:r>
              </m:e>
              <m:sub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S</m:t>
                    </m:r>
                  </m:e>
                </m:acc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L</m:t>
                    </m:r>
                  </m:e>
                </m:acc>
              </m:sub>
            </m:sSub>
            <m:r>
              <w:rPr>
                <w:rFonts w:ascii="Cambria Math" w:hAnsi="Cambria Math"/>
                <w:sz w:val="22"/>
                <w:szCs w:val="22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2"/>
                    <w:szCs w:val="22"/>
                  </w:rPr>
                  <m:t>S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L</m:t>
                    </m:r>
                  </m:e>
                </m:acc>
              </m:sub>
            </m:sSub>
          </m:e>
        </m:d>
        <m:r>
          <w:rPr>
            <w:rFonts w:ascii="Cambria Math" w:hAnsi="Cambria Math"/>
            <w:sz w:val="22"/>
            <w:szCs w:val="22"/>
          </w:rPr>
          <m:t>v-V</m:t>
        </m:r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P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S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acc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L</m:t>
                </m:r>
              </m:e>
            </m:acc>
          </m:sub>
        </m:sSub>
        <m:r>
          <w:rPr>
            <w:rFonts w:ascii="Cambria Math" w:hAnsi="Cambria Math"/>
            <w:sz w:val="22"/>
            <w:szCs w:val="22"/>
          </w:rPr>
          <m:t>&gt;0</m:t>
        </m:r>
      </m:oMath>
      <w:r w:rsidR="009A0847">
        <w:rPr>
          <w:sz w:val="22"/>
          <w:szCs w:val="22"/>
        </w:rPr>
        <w:t xml:space="preserve"> </w:t>
      </w:r>
      <w:r w:rsidR="005A78A0" w:rsidRPr="00A75740">
        <w:t>under</w:t>
      </w:r>
      <w:r w:rsidR="009A0847">
        <w:t xml:space="preserve"> </w:t>
      </w:r>
      <w:r w:rsidR="005A78A0" w:rsidRPr="00A75740">
        <w:rPr>
          <w:i/>
        </w:rPr>
        <w:t>R2</w:t>
      </w:r>
      <w:r w:rsidR="00EA2439" w:rsidRPr="00A75740">
        <w:t>.</w:t>
      </w:r>
      <w:r w:rsidR="009A0847">
        <w:t xml:space="preserve"> </w:t>
      </w:r>
      <w:r w:rsidR="00EA2439" w:rsidRPr="00A75740">
        <w:t>Thus</w:t>
      </w:r>
      <w:r w:rsidR="005A78A0">
        <w:t>,</w:t>
      </w:r>
      <w:r w:rsidR="009A0847"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TS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NoSt</m:t>
            </m:r>
          </m:sub>
        </m:sSub>
        <m:r>
          <m:rPr>
            <m:sty m:val="p"/>
          </m:rPr>
          <w:rPr>
            <w:rFonts w:ascii="Cambria Math" w:hAnsi="Cambria Math"/>
            <w:sz w:val="22"/>
            <w:szCs w:val="22"/>
          </w:rPr>
          <m:t>-</m:t>
        </m:r>
        <m:sSub>
          <m:sSubPr>
            <m:ctrlPr>
              <w:rPr>
                <w:rFonts w:ascii="Cambria Math" w:hAnsi="Cambria Math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TS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St</m:t>
            </m:r>
          </m:sub>
        </m:sSub>
        <m:r>
          <w:rPr>
            <w:rFonts w:ascii="Cambria Math" w:hAnsi="Cambria Math"/>
            <w:sz w:val="22"/>
            <w:szCs w:val="22"/>
          </w:rPr>
          <m:t>&gt;0</m:t>
        </m:r>
      </m:oMath>
      <w:r w:rsidR="00EA2439" w:rsidRPr="00A75740">
        <w:t>.</w:t>
      </w:r>
      <w:r w:rsidR="009A0847">
        <w:t xml:space="preserve"> </w:t>
      </w:r>
      <w:r w:rsidR="00414C38" w:rsidRPr="00A75740">
        <w:t>Similarly,</w:t>
      </w:r>
      <w:r w:rsidR="009A0847">
        <w:t xml:space="preserve"> </w:t>
      </w:r>
      <w:r w:rsidR="00414C38" w:rsidRPr="00A75740">
        <w:t>it</w:t>
      </w:r>
      <w:r w:rsidR="009A0847">
        <w:t xml:space="preserve"> </w:t>
      </w:r>
      <w:r w:rsidR="00414C38" w:rsidRPr="00A75740">
        <w:t>is</w:t>
      </w:r>
      <w:r w:rsidR="009A0847">
        <w:t xml:space="preserve"> </w:t>
      </w:r>
      <w:r w:rsidR="00414C38" w:rsidRPr="00A75740">
        <w:t>easy</w:t>
      </w:r>
      <w:r w:rsidR="009A0847">
        <w:t xml:space="preserve"> </w:t>
      </w:r>
      <w:r w:rsidR="00414C38" w:rsidRPr="00A75740">
        <w:t>to</w:t>
      </w:r>
      <w:r w:rsidR="009A0847">
        <w:t xml:space="preserve"> </w:t>
      </w:r>
      <w:r w:rsidR="00414C38" w:rsidRPr="00A75740">
        <w:t>show</w:t>
      </w:r>
      <w:r w:rsidR="009A0847">
        <w:t xml:space="preserve"> </w:t>
      </w:r>
      <w:r w:rsidR="00414C38" w:rsidRPr="00A75740">
        <w:t>that</w:t>
      </w:r>
      <w:r w:rsidR="009A0847"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TS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NoSt</m:t>
            </m:r>
          </m:sub>
        </m:sSub>
        <m:r>
          <w:rPr>
            <w:rFonts w:ascii="Cambria Math" w:hAnsi="Cambria Math"/>
            <w:sz w:val="22"/>
            <w:szCs w:val="22"/>
          </w:rPr>
          <m:t>&lt;</m:t>
        </m:r>
        <m:r>
          <m:rPr>
            <m:sty m:val="p"/>
          </m:rPr>
          <w:rPr>
            <w:rFonts w:ascii="Cambria Math" w:hAnsi="Cambria Math" w:cs="Apple Chancery"/>
            <w:sz w:val="22"/>
            <w:szCs w:val="22"/>
          </w:rPr>
          <m:t xml:space="preserve"> </m:t>
        </m:r>
        <m:acc>
          <m:accPr>
            <m:chr m:val="̅"/>
            <m:ctrlPr>
              <w:rPr>
                <w:rFonts w:ascii="Cambria Math" w:hAnsi="Cambria Math" w:cs="Apple Chancery"/>
                <w:sz w:val="22"/>
                <w:szCs w:val="22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pple Chancery"/>
                <w:sz w:val="22"/>
                <w:szCs w:val="22"/>
              </w:rPr>
              <m:t>TS</m:t>
            </m:r>
          </m:e>
        </m:acc>
      </m:oMath>
      <w:r w:rsidR="00414C38" w:rsidRPr="00A75740">
        <w:t>.</w:t>
      </w:r>
      <w:r w:rsidR="009A0847">
        <w:t xml:space="preserve"> </w:t>
      </w:r>
      <w:r w:rsidR="00414C38" w:rsidRPr="00A75740">
        <w:t>Th</w:t>
      </w:r>
      <w:r w:rsidR="00CF1197">
        <w:t>erefore</w:t>
      </w:r>
      <w:r w:rsidR="00EA2439" w:rsidRPr="00A75740">
        <w:t>,</w:t>
      </w:r>
      <w:r w:rsidR="009A0847">
        <w:t xml:space="preserve"> </w:t>
      </w:r>
      <w:r w:rsidR="00414C38" w:rsidRPr="00A75740">
        <w:t>we</w:t>
      </w:r>
      <w:r w:rsidR="009A0847">
        <w:t xml:space="preserve"> </w:t>
      </w:r>
      <w:r w:rsidR="00414C38" w:rsidRPr="00A75740">
        <w:t>have</w:t>
      </w:r>
      <w:r w:rsidR="009A0847">
        <w:t xml:space="preserve"> </w:t>
      </w:r>
      <w:r w:rsidR="001C30BE">
        <w:t>the</w:t>
      </w:r>
      <w:r w:rsidR="009A0847">
        <w:t xml:space="preserve"> </w:t>
      </w:r>
      <w:r w:rsidR="001C30BE">
        <w:t>following</w:t>
      </w:r>
      <w:r w:rsidR="009A0847">
        <w:t xml:space="preserve"> </w:t>
      </w:r>
      <w:r w:rsidR="001C30BE">
        <w:t>ranking</w:t>
      </w:r>
      <w:r w:rsidR="009A0847">
        <w:t xml:space="preserve"> </w:t>
      </w:r>
      <w:r w:rsidR="00CF1197">
        <w:t>with</w:t>
      </w:r>
      <w:r w:rsidR="009A0847">
        <w:t xml:space="preserve"> </w:t>
      </w:r>
      <w:r w:rsidR="00CF1197">
        <w:t>respect</w:t>
      </w:r>
      <w:r w:rsidR="009A0847">
        <w:t xml:space="preserve"> </w:t>
      </w:r>
      <w:r w:rsidR="00CF1197">
        <w:t>to</w:t>
      </w:r>
      <w:r w:rsidR="009A0847">
        <w:t xml:space="preserve"> </w:t>
      </w:r>
      <w:r w:rsidR="00CF1197">
        <w:t>total</w:t>
      </w:r>
      <w:r w:rsidR="009A0847">
        <w:t xml:space="preserve"> </w:t>
      </w:r>
      <w:r w:rsidR="00CF1197">
        <w:t>surplus</w:t>
      </w:r>
      <w:r w:rsidR="001C30BE">
        <w:t>:</w:t>
      </w:r>
      <w:r w:rsidR="009A0847">
        <w:t xml:space="preserve"> </w:t>
      </w:r>
      <m:oMath>
        <m:sSub>
          <m:sSubPr>
            <m:ctrlPr>
              <w:rPr>
                <w:rFonts w:ascii="Cambria Math" w:hAnsi="Cambria Math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TS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St</m:t>
            </m:r>
          </m:sub>
        </m:sSub>
        <m:r>
          <w:rPr>
            <w:rFonts w:ascii="Cambria Math" w:hAnsi="Cambria Math"/>
            <w:sz w:val="22"/>
            <w:szCs w:val="22"/>
          </w:rPr>
          <m:t>=</m:t>
        </m:r>
        <m:bar>
          <m:barPr>
            <m:ctrlPr>
              <w:rPr>
                <w:rFonts w:ascii="Cambria Math" w:hAnsi="Cambria Math"/>
                <w:sz w:val="22"/>
                <w:szCs w:val="22"/>
              </w:rPr>
            </m:ctrlPr>
          </m:barPr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TS</m:t>
            </m:r>
          </m:e>
        </m:bar>
        <m:r>
          <w:rPr>
            <w:rFonts w:ascii="Cambria Math" w:hAnsi="Cambria Math"/>
            <w:sz w:val="22"/>
            <w:szCs w:val="22"/>
          </w:rPr>
          <m:t>&lt;</m:t>
        </m:r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TS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NoSt</m:t>
            </m:r>
          </m:sub>
        </m:sSub>
        <m:r>
          <w:rPr>
            <w:rFonts w:ascii="Cambria Math" w:hAnsi="Cambria Math"/>
            <w:sz w:val="22"/>
            <w:szCs w:val="22"/>
          </w:rPr>
          <m:t>&lt;</m:t>
        </m:r>
        <m:acc>
          <m:accPr>
            <m:chr m:val="̅"/>
            <m:ctrlPr>
              <w:rPr>
                <w:rFonts w:ascii="Cambria Math" w:hAnsi="Cambria Math" w:cs="Apple Chancery"/>
                <w:sz w:val="22"/>
                <w:szCs w:val="22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pple Chancery"/>
                <w:sz w:val="22"/>
                <w:szCs w:val="22"/>
              </w:rPr>
              <m:t>TS</m:t>
            </m:r>
          </m:e>
        </m:acc>
        <m:r>
          <w:rPr>
            <w:rFonts w:ascii="Cambria Math" w:hAnsi="Cambria Math"/>
            <w:sz w:val="22"/>
            <w:szCs w:val="22"/>
          </w:rPr>
          <m:t xml:space="preserve">. </m:t>
        </m:r>
      </m:oMath>
      <w:r w:rsidR="009A0847">
        <w:rPr>
          <w:sz w:val="22"/>
          <w:szCs w:val="22"/>
        </w:rPr>
        <w:t xml:space="preserve"> </w:t>
      </w:r>
      <w:r w:rsidR="00414C38" w:rsidRPr="00A75740">
        <w:t>In</w:t>
      </w:r>
      <w:r w:rsidR="009A0847">
        <w:t xml:space="preserve"> </w:t>
      </w:r>
      <w:r w:rsidR="00414C38" w:rsidRPr="00A75740">
        <w:t>other</w:t>
      </w:r>
      <w:r w:rsidR="009A0847">
        <w:t xml:space="preserve"> </w:t>
      </w:r>
      <w:r w:rsidR="00414C38" w:rsidRPr="00A75740">
        <w:t>words,</w:t>
      </w:r>
      <w:r w:rsidR="009A0847">
        <w:t xml:space="preserve"> </w:t>
      </w:r>
      <w:r w:rsidR="000A0507">
        <w:t>total</w:t>
      </w:r>
      <w:r w:rsidR="009A0847">
        <w:t xml:space="preserve"> </w:t>
      </w:r>
      <w:r w:rsidR="000A0507">
        <w:t>surplus</w:t>
      </w:r>
      <w:r w:rsidR="009A0847">
        <w:t xml:space="preserve"> </w:t>
      </w:r>
      <w:r w:rsidR="000A0507">
        <w:t>is</w:t>
      </w:r>
      <w:r w:rsidR="009A0847">
        <w:t xml:space="preserve"> </w:t>
      </w:r>
      <w:r w:rsidR="000A0507">
        <w:t>higher</w:t>
      </w:r>
      <w:r w:rsidR="009A0847">
        <w:t xml:space="preserve"> </w:t>
      </w:r>
      <w:r w:rsidR="000A0507">
        <w:t>when</w:t>
      </w:r>
      <w:r w:rsidR="009A0847">
        <w:t xml:space="preserve"> </w:t>
      </w:r>
      <w:r w:rsidR="000A0507">
        <w:t>the</w:t>
      </w:r>
      <w:r w:rsidR="009A0847">
        <w:t xml:space="preserve"> </w:t>
      </w:r>
      <w:r w:rsidR="000A0507">
        <w:t>DW</w:t>
      </w:r>
      <w:r w:rsidR="009A0847">
        <w:t xml:space="preserve"> </w:t>
      </w:r>
      <w:r w:rsidR="000A0507">
        <w:t>is</w:t>
      </w:r>
      <w:r w:rsidR="009A0847">
        <w:t xml:space="preserve"> </w:t>
      </w:r>
      <w:r w:rsidR="000A0507">
        <w:t>stigma-free.</w:t>
      </w:r>
      <w:r w:rsidR="009A0847">
        <w:t xml:space="preserve"> </w:t>
      </w:r>
    </w:p>
    <w:p w14:paraId="4302600D" w14:textId="4AA5EF04" w:rsidR="006A7352" w:rsidRPr="000A0507" w:rsidRDefault="006A7352" w:rsidP="00F86E09">
      <w:pPr>
        <w:pStyle w:val="Olivier1"/>
        <w:widowControl w:val="0"/>
        <w:ind w:firstLine="360"/>
        <w:rPr>
          <w:color w:val="000000" w:themeColor="text1"/>
        </w:rPr>
      </w:pPr>
      <w:r w:rsidRPr="00A75740">
        <w:t>To</w:t>
      </w:r>
      <w:r w:rsidR="009A0847">
        <w:t xml:space="preserve"> </w:t>
      </w:r>
      <w:r w:rsidRPr="00A75740">
        <w:t>sum</w:t>
      </w:r>
      <w:r w:rsidR="008671B6">
        <w:t>marize</w:t>
      </w:r>
      <w:r w:rsidR="009A0847">
        <w:t xml:space="preserve"> </w:t>
      </w:r>
      <w:r w:rsidR="005B1609">
        <w:t>the</w:t>
      </w:r>
      <w:r w:rsidR="009A0847">
        <w:t xml:space="preserve"> </w:t>
      </w:r>
      <w:r w:rsidR="005B1609">
        <w:t>theoretical</w:t>
      </w:r>
      <w:r w:rsidR="009A0847">
        <w:t xml:space="preserve"> </w:t>
      </w:r>
      <w:r w:rsidR="005B1609">
        <w:t>results</w:t>
      </w:r>
      <w:r w:rsidR="009A0847">
        <w:t xml:space="preserve"> </w:t>
      </w:r>
      <w:r w:rsidR="005B1609">
        <w:t>so</w:t>
      </w:r>
      <w:r w:rsidR="009A0847">
        <w:t xml:space="preserve"> </w:t>
      </w:r>
      <w:r w:rsidR="005B1609">
        <w:t>far</w:t>
      </w:r>
      <w:r w:rsidRPr="00A75740">
        <w:t>,</w:t>
      </w:r>
      <w:r w:rsidR="009A0847">
        <w:t xml:space="preserve"> </w:t>
      </w:r>
      <w:r w:rsidR="001D697A" w:rsidRPr="00A75740">
        <w:t>when</w:t>
      </w:r>
      <w:r w:rsidR="009A0847">
        <w:t xml:space="preserve"> </w:t>
      </w:r>
      <m:oMath>
        <m:r>
          <w:rPr>
            <w:rFonts w:ascii="Cambria Math" w:hAnsi="Cambria Math"/>
            <w:sz w:val="22"/>
            <w:szCs w:val="22"/>
          </w:rPr>
          <m:t>1&lt;</m:t>
        </m:r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n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0</m:t>
            </m:r>
          </m:sub>
        </m:sSub>
        <m:r>
          <w:rPr>
            <w:rFonts w:ascii="Cambria Math" w:hAnsi="Cambria Math"/>
            <w:sz w:val="22"/>
            <w:szCs w:val="22"/>
          </w:rPr>
          <m:t>&lt;</m:t>
        </m:r>
        <m:sSub>
          <m:sSubPr>
            <m:ctrlPr>
              <w:rPr>
                <w:rFonts w:ascii="Cambria Math" w:hAnsi="Cambria Math"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N</m:t>
            </m:r>
          </m:e>
          <m:sub>
            <m:acc>
              <m:accPr>
                <m:chr m:val="̅"/>
                <m:ctrlPr>
                  <w:rPr>
                    <w:rFonts w:ascii="Cambria Math" w:hAnsi="Cambria Math"/>
                    <w:sz w:val="22"/>
                    <w:szCs w:val="22"/>
                  </w:rPr>
                </m:ctrlPr>
              </m:acc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L</m:t>
                </m:r>
              </m:e>
            </m:acc>
          </m:sub>
        </m:sSub>
      </m:oMath>
      <w:r w:rsidR="001D697A" w:rsidRPr="00A75740">
        <w:t>,</w:t>
      </w:r>
      <w:r w:rsidR="009A0847">
        <w:t xml:space="preserve"> </w:t>
      </w:r>
      <w:r w:rsidRPr="00A75740">
        <w:t>there</w:t>
      </w:r>
      <w:r w:rsidR="009A0847">
        <w:t xml:space="preserve"> </w:t>
      </w:r>
      <w:r w:rsidRPr="00A75740">
        <w:t>are</w:t>
      </w:r>
      <w:r w:rsidR="009A0847">
        <w:t xml:space="preserve"> </w:t>
      </w:r>
      <w:r w:rsidRPr="00A75740">
        <w:t>two</w:t>
      </w:r>
      <w:r w:rsidR="009A0847">
        <w:t xml:space="preserve"> </w:t>
      </w:r>
      <w:r w:rsidRPr="00A75740">
        <w:t>equilibria,</w:t>
      </w:r>
      <w:r w:rsidR="009A0847">
        <w:t xml:space="preserve"> </w:t>
      </w:r>
      <w:r w:rsidRPr="00A75740">
        <w:t>one</w:t>
      </w:r>
      <w:r w:rsidR="009A0847">
        <w:t xml:space="preserve"> </w:t>
      </w:r>
      <w:r w:rsidRPr="00A75740">
        <w:t>bad</w:t>
      </w:r>
      <w:r w:rsidR="009A0847">
        <w:t xml:space="preserve"> </w:t>
      </w:r>
      <w:r w:rsidRPr="00A75740">
        <w:t>equilibrium</w:t>
      </w:r>
      <w:r w:rsidR="009A0847">
        <w:t xml:space="preserve"> </w:t>
      </w:r>
      <w:r w:rsidRPr="00A75740">
        <w:t>(i.e.</w:t>
      </w:r>
      <w:r w:rsidR="009A0847">
        <w:t xml:space="preserve"> </w:t>
      </w:r>
      <w:r w:rsidRPr="00A75740">
        <w:t>with</w:t>
      </w:r>
      <w:r w:rsidR="009A0847">
        <w:t xml:space="preserve"> </w:t>
      </w:r>
      <w:r w:rsidRPr="00A75740">
        <w:t>lower</w:t>
      </w:r>
      <w:r w:rsidR="009A0847">
        <w:t xml:space="preserve"> </w:t>
      </w:r>
      <w:r w:rsidR="00AC6C4F">
        <w:t>total</w:t>
      </w:r>
      <w:r w:rsidR="009A0847">
        <w:t xml:space="preserve"> </w:t>
      </w:r>
      <w:r w:rsidR="00AC6C4F">
        <w:t>surplus</w:t>
      </w:r>
      <w:r w:rsidRPr="00A75740">
        <w:t>)</w:t>
      </w:r>
      <w:r w:rsidR="009A0847">
        <w:t xml:space="preserve"> </w:t>
      </w:r>
      <w:r w:rsidRPr="00A75740">
        <w:t>with</w:t>
      </w:r>
      <w:r w:rsidR="009A0847">
        <w:t xml:space="preserve"> </w:t>
      </w:r>
      <w:r w:rsidRPr="00A75740">
        <w:t>DW</w:t>
      </w:r>
      <w:r w:rsidR="009A0847">
        <w:t xml:space="preserve"> </w:t>
      </w:r>
      <w:r w:rsidRPr="00A75740">
        <w:t>stigma</w:t>
      </w:r>
      <w:r w:rsidR="009A0847">
        <w:t xml:space="preserve"> </w:t>
      </w:r>
      <w:r w:rsidRPr="00A75740">
        <w:t>in</w:t>
      </w:r>
      <w:r w:rsidR="009A0847">
        <w:t xml:space="preserve"> </w:t>
      </w:r>
      <w:r w:rsidRPr="00A75740">
        <w:t>which</w:t>
      </w:r>
      <w:r w:rsidR="009A0847">
        <w:t xml:space="preserve"> </w:t>
      </w:r>
      <w:r w:rsidRPr="00A75740">
        <w:t>no</w:t>
      </w:r>
      <w:r w:rsidR="009A0847">
        <w:t xml:space="preserve"> </w:t>
      </w:r>
      <w:r w:rsidRPr="00A75740">
        <w:t>bank</w:t>
      </w:r>
      <w:r w:rsidR="009A0847">
        <w:t xml:space="preserve"> </w:t>
      </w:r>
      <w:r w:rsidRPr="00A75740">
        <w:t>borrows</w:t>
      </w:r>
      <w:r w:rsidR="009A0847">
        <w:t xml:space="preserve"> </w:t>
      </w:r>
      <w:r w:rsidRPr="00A75740">
        <w:t>at</w:t>
      </w:r>
      <w:r w:rsidR="009A0847">
        <w:t xml:space="preserve"> </w:t>
      </w:r>
      <w:r w:rsidRPr="00A75740">
        <w:t>the</w:t>
      </w:r>
      <w:r w:rsidR="009A0847">
        <w:t xml:space="preserve"> </w:t>
      </w:r>
      <w:r w:rsidRPr="00A75740">
        <w:t>DW,</w:t>
      </w:r>
      <w:r w:rsidR="009A0847">
        <w:t xml:space="preserve"> </w:t>
      </w:r>
      <w:r w:rsidRPr="00A75740">
        <w:t>and</w:t>
      </w:r>
      <w:r w:rsidR="009A0847">
        <w:t xml:space="preserve"> </w:t>
      </w:r>
      <w:r w:rsidRPr="00A75740">
        <w:t>one</w:t>
      </w:r>
      <w:r w:rsidR="009A0847">
        <w:t xml:space="preserve"> </w:t>
      </w:r>
      <w:r w:rsidRPr="00A75740">
        <w:t>good</w:t>
      </w:r>
      <w:r w:rsidR="006C339C">
        <w:t>,</w:t>
      </w:r>
      <w:r w:rsidR="009A0847">
        <w:t xml:space="preserve"> </w:t>
      </w:r>
      <w:r w:rsidR="006B7701">
        <w:t>stigma-free</w:t>
      </w:r>
      <w:r w:rsidR="009A0847">
        <w:t xml:space="preserve"> </w:t>
      </w:r>
      <w:r w:rsidRPr="00A75740">
        <w:t>equilibrium</w:t>
      </w:r>
      <w:r w:rsidR="009A0847">
        <w:t xml:space="preserve"> </w:t>
      </w:r>
      <w:r w:rsidRPr="00A75740">
        <w:t>in</w:t>
      </w:r>
      <w:r w:rsidR="009A0847">
        <w:t xml:space="preserve"> </w:t>
      </w:r>
      <w:r w:rsidRPr="00A75740">
        <w:t>which</w:t>
      </w:r>
      <w:r w:rsidR="009A0847">
        <w:t xml:space="preserve"> </w:t>
      </w:r>
      <w:r w:rsidRPr="00A75740">
        <w:t>every</w:t>
      </w:r>
      <w:r w:rsidR="009A0847">
        <w:t xml:space="preserve"> </w:t>
      </w:r>
      <w:r w:rsidRPr="00A75740">
        <w:t>illiquid</w:t>
      </w:r>
      <w:r w:rsidR="009A0847">
        <w:t xml:space="preserve"> </w:t>
      </w:r>
      <w:r w:rsidRPr="00A75740">
        <w:t>bank</w:t>
      </w:r>
      <w:r w:rsidR="009A0847">
        <w:t xml:space="preserve"> </w:t>
      </w:r>
      <w:r w:rsidR="0067731F">
        <w:t>(solvent</w:t>
      </w:r>
      <w:r w:rsidR="009A0847">
        <w:t xml:space="preserve"> </w:t>
      </w:r>
      <w:r w:rsidR="0067731F">
        <w:t>or</w:t>
      </w:r>
      <w:r w:rsidR="009A0847">
        <w:t xml:space="preserve"> </w:t>
      </w:r>
      <w:r w:rsidR="0067731F">
        <w:t>not)</w:t>
      </w:r>
      <w:r w:rsidR="009A0847">
        <w:t xml:space="preserve"> </w:t>
      </w:r>
      <w:r w:rsidRPr="00A75740">
        <w:t>borrows</w:t>
      </w:r>
      <w:r w:rsidR="009A0847">
        <w:t xml:space="preserve"> </w:t>
      </w:r>
      <w:r w:rsidRPr="00A75740">
        <w:t>at</w:t>
      </w:r>
      <w:r w:rsidR="009A0847">
        <w:t xml:space="preserve"> </w:t>
      </w:r>
      <w:r w:rsidRPr="00A75740">
        <w:t>the</w:t>
      </w:r>
      <w:r w:rsidR="009A0847">
        <w:t xml:space="preserve"> </w:t>
      </w:r>
      <w:r w:rsidRPr="00A75740">
        <w:t>DW.</w:t>
      </w:r>
      <w:r w:rsidR="009A0847">
        <w:t xml:space="preserve"> </w:t>
      </w:r>
      <w:r w:rsidR="001D697A" w:rsidRPr="00A75740">
        <w:t>Further</w:t>
      </w:r>
      <w:r w:rsidR="001D697A" w:rsidRPr="000A0507">
        <w:rPr>
          <w:color w:val="000000" w:themeColor="text1"/>
        </w:rPr>
        <w:t>,</w:t>
      </w:r>
      <w:r w:rsidR="009A0847">
        <w:rPr>
          <w:color w:val="000000" w:themeColor="text1"/>
        </w:rPr>
        <w:t xml:space="preserve"> </w:t>
      </w:r>
      <w:r w:rsidR="001D697A" w:rsidRPr="000A0507">
        <w:rPr>
          <w:color w:val="000000" w:themeColor="text1"/>
        </w:rPr>
        <w:t>coo</w:t>
      </w:r>
      <w:r w:rsidR="005B1609" w:rsidRPr="000A0507">
        <w:rPr>
          <w:color w:val="000000" w:themeColor="text1"/>
        </w:rPr>
        <w:t>rdination</w:t>
      </w:r>
      <w:r w:rsidR="009A0847">
        <w:rPr>
          <w:color w:val="000000" w:themeColor="text1"/>
        </w:rPr>
        <w:t xml:space="preserve"> </w:t>
      </w:r>
      <w:r w:rsidR="00787DF1">
        <w:rPr>
          <w:color w:val="000000" w:themeColor="text1"/>
        </w:rPr>
        <w:t>on</w:t>
      </w:r>
      <w:r w:rsidR="009A0847">
        <w:rPr>
          <w:color w:val="000000" w:themeColor="text1"/>
        </w:rPr>
        <w:t xml:space="preserve"> </w:t>
      </w:r>
      <w:r w:rsidR="005B1609" w:rsidRPr="000A0507">
        <w:rPr>
          <w:color w:val="000000" w:themeColor="text1"/>
        </w:rPr>
        <w:t>the</w:t>
      </w:r>
      <w:r w:rsidR="009A0847">
        <w:rPr>
          <w:color w:val="000000" w:themeColor="text1"/>
        </w:rPr>
        <w:t xml:space="preserve"> </w:t>
      </w:r>
      <w:r w:rsidR="006B7701" w:rsidRPr="000A0507">
        <w:rPr>
          <w:color w:val="000000" w:themeColor="text1"/>
        </w:rPr>
        <w:t>stigma-free</w:t>
      </w:r>
      <w:r w:rsidR="009A0847">
        <w:rPr>
          <w:color w:val="000000" w:themeColor="text1"/>
        </w:rPr>
        <w:t xml:space="preserve"> </w:t>
      </w:r>
      <w:r w:rsidR="001D697A" w:rsidRPr="000A0507">
        <w:rPr>
          <w:color w:val="000000" w:themeColor="text1"/>
        </w:rPr>
        <w:t>equilibrium</w:t>
      </w:r>
      <w:r w:rsidR="009A0847">
        <w:rPr>
          <w:color w:val="000000" w:themeColor="text1"/>
        </w:rPr>
        <w:t xml:space="preserve"> </w:t>
      </w:r>
      <w:r w:rsidR="001D697A" w:rsidRPr="000A0507">
        <w:rPr>
          <w:color w:val="000000" w:themeColor="text1"/>
        </w:rPr>
        <w:t>should</w:t>
      </w:r>
      <w:r w:rsidR="009A0847">
        <w:rPr>
          <w:color w:val="000000" w:themeColor="text1"/>
        </w:rPr>
        <w:t xml:space="preserve"> </w:t>
      </w:r>
      <w:r w:rsidR="001D697A" w:rsidRPr="000A0507">
        <w:rPr>
          <w:color w:val="000000" w:themeColor="text1"/>
        </w:rPr>
        <w:t>be</w:t>
      </w:r>
      <w:r w:rsidR="009A0847">
        <w:rPr>
          <w:color w:val="000000" w:themeColor="text1"/>
        </w:rPr>
        <w:t xml:space="preserve"> </w:t>
      </w:r>
      <w:r w:rsidR="001D697A" w:rsidRPr="000A0507">
        <w:rPr>
          <w:color w:val="000000" w:themeColor="text1"/>
        </w:rPr>
        <w:t>easier</w:t>
      </w:r>
      <w:r w:rsidR="009A0847">
        <w:rPr>
          <w:color w:val="000000" w:themeColor="text1"/>
        </w:rPr>
        <w:t xml:space="preserve"> </w:t>
      </w:r>
      <w:r w:rsidR="001D697A" w:rsidRPr="000A0507">
        <w:rPr>
          <w:color w:val="000000" w:themeColor="text1"/>
        </w:rPr>
        <w:t>when</w:t>
      </w:r>
      <w:r w:rsidR="009A0847">
        <w:rPr>
          <w:color w:val="000000" w:themeColor="text1"/>
        </w:rPr>
        <w:t xml:space="preserve"> </w:t>
      </w:r>
      <w:r w:rsidR="001D697A" w:rsidRPr="000A0507">
        <w:rPr>
          <w:color w:val="000000" w:themeColor="text1"/>
        </w:rPr>
        <w:t>the</w:t>
      </w:r>
      <w:r w:rsidR="009A0847">
        <w:rPr>
          <w:color w:val="000000" w:themeColor="text1"/>
        </w:rPr>
        <w:t xml:space="preserve"> </w:t>
      </w:r>
      <w:r w:rsidR="00A75740" w:rsidRPr="000A0507">
        <w:rPr>
          <w:color w:val="000000" w:themeColor="text1"/>
        </w:rPr>
        <w:t>cost</w:t>
      </w:r>
      <w:r w:rsidR="009A0847">
        <w:rPr>
          <w:color w:val="000000" w:themeColor="text1"/>
        </w:rPr>
        <w:t xml:space="preserve"> </w:t>
      </w:r>
      <w:r w:rsidR="00A75740" w:rsidRPr="000A0507">
        <w:rPr>
          <w:color w:val="000000" w:themeColor="text1"/>
        </w:rPr>
        <w:t>of</w:t>
      </w:r>
      <w:r w:rsidR="009A0847">
        <w:rPr>
          <w:color w:val="000000" w:themeColor="text1"/>
        </w:rPr>
        <w:t xml:space="preserve"> </w:t>
      </w:r>
      <w:r w:rsidR="00A75740" w:rsidRPr="000A0507">
        <w:rPr>
          <w:color w:val="000000" w:themeColor="text1"/>
        </w:rPr>
        <w:t>the</w:t>
      </w:r>
      <w:r w:rsidR="009A0847">
        <w:rPr>
          <w:color w:val="000000" w:themeColor="text1"/>
        </w:rPr>
        <w:t xml:space="preserve"> </w:t>
      </w:r>
      <w:r w:rsidR="00A75740" w:rsidRPr="000A0507">
        <w:rPr>
          <w:color w:val="000000" w:themeColor="text1"/>
        </w:rPr>
        <w:t>DW</w:t>
      </w:r>
      <w:r w:rsidR="009A0847">
        <w:rPr>
          <w:color w:val="000000" w:themeColor="text1"/>
        </w:rPr>
        <w:t xml:space="preserve"> </w:t>
      </w:r>
      <w:r w:rsidR="001D697A" w:rsidRPr="000A0507">
        <w:rPr>
          <w:color w:val="000000" w:themeColor="text1"/>
        </w:rPr>
        <w:t>is</w:t>
      </w:r>
      <w:r w:rsidR="009A0847">
        <w:rPr>
          <w:color w:val="000000" w:themeColor="text1"/>
        </w:rPr>
        <w:t xml:space="preserve"> </w:t>
      </w:r>
      <w:r w:rsidR="001D697A" w:rsidRPr="000A0507">
        <w:rPr>
          <w:color w:val="000000" w:themeColor="text1"/>
        </w:rPr>
        <w:t>low</w:t>
      </w:r>
      <w:r w:rsidR="009A0847">
        <w:rPr>
          <w:color w:val="000000" w:themeColor="text1"/>
        </w:rPr>
        <w:t xml:space="preserve"> </w:t>
      </w:r>
      <w:r w:rsidR="00B24BC4" w:rsidRPr="000A0507">
        <w:rPr>
          <w:color w:val="000000" w:themeColor="text1"/>
        </w:rPr>
        <w:t>and</w:t>
      </w:r>
      <w:r w:rsidR="009A0847">
        <w:rPr>
          <w:color w:val="000000" w:themeColor="text1"/>
        </w:rPr>
        <w:t xml:space="preserve"> </w:t>
      </w:r>
      <w:r w:rsidR="00B24BC4" w:rsidRPr="000A0507">
        <w:rPr>
          <w:color w:val="000000" w:themeColor="text1"/>
        </w:rPr>
        <w:t>when</w:t>
      </w:r>
      <w:r w:rsidR="009A0847">
        <w:rPr>
          <w:color w:val="000000" w:themeColor="text1"/>
        </w:rPr>
        <w:t xml:space="preserve"> </w:t>
      </w:r>
      <w:r w:rsidR="00B24BC4" w:rsidRPr="000A0507">
        <w:rPr>
          <w:color w:val="000000" w:themeColor="text1"/>
        </w:rPr>
        <w:t>the</w:t>
      </w:r>
      <w:r w:rsidR="009A0847">
        <w:rPr>
          <w:color w:val="000000" w:themeColor="text1"/>
        </w:rPr>
        <w:t xml:space="preserve"> </w:t>
      </w:r>
      <w:r w:rsidR="00B24BC4" w:rsidRPr="000A0507">
        <w:rPr>
          <w:color w:val="000000" w:themeColor="text1"/>
        </w:rPr>
        <w:t>detection</w:t>
      </w:r>
      <w:r w:rsidR="009A0847">
        <w:rPr>
          <w:color w:val="000000" w:themeColor="text1"/>
        </w:rPr>
        <w:t xml:space="preserve"> </w:t>
      </w:r>
      <w:r w:rsidR="00B24BC4" w:rsidRPr="000A0507">
        <w:rPr>
          <w:color w:val="000000" w:themeColor="text1"/>
        </w:rPr>
        <w:t>probability</w:t>
      </w:r>
      <w:r w:rsidR="009A0847">
        <w:rPr>
          <w:color w:val="000000" w:themeColor="text1"/>
        </w:rPr>
        <w:t xml:space="preserve"> </w:t>
      </w:r>
      <w:r w:rsidR="00B24BC4" w:rsidRPr="000A0507">
        <w:rPr>
          <w:color w:val="000000" w:themeColor="text1"/>
        </w:rPr>
        <w:t>is</w:t>
      </w:r>
      <w:r w:rsidR="009A0847">
        <w:rPr>
          <w:color w:val="000000" w:themeColor="text1"/>
        </w:rPr>
        <w:t xml:space="preserve"> </w:t>
      </w:r>
      <w:r w:rsidR="00B24BC4" w:rsidRPr="000A0507">
        <w:rPr>
          <w:color w:val="000000" w:themeColor="text1"/>
        </w:rPr>
        <w:t>low</w:t>
      </w:r>
      <w:r w:rsidR="001D697A" w:rsidRPr="000A0507">
        <w:rPr>
          <w:color w:val="000000" w:themeColor="text1"/>
        </w:rPr>
        <w:t>.</w:t>
      </w:r>
      <w:r w:rsidR="009A0847">
        <w:rPr>
          <w:color w:val="000000" w:themeColor="text1"/>
        </w:rPr>
        <w:t xml:space="preserve"> </w:t>
      </w:r>
    </w:p>
    <w:p w14:paraId="71B3E807" w14:textId="3D1E6B22" w:rsidR="00861EB3" w:rsidRDefault="00C533F8" w:rsidP="00F86E09">
      <w:pPr>
        <w:pStyle w:val="Heading3"/>
        <w:widowControl w:val="0"/>
        <w:spacing w:line="276" w:lineRule="auto"/>
      </w:pPr>
      <w:r>
        <w:t>Model</w:t>
      </w:r>
      <w:r w:rsidR="009A0847">
        <w:t xml:space="preserve"> </w:t>
      </w:r>
      <w:r>
        <w:t>Extension:</w:t>
      </w:r>
      <w:r w:rsidR="009A0847">
        <w:t xml:space="preserve"> </w:t>
      </w:r>
      <w:r w:rsidR="00C345EE">
        <w:t>Random</w:t>
      </w:r>
      <w:r w:rsidR="009A0847">
        <w:t xml:space="preserve"> </w:t>
      </w:r>
      <w:r w:rsidR="00980E54">
        <w:t>DW</w:t>
      </w:r>
      <w:r w:rsidR="009A0847">
        <w:t xml:space="preserve"> </w:t>
      </w:r>
      <w:r w:rsidR="00980E54">
        <w:t>borrowing</w:t>
      </w:r>
    </w:p>
    <w:p w14:paraId="4CCFFC47" w14:textId="7D1B84BD" w:rsidR="00175EC6" w:rsidRPr="0010084B" w:rsidRDefault="00C536C4" w:rsidP="00F86E09">
      <w:pPr>
        <w:pStyle w:val="Olivier1"/>
        <w:widowControl w:val="0"/>
      </w:pPr>
      <w:r w:rsidRPr="0010084B">
        <w:t>We</w:t>
      </w:r>
      <w:r w:rsidR="009A0847">
        <w:t xml:space="preserve"> </w:t>
      </w:r>
      <w:r w:rsidRPr="0010084B">
        <w:t>now</w:t>
      </w:r>
      <w:r w:rsidR="009A0847">
        <w:t xml:space="preserve"> </w:t>
      </w:r>
      <w:r w:rsidRPr="0010084B">
        <w:t>assume</w:t>
      </w:r>
      <w:r w:rsidR="009A0847">
        <w:t xml:space="preserve"> </w:t>
      </w:r>
      <w:r w:rsidRPr="0010084B">
        <w:t>that</w:t>
      </w:r>
      <w:r w:rsidR="000A0507">
        <w:t>,</w:t>
      </w:r>
      <w:r w:rsidR="009A0847">
        <w:t xml:space="preserve"> </w:t>
      </w:r>
      <w:r w:rsidR="000A0507">
        <w:t>before</w:t>
      </w:r>
      <w:r w:rsidR="009A0847">
        <w:t xml:space="preserve"> </w:t>
      </w:r>
      <w:r w:rsidR="000A0507">
        <w:t>a</w:t>
      </w:r>
      <w:r w:rsidR="009A0847">
        <w:t xml:space="preserve"> </w:t>
      </w:r>
      <w:r w:rsidR="000A0507">
        <w:t>bank</w:t>
      </w:r>
      <w:r w:rsidR="009A0847">
        <w:t xml:space="preserve"> </w:t>
      </w:r>
      <w:r w:rsidR="000A0507">
        <w:t>learns</w:t>
      </w:r>
      <w:r w:rsidR="009A0847">
        <w:t xml:space="preserve"> </w:t>
      </w:r>
      <w:r w:rsidR="000A0507">
        <w:t>its</w:t>
      </w:r>
      <w:r w:rsidR="009A0847">
        <w:t xml:space="preserve"> </w:t>
      </w:r>
      <w:r w:rsidR="000A0507">
        <w:t>type,</w:t>
      </w:r>
      <w:r w:rsidR="009A0847">
        <w:t xml:space="preserve"> </w:t>
      </w:r>
      <w:r w:rsidR="000A0507">
        <w:t>it</w:t>
      </w:r>
      <w:r w:rsidR="009A0847">
        <w:t xml:space="preserve"> </w:t>
      </w:r>
      <w:r w:rsidR="00175EC6" w:rsidRPr="0010084B">
        <w:t>faces</w:t>
      </w:r>
      <w:r w:rsidR="009A0847">
        <w:t xml:space="preserve"> </w:t>
      </w:r>
      <w:r w:rsidR="00175EC6" w:rsidRPr="0010084B">
        <w:t>a</w:t>
      </w:r>
      <w:r w:rsidR="009A0847">
        <w:t xml:space="preserve"> </w:t>
      </w:r>
      <w:r w:rsidR="00175EC6" w:rsidRPr="0010084B">
        <w:t>probability</w:t>
      </w:r>
      <w:r w:rsidR="009A0847">
        <w:t xml:space="preserve"> </w:t>
      </w:r>
      <m:oMath>
        <m:r>
          <w:rPr>
            <w:rFonts w:ascii="Cambria Math" w:hAnsi="Cambria Math"/>
            <w:sz w:val="22"/>
            <w:szCs w:val="22"/>
          </w:rPr>
          <m:t>α</m:t>
        </m:r>
      </m:oMath>
      <w:r w:rsidR="009A0847">
        <w:t xml:space="preserve"> </w:t>
      </w:r>
      <w:r w:rsidR="00175EC6" w:rsidRPr="0010084B">
        <w:t>of</w:t>
      </w:r>
      <w:r w:rsidR="009A0847">
        <w:t xml:space="preserve"> </w:t>
      </w:r>
      <w:r w:rsidR="00175EC6" w:rsidRPr="0010084B">
        <w:t>being</w:t>
      </w:r>
      <w:r w:rsidR="009A0847">
        <w:t xml:space="preserve"> </w:t>
      </w:r>
      <w:r w:rsidR="00175EC6" w:rsidRPr="0010084B">
        <w:t>selected</w:t>
      </w:r>
      <w:r w:rsidR="0067731F">
        <w:t>,</w:t>
      </w:r>
      <w:r w:rsidR="009A0847">
        <w:t xml:space="preserve"> </w:t>
      </w:r>
      <w:r w:rsidR="00175EC6" w:rsidRPr="0010084B">
        <w:t>in</w:t>
      </w:r>
      <w:r w:rsidR="009A0847">
        <w:t xml:space="preserve"> </w:t>
      </w:r>
      <w:r w:rsidR="00175EC6" w:rsidRPr="0010084B">
        <w:t>which</w:t>
      </w:r>
      <w:r w:rsidR="009A0847">
        <w:t xml:space="preserve"> </w:t>
      </w:r>
      <w:r w:rsidR="00175EC6" w:rsidRPr="0010084B">
        <w:t>case</w:t>
      </w:r>
      <w:r w:rsidR="009A0847">
        <w:t xml:space="preserve"> </w:t>
      </w:r>
      <w:r w:rsidR="00175EC6" w:rsidRPr="0010084B">
        <w:t>it</w:t>
      </w:r>
      <w:r w:rsidR="009A0847">
        <w:t xml:space="preserve"> </w:t>
      </w:r>
      <w:r w:rsidR="00175EC6" w:rsidRPr="0010084B">
        <w:t>has</w:t>
      </w:r>
      <w:r w:rsidR="009A0847">
        <w:t xml:space="preserve"> </w:t>
      </w:r>
      <w:r w:rsidR="00175EC6" w:rsidRPr="0010084B">
        <w:t>to</w:t>
      </w:r>
      <w:r w:rsidR="009A0847">
        <w:t xml:space="preserve"> </w:t>
      </w:r>
      <w:r w:rsidR="00175EC6" w:rsidRPr="0010084B">
        <w:t>borrow</w:t>
      </w:r>
      <w:r w:rsidR="009A0847">
        <w:t xml:space="preserve"> </w:t>
      </w:r>
      <w:r w:rsidR="00175EC6" w:rsidRPr="0010084B">
        <w:t>at</w:t>
      </w:r>
      <w:r w:rsidR="009A0847">
        <w:t xml:space="preserve"> </w:t>
      </w:r>
      <w:r w:rsidR="00175EC6" w:rsidRPr="0010084B">
        <w:t>the</w:t>
      </w:r>
      <w:r w:rsidR="009A0847">
        <w:t xml:space="preserve"> </w:t>
      </w:r>
      <w:r w:rsidR="00175EC6" w:rsidRPr="0010084B">
        <w:t>DW</w:t>
      </w:r>
      <w:r w:rsidR="009A0847">
        <w:t xml:space="preserve"> </w:t>
      </w:r>
      <w:r w:rsidR="00175EC6" w:rsidRPr="0010084B">
        <w:t>in</w:t>
      </w:r>
      <w:r w:rsidR="009A0847">
        <w:t xml:space="preserve"> </w:t>
      </w:r>
      <w:r w:rsidR="00175EC6" w:rsidRPr="0010084B">
        <w:t>period</w:t>
      </w:r>
      <w:r w:rsidR="009A0847">
        <w:t xml:space="preserve"> </w:t>
      </w:r>
      <w:r w:rsidR="00175EC6" w:rsidRPr="0010084B">
        <w:t>1.</w:t>
      </w:r>
      <w:r w:rsidR="009A0847">
        <w:t xml:space="preserve"> </w:t>
      </w:r>
      <w:r w:rsidR="00175EC6" w:rsidRPr="0010084B">
        <w:t>The</w:t>
      </w:r>
      <w:r w:rsidR="009A0847">
        <w:t xml:space="preserve"> </w:t>
      </w:r>
      <w:r w:rsidR="00175EC6" w:rsidRPr="0010084B">
        <w:t>illiquid</w:t>
      </w:r>
      <w:r w:rsidR="009A0847">
        <w:t xml:space="preserve"> </w:t>
      </w:r>
      <w:r w:rsidR="00175EC6" w:rsidRPr="0010084B">
        <w:t>banks</w:t>
      </w:r>
      <w:r w:rsidR="009A0847">
        <w:t xml:space="preserve"> </w:t>
      </w:r>
      <w:r w:rsidR="00175EC6" w:rsidRPr="0010084B">
        <w:t>that</w:t>
      </w:r>
      <w:r w:rsidR="009A0847">
        <w:t xml:space="preserve"> </w:t>
      </w:r>
      <w:r w:rsidR="00175EC6" w:rsidRPr="0010084B">
        <w:t>have</w:t>
      </w:r>
      <w:r w:rsidR="009A0847">
        <w:t xml:space="preserve"> </w:t>
      </w:r>
      <w:r w:rsidR="00175EC6" w:rsidRPr="0010084B">
        <w:t>not</w:t>
      </w:r>
      <w:r w:rsidR="009A0847">
        <w:t xml:space="preserve"> </w:t>
      </w:r>
      <w:r w:rsidR="00175EC6" w:rsidRPr="0010084B">
        <w:t>been</w:t>
      </w:r>
      <w:r w:rsidR="009A0847">
        <w:t xml:space="preserve"> </w:t>
      </w:r>
      <w:r w:rsidR="00175EC6" w:rsidRPr="0010084B">
        <w:t>selected</w:t>
      </w:r>
      <w:r w:rsidR="009A0847">
        <w:t xml:space="preserve"> </w:t>
      </w:r>
      <w:r w:rsidR="00175EC6" w:rsidRPr="0010084B">
        <w:t>must</w:t>
      </w:r>
      <w:r w:rsidR="009A0847">
        <w:t xml:space="preserve"> </w:t>
      </w:r>
      <w:r w:rsidR="00175EC6" w:rsidRPr="0010084B">
        <w:t>then</w:t>
      </w:r>
      <w:r w:rsidR="009A0847">
        <w:t xml:space="preserve"> </w:t>
      </w:r>
      <w:r w:rsidR="00175EC6" w:rsidRPr="0010084B">
        <w:t>decide</w:t>
      </w:r>
      <w:r w:rsidR="009A0847">
        <w:t xml:space="preserve"> </w:t>
      </w:r>
      <w:r w:rsidR="000A0507">
        <w:t>in</w:t>
      </w:r>
      <w:r w:rsidR="009A0847">
        <w:t xml:space="preserve"> </w:t>
      </w:r>
      <w:r w:rsidR="000A0507">
        <w:t>period</w:t>
      </w:r>
      <w:r w:rsidR="009A0847">
        <w:t xml:space="preserve"> </w:t>
      </w:r>
      <w:r w:rsidR="000A0507">
        <w:t>1</w:t>
      </w:r>
      <w:r w:rsidR="009A0847">
        <w:t xml:space="preserve"> </w:t>
      </w:r>
      <w:r w:rsidR="00175EC6" w:rsidRPr="0010084B">
        <w:t>whether</w:t>
      </w:r>
      <w:r w:rsidR="009A0847">
        <w:t xml:space="preserve"> </w:t>
      </w:r>
      <w:r w:rsidR="00175EC6" w:rsidRPr="0010084B">
        <w:t>or</w:t>
      </w:r>
      <w:r w:rsidR="009A0847">
        <w:t xml:space="preserve"> </w:t>
      </w:r>
      <w:r w:rsidR="00175EC6" w:rsidRPr="0010084B">
        <w:t>not</w:t>
      </w:r>
      <w:r w:rsidR="009A0847">
        <w:t xml:space="preserve"> </w:t>
      </w:r>
      <w:r w:rsidR="00175EC6" w:rsidRPr="0010084B">
        <w:t>to</w:t>
      </w:r>
      <w:r w:rsidR="009A0847">
        <w:t xml:space="preserve"> </w:t>
      </w:r>
      <w:r w:rsidR="00175EC6" w:rsidRPr="0010084B">
        <w:t>borrow</w:t>
      </w:r>
      <w:r w:rsidR="009A0847">
        <w:t xml:space="preserve"> </w:t>
      </w:r>
      <w:r w:rsidR="00175EC6" w:rsidRPr="0010084B">
        <w:t>voluntarily</w:t>
      </w:r>
      <w:r w:rsidR="009A0847">
        <w:t xml:space="preserve"> </w:t>
      </w:r>
      <w:r w:rsidR="00175EC6" w:rsidRPr="0010084B">
        <w:t>at</w:t>
      </w:r>
      <w:r w:rsidR="009A0847">
        <w:t xml:space="preserve"> </w:t>
      </w:r>
      <w:r w:rsidR="00175EC6" w:rsidRPr="0010084B">
        <w:t>the</w:t>
      </w:r>
      <w:r w:rsidR="009A0847">
        <w:t xml:space="preserve"> </w:t>
      </w:r>
      <w:r w:rsidR="00175EC6" w:rsidRPr="0010084B">
        <w:t>DW.</w:t>
      </w:r>
      <w:r w:rsidR="009A0847">
        <w:t xml:space="preserve"> </w:t>
      </w:r>
      <w:r w:rsidR="00175EC6" w:rsidRPr="0010084B">
        <w:t>Thus,</w:t>
      </w:r>
      <w:r w:rsidR="009A0847">
        <w:t xml:space="preserve"> </w:t>
      </w:r>
      <w:r w:rsidR="00175EC6" w:rsidRPr="0010084B">
        <w:t>we</w:t>
      </w:r>
      <w:r w:rsidR="009A0847">
        <w:t xml:space="preserve"> </w:t>
      </w:r>
      <w:r w:rsidR="00175EC6" w:rsidRPr="0010084B">
        <w:t>now</w:t>
      </w:r>
      <w:r w:rsidR="009A0847">
        <w:t xml:space="preserve"> </w:t>
      </w:r>
      <w:r w:rsidR="00175EC6" w:rsidRPr="0010084B">
        <w:t>have</w:t>
      </w:r>
      <w:r w:rsidR="009A0847">
        <w:t xml:space="preserve"> </w:t>
      </w:r>
      <w:r w:rsidR="00175EC6" w:rsidRPr="0010084B">
        <w:t>two</w:t>
      </w:r>
      <w:r w:rsidR="009A0847">
        <w:t xml:space="preserve"> </w:t>
      </w:r>
      <w:r w:rsidR="00175EC6" w:rsidRPr="0010084B">
        <w:t>kinds</w:t>
      </w:r>
      <w:r w:rsidR="009A0847">
        <w:t xml:space="preserve"> </w:t>
      </w:r>
      <w:r w:rsidR="00175EC6" w:rsidRPr="0010084B">
        <w:t>of</w:t>
      </w:r>
      <w:r w:rsidR="009A0847">
        <w:t xml:space="preserve"> </w:t>
      </w:r>
      <w:r w:rsidR="00175EC6" w:rsidRPr="0010084B">
        <w:t>DW</w:t>
      </w:r>
      <w:r w:rsidR="009A0847">
        <w:t xml:space="preserve"> </w:t>
      </w:r>
      <w:r w:rsidR="00175EC6" w:rsidRPr="0010084B">
        <w:t>borrowers:</w:t>
      </w:r>
      <w:r w:rsidR="009A0847">
        <w:t xml:space="preserve"> </w:t>
      </w:r>
      <w:r w:rsidR="00175EC6" w:rsidRPr="0010084B">
        <w:t>voluntary</w:t>
      </w:r>
      <w:r w:rsidR="009A0847">
        <w:t xml:space="preserve"> </w:t>
      </w:r>
      <w:r w:rsidR="00175EC6" w:rsidRPr="0010084B">
        <w:t>borrowers</w:t>
      </w:r>
      <w:r w:rsidR="009A0847">
        <w:t xml:space="preserve"> </w:t>
      </w:r>
      <w:r w:rsidR="00175EC6" w:rsidRPr="0010084B">
        <w:t>(that</w:t>
      </w:r>
      <w:r w:rsidR="009A0847">
        <w:t xml:space="preserve"> </w:t>
      </w:r>
      <w:r w:rsidR="00175EC6" w:rsidRPr="0010084B">
        <w:t>are</w:t>
      </w:r>
      <w:r w:rsidR="009A0847">
        <w:t xml:space="preserve"> </w:t>
      </w:r>
      <w:r w:rsidR="00175EC6" w:rsidRPr="0010084B">
        <w:t>necessarily</w:t>
      </w:r>
      <w:r w:rsidR="009A0847">
        <w:t xml:space="preserve"> </w:t>
      </w:r>
      <w:r w:rsidR="00175EC6" w:rsidRPr="0010084B">
        <w:t>illiquid)</w:t>
      </w:r>
      <w:r w:rsidR="009A0847">
        <w:t xml:space="preserve"> </w:t>
      </w:r>
      <w:r w:rsidR="00175EC6" w:rsidRPr="0010084B">
        <w:t>and</w:t>
      </w:r>
      <w:r w:rsidR="009A0847">
        <w:t xml:space="preserve"> </w:t>
      </w:r>
      <w:r w:rsidR="00175EC6" w:rsidRPr="0010084B">
        <w:t>involuntary</w:t>
      </w:r>
      <w:r w:rsidR="009A0847">
        <w:t xml:space="preserve"> </w:t>
      </w:r>
      <w:r w:rsidR="00175EC6" w:rsidRPr="0010084B">
        <w:t>borrowers</w:t>
      </w:r>
      <w:r w:rsidR="009A0847">
        <w:t xml:space="preserve"> </w:t>
      </w:r>
      <w:r w:rsidR="00175EC6" w:rsidRPr="0010084B">
        <w:t>(that</w:t>
      </w:r>
      <w:r w:rsidR="009A0847">
        <w:t xml:space="preserve"> </w:t>
      </w:r>
      <w:r w:rsidR="00175EC6" w:rsidRPr="0010084B">
        <w:t>may</w:t>
      </w:r>
      <w:r w:rsidR="009A0847">
        <w:t xml:space="preserve"> </w:t>
      </w:r>
      <w:r w:rsidR="00175EC6" w:rsidRPr="0010084B">
        <w:t>be</w:t>
      </w:r>
      <w:r w:rsidR="009A0847">
        <w:t xml:space="preserve"> </w:t>
      </w:r>
      <w:r w:rsidR="00175EC6" w:rsidRPr="0010084B">
        <w:t>of</w:t>
      </w:r>
      <w:r w:rsidR="009A0847">
        <w:t xml:space="preserve"> </w:t>
      </w:r>
      <w:r w:rsidR="00175EC6" w:rsidRPr="0010084B">
        <w:t>any</w:t>
      </w:r>
      <w:r w:rsidR="009A0847">
        <w:t xml:space="preserve"> </w:t>
      </w:r>
      <w:r w:rsidR="00175EC6" w:rsidRPr="0010084B">
        <w:t>type,</w:t>
      </w:r>
      <w:r w:rsidR="009A0847">
        <w:t xml:space="preserve"> </w:t>
      </w:r>
      <w:r w:rsidR="00175EC6" w:rsidRPr="0010084B">
        <w:t>i.e.</w:t>
      </w:r>
      <w:r w:rsidR="009A0847">
        <w:t xml:space="preserve"> </w:t>
      </w:r>
      <w:r w:rsidR="00175EC6" w:rsidRPr="0010084B">
        <w:t>liquid</w:t>
      </w:r>
      <w:r w:rsidR="009A0847">
        <w:t xml:space="preserve"> </w:t>
      </w:r>
      <w:r w:rsidR="00175EC6" w:rsidRPr="0010084B">
        <w:t>or</w:t>
      </w:r>
      <w:r w:rsidR="009A0847">
        <w:t xml:space="preserve"> </w:t>
      </w:r>
      <w:r w:rsidR="00175EC6" w:rsidRPr="0010084B">
        <w:t>illiquid,</w:t>
      </w:r>
      <w:r w:rsidR="009A0847">
        <w:t xml:space="preserve"> </w:t>
      </w:r>
      <w:r w:rsidR="00175EC6" w:rsidRPr="0010084B">
        <w:t>solvent</w:t>
      </w:r>
      <w:r w:rsidR="009A0847">
        <w:t xml:space="preserve"> </w:t>
      </w:r>
      <w:r w:rsidR="00175EC6" w:rsidRPr="0010084B">
        <w:t>or</w:t>
      </w:r>
      <w:r w:rsidR="009A0847">
        <w:t xml:space="preserve"> </w:t>
      </w:r>
      <w:r w:rsidR="00175EC6" w:rsidRPr="0010084B">
        <w:t>insolvent).</w:t>
      </w:r>
    </w:p>
    <w:p w14:paraId="31BB8A6E" w14:textId="5F5CBC41" w:rsidR="00A86ADD" w:rsidRPr="009554EB" w:rsidRDefault="008B6FD1" w:rsidP="009554EB">
      <w:pPr>
        <w:pStyle w:val="Olivier1"/>
        <w:widowControl w:val="0"/>
        <w:ind w:firstLine="360"/>
      </w:pPr>
      <w:r w:rsidRPr="0010084B">
        <w:lastRenderedPageBreak/>
        <w:t>To</w:t>
      </w:r>
      <w:r w:rsidR="009A0847">
        <w:t xml:space="preserve"> </w:t>
      </w:r>
      <w:r w:rsidRPr="0010084B">
        <w:t>simplify,</w:t>
      </w:r>
      <w:r w:rsidR="009A0847">
        <w:t xml:space="preserve"> </w:t>
      </w:r>
      <w:r w:rsidRPr="0010084B">
        <w:t>we</w:t>
      </w:r>
      <w:r w:rsidR="009A0847">
        <w:t xml:space="preserve"> </w:t>
      </w:r>
      <w:r w:rsidRPr="0010084B">
        <w:t>assume</w:t>
      </w:r>
      <w:r w:rsidR="009A0847">
        <w:t xml:space="preserve"> </w:t>
      </w:r>
      <w:r w:rsidR="008671B6">
        <w:t>that</w:t>
      </w:r>
      <w:r w:rsidR="009A0847">
        <w:t xml:space="preserve"> </w:t>
      </w:r>
      <w:r w:rsidR="00175EC6" w:rsidRPr="0010084B">
        <w:t>all</w:t>
      </w:r>
      <w:r w:rsidR="009A0847">
        <w:t xml:space="preserve"> </w:t>
      </w:r>
      <w:r w:rsidR="00175EC6" w:rsidRPr="0010084B">
        <w:t>DW</w:t>
      </w:r>
      <w:r w:rsidR="009A0847">
        <w:t xml:space="preserve"> </w:t>
      </w:r>
      <w:r w:rsidR="00175EC6" w:rsidRPr="0010084B">
        <w:t>borrowers</w:t>
      </w:r>
      <w:r w:rsidR="009A0847">
        <w:t xml:space="preserve"> </w:t>
      </w:r>
      <w:r w:rsidR="00175EC6" w:rsidRPr="0010084B">
        <w:t>(i.e.</w:t>
      </w:r>
      <w:r w:rsidR="009A0847">
        <w:t xml:space="preserve"> </w:t>
      </w:r>
      <w:r w:rsidRPr="0010084B">
        <w:t>voluntary</w:t>
      </w:r>
      <w:r w:rsidR="009A0847">
        <w:t xml:space="preserve"> </w:t>
      </w:r>
      <w:r w:rsidRPr="0010084B">
        <w:t>and</w:t>
      </w:r>
      <w:r w:rsidR="009A0847">
        <w:t xml:space="preserve"> </w:t>
      </w:r>
      <w:r w:rsidRPr="0010084B">
        <w:t>involuntar</w:t>
      </w:r>
      <w:r w:rsidR="00ED2E02" w:rsidRPr="0010084B">
        <w:t>y</w:t>
      </w:r>
      <w:r w:rsidR="00175EC6" w:rsidRPr="0010084B">
        <w:t>)</w:t>
      </w:r>
      <w:r w:rsidR="009A0847">
        <w:t xml:space="preserve"> </w:t>
      </w:r>
      <w:r w:rsidR="00ED2E02" w:rsidRPr="0010084B">
        <w:t>borrow</w:t>
      </w:r>
      <w:r w:rsidR="009A0847">
        <w:t xml:space="preserve"> </w:t>
      </w:r>
      <w:r w:rsidR="00ED2E02" w:rsidRPr="0010084B">
        <w:t>1</w:t>
      </w:r>
      <w:r w:rsidR="009A0847">
        <w:t xml:space="preserve"> </w:t>
      </w:r>
      <w:r w:rsidR="00ED2E02" w:rsidRPr="0010084B">
        <w:t>unit</w:t>
      </w:r>
      <w:r w:rsidR="009A0847">
        <w:t xml:space="preserve"> </w:t>
      </w:r>
      <w:r w:rsidR="00ED2E02" w:rsidRPr="0010084B">
        <w:t>of</w:t>
      </w:r>
      <w:r w:rsidR="009A0847">
        <w:t xml:space="preserve"> </w:t>
      </w:r>
      <w:r w:rsidR="00ED2E02" w:rsidRPr="0010084B">
        <w:t>liquidity</w:t>
      </w:r>
      <w:r w:rsidR="009A0847">
        <w:t xml:space="preserve"> </w:t>
      </w:r>
      <w:r w:rsidR="00175EC6" w:rsidRPr="0010084B">
        <w:t>at</w:t>
      </w:r>
      <w:r w:rsidR="009A0847">
        <w:t xml:space="preserve"> </w:t>
      </w:r>
      <w:r w:rsidR="00175EC6" w:rsidRPr="0010084B">
        <w:t>a</w:t>
      </w:r>
      <w:r w:rsidR="009A0847">
        <w:t xml:space="preserve"> </w:t>
      </w:r>
      <w:r w:rsidR="00ED2E02" w:rsidRPr="0010084B">
        <w:t>cost</w:t>
      </w:r>
      <w:r w:rsidR="009A0847">
        <w:t xml:space="preserve"> </w:t>
      </w:r>
      <m:oMath>
        <m:r>
          <w:rPr>
            <w:rFonts w:ascii="Cambria Math" w:hAnsi="Cambria Math"/>
            <w:sz w:val="22"/>
            <w:szCs w:val="22"/>
          </w:rPr>
          <m:t>dw</m:t>
        </m:r>
      </m:oMath>
      <w:r w:rsidR="00ED2E02" w:rsidRPr="0010084B">
        <w:t>.</w:t>
      </w:r>
      <w:r w:rsidR="009A0847">
        <w:t xml:space="preserve"> </w:t>
      </w:r>
      <w:r w:rsidR="00ED2E02" w:rsidRPr="0010084B">
        <w:t>Further,</w:t>
      </w:r>
      <w:r w:rsidR="009A0847">
        <w:t xml:space="preserve"> </w:t>
      </w:r>
      <w:r w:rsidR="00ED2E02" w:rsidRPr="0010084B">
        <w:t>voluntary</w:t>
      </w:r>
      <w:r w:rsidR="009A0847">
        <w:t xml:space="preserve"> </w:t>
      </w:r>
      <w:r w:rsidR="00ED2E02" w:rsidRPr="0010084B">
        <w:t>and</w:t>
      </w:r>
      <w:r w:rsidR="009A0847">
        <w:t xml:space="preserve"> </w:t>
      </w:r>
      <w:r w:rsidR="00ED2E02" w:rsidRPr="0010084B">
        <w:t>involuntary</w:t>
      </w:r>
      <w:r w:rsidR="009A0847">
        <w:t xml:space="preserve"> </w:t>
      </w:r>
      <w:r w:rsidR="00ED2E02" w:rsidRPr="0010084B">
        <w:t>borrowers</w:t>
      </w:r>
      <w:r w:rsidR="009A0847">
        <w:t xml:space="preserve"> </w:t>
      </w:r>
      <w:r w:rsidR="00ED2E02" w:rsidRPr="0010084B">
        <w:t>are</w:t>
      </w:r>
      <w:r w:rsidR="009A0847">
        <w:t xml:space="preserve"> </w:t>
      </w:r>
      <w:r w:rsidRPr="0010084B">
        <w:t>indistinguishable</w:t>
      </w:r>
      <w:r w:rsidR="009A0847">
        <w:t xml:space="preserve"> </w:t>
      </w:r>
      <w:r w:rsidRPr="0010084B">
        <w:t>from</w:t>
      </w:r>
      <w:r w:rsidR="009A0847">
        <w:t xml:space="preserve"> </w:t>
      </w:r>
      <w:r w:rsidRPr="0010084B">
        <w:t>the</w:t>
      </w:r>
      <w:r w:rsidR="009A0847">
        <w:t xml:space="preserve"> </w:t>
      </w:r>
      <w:r w:rsidRPr="0010084B">
        <w:t>perspective</w:t>
      </w:r>
      <w:r w:rsidR="009A0847">
        <w:t xml:space="preserve"> </w:t>
      </w:r>
      <w:r w:rsidRPr="0010084B">
        <w:t>of</w:t>
      </w:r>
      <w:r w:rsidR="009A0847">
        <w:t xml:space="preserve"> </w:t>
      </w:r>
      <w:r w:rsidRPr="0010084B">
        <w:t>the</w:t>
      </w:r>
      <w:r w:rsidR="009A0847">
        <w:t xml:space="preserve"> </w:t>
      </w:r>
      <w:r w:rsidRPr="0010084B">
        <w:t>investor</w:t>
      </w:r>
      <w:r w:rsidR="009A0847">
        <w:t xml:space="preserve"> </w:t>
      </w:r>
      <w:r w:rsidR="00B163CE">
        <w:t>and</w:t>
      </w:r>
      <w:r w:rsidR="009A0847">
        <w:t xml:space="preserve"> </w:t>
      </w:r>
      <w:r w:rsidR="008671B6">
        <w:t>they</w:t>
      </w:r>
      <w:r w:rsidR="009A0847">
        <w:t xml:space="preserve"> </w:t>
      </w:r>
      <w:r w:rsidR="00B163CE">
        <w:t>face</w:t>
      </w:r>
      <w:r w:rsidR="009A0847">
        <w:t xml:space="preserve"> </w:t>
      </w:r>
      <w:r w:rsidR="00B163CE">
        <w:t>the</w:t>
      </w:r>
      <w:r w:rsidR="009A0847">
        <w:t xml:space="preserve"> </w:t>
      </w:r>
      <w:r w:rsidR="00B163CE">
        <w:t>same</w:t>
      </w:r>
      <w:r w:rsidR="009A0847">
        <w:t xml:space="preserve"> </w:t>
      </w:r>
      <w:r w:rsidR="00B163CE">
        <w:t>endogenous</w:t>
      </w:r>
      <w:r w:rsidR="009A0847">
        <w:t xml:space="preserve"> </w:t>
      </w:r>
      <w:r w:rsidR="00B163CE">
        <w:t>detection</w:t>
      </w:r>
      <w:r w:rsidR="009A0847">
        <w:t xml:space="preserve"> </w:t>
      </w:r>
      <w:r w:rsidR="00B163CE">
        <w:t>probability</w:t>
      </w:r>
      <w:r w:rsidR="009A0847">
        <w:t xml:space="preserve"> </w:t>
      </w:r>
      <m:oMath>
        <m:r>
          <w:rPr>
            <w:rFonts w:ascii="Cambria Math" w:hAnsi="Cambria Math"/>
            <w:sz w:val="22"/>
            <w:szCs w:val="22"/>
          </w:rPr>
          <m:t>θ</m:t>
        </m:r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n+</m:t>
            </m:r>
            <m:acc>
              <m:accPr>
                <m:chr m:val="̃"/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acc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n</m:t>
                </m:r>
              </m:e>
            </m:acc>
          </m:e>
        </m:d>
      </m:oMath>
      <w:r w:rsidR="00D5313E" w:rsidRPr="0010084B">
        <w:t>,</w:t>
      </w:r>
      <w:r w:rsidR="009A0847">
        <w:t xml:space="preserve"> </w:t>
      </w:r>
      <w:r w:rsidR="00BA3C1D" w:rsidRPr="0010084B">
        <w:t>where</w:t>
      </w:r>
      <w:r w:rsidR="009A0847">
        <w:t xml:space="preserve"> </w:t>
      </w:r>
      <m:oMath>
        <m:r>
          <w:rPr>
            <w:rFonts w:ascii="Cambria Math" w:hAnsi="Cambria Math"/>
            <w:sz w:val="22"/>
            <w:szCs w:val="22"/>
          </w:rPr>
          <m:t>n</m:t>
        </m:r>
      </m:oMath>
      <w:r w:rsidR="009A0847">
        <w:t xml:space="preserve"> </w:t>
      </w:r>
      <w:r w:rsidR="0088541D">
        <w:t xml:space="preserve">and </w:t>
      </w:r>
      <m:oMath>
        <m:acc>
          <m:accPr>
            <m:chr m:val="̃"/>
            <m:ctrlPr>
              <w:rPr>
                <w:rFonts w:ascii="Cambria Math" w:hAnsi="Cambria Math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/>
                <w:sz w:val="22"/>
                <w:szCs w:val="22"/>
              </w:rPr>
              <m:t>n</m:t>
            </m:r>
          </m:e>
        </m:acc>
      </m:oMath>
      <w:r w:rsidR="0088541D">
        <w:t xml:space="preserve"> are</w:t>
      </w:r>
      <w:r w:rsidR="009A0847">
        <w:t xml:space="preserve"> </w:t>
      </w:r>
      <w:r w:rsidR="00BA3C1D" w:rsidRPr="0010084B">
        <w:t>the</w:t>
      </w:r>
      <w:r w:rsidR="009A0847">
        <w:t xml:space="preserve"> </w:t>
      </w:r>
      <w:r w:rsidR="00BA3C1D" w:rsidRPr="0010084B">
        <w:t>number</w:t>
      </w:r>
      <w:r w:rsidR="009A0847">
        <w:t xml:space="preserve"> </w:t>
      </w:r>
      <w:r w:rsidR="00BA3C1D" w:rsidRPr="0010084B">
        <w:t>of</w:t>
      </w:r>
      <w:r w:rsidR="009A0847">
        <w:t xml:space="preserve"> </w:t>
      </w:r>
      <w:r w:rsidR="00BA3C1D" w:rsidRPr="0010084B">
        <w:t>banks</w:t>
      </w:r>
      <w:r w:rsidR="009A0847">
        <w:t xml:space="preserve"> </w:t>
      </w:r>
      <w:r w:rsidR="00BA3C1D" w:rsidRPr="0010084B">
        <w:t>that</w:t>
      </w:r>
      <w:r w:rsidR="009A0847">
        <w:t xml:space="preserve"> </w:t>
      </w:r>
      <w:r w:rsidR="00BA3C1D" w:rsidRPr="0010084B">
        <w:t>borrow</w:t>
      </w:r>
      <w:r w:rsidR="009A0847">
        <w:t xml:space="preserve"> </w:t>
      </w:r>
      <w:r w:rsidR="00BA3C1D" w:rsidRPr="0010084B">
        <w:t>at</w:t>
      </w:r>
      <w:r w:rsidR="009A0847">
        <w:t xml:space="preserve"> </w:t>
      </w:r>
      <w:r w:rsidR="00BA3C1D" w:rsidRPr="0010084B">
        <w:t>the</w:t>
      </w:r>
      <w:r w:rsidR="009A0847">
        <w:t xml:space="preserve"> </w:t>
      </w:r>
      <w:r w:rsidR="00BA3C1D" w:rsidRPr="0010084B">
        <w:t>DW</w:t>
      </w:r>
      <w:r w:rsidR="009A0847">
        <w:t xml:space="preserve"> </w:t>
      </w:r>
      <w:r w:rsidR="008671B6">
        <w:t>voluntarily</w:t>
      </w:r>
      <w:r w:rsidR="009A0847">
        <w:t xml:space="preserve"> </w:t>
      </w:r>
      <w:r w:rsidR="008671B6">
        <w:t>and</w:t>
      </w:r>
      <w:r w:rsidR="009A0847">
        <w:t xml:space="preserve"> </w:t>
      </w:r>
      <w:r w:rsidR="00BA3C1D" w:rsidRPr="0010084B">
        <w:t>involuntarily</w:t>
      </w:r>
      <w:r w:rsidR="00183EDE">
        <w:t>, res</w:t>
      </w:r>
      <w:r w:rsidR="00D75A05">
        <w:t>p</w:t>
      </w:r>
      <w:r w:rsidR="00183EDE">
        <w:t>ectively</w:t>
      </w:r>
      <w:r w:rsidR="00BA3C1D" w:rsidRPr="0010084B">
        <w:t>.</w:t>
      </w:r>
      <w:r w:rsidR="0029167B" w:rsidRPr="00A75740">
        <w:rPr>
          <w:rStyle w:val="FootnoteReference"/>
          <w:szCs w:val="24"/>
        </w:rPr>
        <w:footnoteReference w:id="24"/>
      </w:r>
      <w:r w:rsidR="009A0847">
        <w:t xml:space="preserve"> </w:t>
      </w:r>
      <w:r w:rsidR="0099136E">
        <w:t>Let</w:t>
      </w:r>
      <w:r w:rsidR="009A0847">
        <w:t xml:space="preserve"> </w:t>
      </w:r>
      <w:r w:rsidR="0099136E">
        <w:t>us</w:t>
      </w:r>
      <w:r w:rsidR="009A0847">
        <w:t xml:space="preserve"> </w:t>
      </w:r>
      <w:r w:rsidR="0099136E">
        <w:t>define</w:t>
      </w:r>
      <w:r w:rsidR="009A0847">
        <w:t xml:space="preserve"> </w:t>
      </w:r>
      <w:r w:rsidR="0099136E">
        <w:t>the</w:t>
      </w:r>
      <w:r w:rsidR="009A0847">
        <w:t xml:space="preserve"> </w:t>
      </w:r>
      <w:r w:rsidR="0099136E">
        <w:t>threshold</w:t>
      </w:r>
      <w:r w:rsidR="009A0847">
        <w:t xml:space="preserve"> </w:t>
      </w:r>
      <w:r w:rsidR="0029167B">
        <w:t>probability</w:t>
      </w:r>
      <w:r w:rsidR="009A0847"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α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0</m:t>
            </m:r>
          </m:sub>
        </m:sSub>
        <m:r>
          <w:rPr>
            <w:rFonts w:ascii="Cambria Math" w:hAnsi="Cambria Math"/>
            <w:sz w:val="22"/>
            <w:szCs w:val="22"/>
          </w:rPr>
          <m:t>=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v-</m:t>
            </m:r>
            <m:bar>
              <m:bar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bar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P</m:t>
                </m:r>
              </m:e>
            </m:bar>
            <m:r>
              <w:rPr>
                <w:rFonts w:ascii="Cambria Math" w:hAnsi="Cambria Math"/>
                <w:sz w:val="22"/>
                <w:szCs w:val="22"/>
              </w:rPr>
              <m:t>V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V(p-</m:t>
            </m:r>
            <m:bar>
              <m:bar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bar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P</m:t>
                </m:r>
              </m:e>
            </m:bar>
            <m:r>
              <w:rPr>
                <w:rFonts w:ascii="Cambria Math" w:hAnsi="Cambria Math"/>
                <w:sz w:val="22"/>
                <w:szCs w:val="22"/>
              </w:rPr>
              <m:t>)</m:t>
            </m:r>
          </m:den>
        </m:f>
      </m:oMath>
      <w:r w:rsidR="009A0847">
        <w:t xml:space="preserve"> </w:t>
      </w:r>
      <w:r w:rsidR="00672049">
        <w:t>and</w:t>
      </w:r>
      <w:r w:rsidR="009A0847">
        <w:t xml:space="preserve"> </w:t>
      </w:r>
      <w:r w:rsidR="00672049">
        <w:t>the</w:t>
      </w:r>
      <w:r w:rsidR="009A0847">
        <w:t xml:space="preserve"> </w:t>
      </w:r>
      <w:r w:rsidR="00672049">
        <w:t>strategy</w:t>
      </w:r>
      <w:r w:rsidR="009A0847">
        <w:t xml:space="preserve"> </w:t>
      </w:r>
      <w:r w:rsidR="00672049">
        <w:t>profile</w:t>
      </w:r>
      <w:r w:rsidR="009A0847">
        <w:t xml:space="preserve"> </w:t>
      </w:r>
      <m:oMath>
        <m:r>
          <m:rPr>
            <m:sty m:val="bi"/>
          </m:rPr>
          <w:rPr>
            <w:rFonts w:ascii="Cambria Math" w:hAnsi="Cambria Math"/>
            <w:sz w:val="22"/>
            <w:szCs w:val="22"/>
          </w:rPr>
          <m:t>NoSt</m:t>
        </m:r>
        <m:r>
          <m:rPr>
            <m:sty m:val="b"/>
          </m:rPr>
          <w:rPr>
            <w:rFonts w:ascii="Cambria Math" w:hAnsi="Cambria Math"/>
            <w:sz w:val="22"/>
            <w:szCs w:val="22"/>
          </w:rPr>
          <m:t>'</m:t>
        </m:r>
      </m:oMath>
      <w:r w:rsidR="009A0847">
        <w:t xml:space="preserve"> </w:t>
      </w:r>
      <w:r w:rsidR="00672049" w:rsidRPr="00A75740">
        <w:t>=</w:t>
      </w:r>
      <w:r w:rsidR="009A0847">
        <w:t xml:space="preserve"> </w:t>
      </w:r>
      <w:r w:rsidR="00672049" w:rsidRPr="00A75740">
        <w:t>{Illiquid</w:t>
      </w:r>
      <w:r w:rsidR="009A0847">
        <w:t xml:space="preserve"> </w:t>
      </w:r>
      <w:r w:rsidR="00672049" w:rsidRPr="00A75740">
        <w:t>banks</w:t>
      </w:r>
      <w:r w:rsidR="009A0847">
        <w:t xml:space="preserve"> </w:t>
      </w:r>
      <w:r w:rsidR="00672049" w:rsidRPr="00A75740">
        <w:t>borrow</w:t>
      </w:r>
      <w:r w:rsidR="009A0847">
        <w:t xml:space="preserve"> </w:t>
      </w:r>
      <w:r w:rsidR="00672049" w:rsidRPr="00A75740">
        <w:t>at</w:t>
      </w:r>
      <w:r w:rsidR="009A0847">
        <w:t xml:space="preserve"> </w:t>
      </w:r>
      <w:r w:rsidR="00672049" w:rsidRPr="00A75740">
        <w:t>the</w:t>
      </w:r>
      <w:r w:rsidR="009A0847">
        <w:t xml:space="preserve"> </w:t>
      </w:r>
      <w:r w:rsidR="00672049" w:rsidRPr="00A75740">
        <w:t>DW;</w:t>
      </w:r>
      <w:r w:rsidR="009A0847">
        <w:t xml:space="preserve"> </w:t>
      </w:r>
      <w:r w:rsidR="00672049" w:rsidRPr="00A75740">
        <w:t>Investors</w:t>
      </w:r>
      <w:r w:rsidR="009A0847">
        <w:t xml:space="preserve"> </w:t>
      </w:r>
      <w:r w:rsidR="00672049" w:rsidRPr="00A75740">
        <w:t>fund</w:t>
      </w:r>
      <w:r w:rsidR="009A0847">
        <w:t xml:space="preserve"> </w:t>
      </w:r>
      <w:r w:rsidR="00672049">
        <w:t>every</w:t>
      </w:r>
      <w:r w:rsidR="009A0847">
        <w:t xml:space="preserve"> </w:t>
      </w:r>
      <w:r w:rsidR="00672049" w:rsidRPr="00A75740">
        <w:t>bank}</w:t>
      </w:r>
      <w:r w:rsidR="001F145D">
        <w:t>.</w:t>
      </w:r>
    </w:p>
    <w:p w14:paraId="515B9B3E" w14:textId="39D2F798" w:rsidR="001D5657" w:rsidRDefault="001D5657" w:rsidP="00F86E09">
      <w:pPr>
        <w:pStyle w:val="Olivier1"/>
        <w:widowControl w:val="0"/>
        <w:ind w:left="1980" w:hanging="1980"/>
      </w:pPr>
      <w:r w:rsidRPr="0010084B">
        <w:rPr>
          <w:b/>
          <w:u w:val="single"/>
        </w:rPr>
        <w:t>Proposition</w:t>
      </w:r>
      <w:r w:rsidR="009A0847">
        <w:rPr>
          <w:b/>
          <w:u w:val="single"/>
        </w:rPr>
        <w:t xml:space="preserve"> </w:t>
      </w:r>
      <w:r w:rsidRPr="0010084B">
        <w:rPr>
          <w:b/>
          <w:u w:val="single"/>
        </w:rPr>
        <w:t>2</w:t>
      </w:r>
      <w:r w:rsidRPr="0010084B">
        <w:t>:</w:t>
      </w:r>
      <w:r w:rsidR="009A0847">
        <w:rPr>
          <w:i/>
          <w:iCs/>
        </w:rPr>
        <w:t xml:space="preserve"> </w:t>
      </w:r>
      <w:r w:rsidR="00A86ADD">
        <w:rPr>
          <w:i/>
          <w:iCs/>
        </w:rPr>
        <w:tab/>
      </w:r>
      <m:oMath>
        <m:r>
          <m:rPr>
            <m:sty m:val="bi"/>
          </m:rPr>
          <w:rPr>
            <w:rFonts w:ascii="Cambria Math" w:hAnsi="Cambria Math"/>
            <w:sz w:val="22"/>
            <w:szCs w:val="22"/>
          </w:rPr>
          <m:t>St</m:t>
        </m:r>
      </m:oMath>
      <w:r w:rsidR="009A0847">
        <w:t xml:space="preserve"> </w:t>
      </w:r>
      <w:r w:rsidRPr="0010084B">
        <w:t>is</w:t>
      </w:r>
      <w:r w:rsidR="009A0847">
        <w:t xml:space="preserve"> </w:t>
      </w:r>
      <w:r w:rsidRPr="0010084B">
        <w:t>no</w:t>
      </w:r>
      <w:r w:rsidR="009A0847">
        <w:t xml:space="preserve"> </w:t>
      </w:r>
      <w:r w:rsidRPr="0010084B">
        <w:t>longer</w:t>
      </w:r>
      <w:r w:rsidR="009A0847">
        <w:t xml:space="preserve"> </w:t>
      </w:r>
      <w:r w:rsidRPr="0010084B">
        <w:t>an</w:t>
      </w:r>
      <w:r w:rsidR="009A0847">
        <w:t xml:space="preserve"> </w:t>
      </w:r>
      <w:r w:rsidRPr="0010084B">
        <w:t>equilibrium</w:t>
      </w:r>
      <w:r w:rsidR="009A0847">
        <w:t xml:space="preserve"> </w:t>
      </w:r>
      <w:r w:rsidR="0067731F">
        <w:t>when</w:t>
      </w:r>
      <w:r w:rsidR="009A0847">
        <w:t xml:space="preserve"> </w:t>
      </w:r>
      <m:oMath>
        <m:r>
          <w:rPr>
            <w:rFonts w:ascii="Cambria Math" w:hAnsi="Cambria Math"/>
            <w:sz w:val="22"/>
            <w:szCs w:val="22"/>
          </w:rPr>
          <m:t>α&gt;0</m:t>
        </m:r>
      </m:oMath>
      <w:r w:rsidR="00672049">
        <w:rPr>
          <w:i/>
          <w:iCs/>
        </w:rPr>
        <w:t>.</w:t>
      </w:r>
      <w:r w:rsidR="009A0847">
        <w:rPr>
          <w:iCs/>
        </w:rPr>
        <w:t xml:space="preserve"> </w:t>
      </w:r>
      <w:r w:rsidR="00506A04">
        <w:t>T</w:t>
      </w:r>
      <w:r w:rsidRPr="0010084B">
        <w:t>he</w:t>
      </w:r>
      <w:r w:rsidR="009A0847">
        <w:t xml:space="preserve"> </w:t>
      </w:r>
      <w:r w:rsidRPr="0010084B">
        <w:t>unique</w:t>
      </w:r>
      <w:r w:rsidR="009A0847">
        <w:t xml:space="preserve"> </w:t>
      </w:r>
      <w:r w:rsidRPr="0010084B">
        <w:t>equilibrium</w:t>
      </w:r>
      <w:r w:rsidR="009A0847">
        <w:t xml:space="preserve"> </w:t>
      </w:r>
      <w:r w:rsidR="00506A04">
        <w:t>is</w:t>
      </w:r>
      <w:r w:rsidR="009A0847">
        <w:t xml:space="preserve"> </w:t>
      </w:r>
      <m:oMath>
        <m:r>
          <m:rPr>
            <m:sty m:val="bi"/>
          </m:rPr>
          <w:rPr>
            <w:rFonts w:ascii="Cambria Math" w:hAnsi="Cambria Math"/>
            <w:sz w:val="22"/>
            <w:szCs w:val="22"/>
          </w:rPr>
          <m:t>NoSt</m:t>
        </m:r>
      </m:oMath>
      <w:r w:rsidR="009A0847">
        <w:t xml:space="preserve"> </w:t>
      </w:r>
      <w:r w:rsidR="00506A04">
        <w:t>when</w:t>
      </w:r>
      <w:r w:rsidR="009A0847">
        <w:t xml:space="preserve"> </w:t>
      </w:r>
      <m:oMath>
        <m:r>
          <w:rPr>
            <w:rFonts w:ascii="Cambria Math" w:hAnsi="Cambria Math"/>
            <w:sz w:val="22"/>
            <w:szCs w:val="22"/>
          </w:rPr>
          <m:t>α&lt;</m:t>
        </m:r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α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0</m:t>
            </m:r>
          </m:sub>
        </m:sSub>
      </m:oMath>
      <w:r w:rsidR="00672049">
        <w:t>,</w:t>
      </w:r>
      <w:r w:rsidR="009A0847">
        <w:t xml:space="preserve"> </w:t>
      </w:r>
      <w:r w:rsidR="00506A04">
        <w:t>and</w:t>
      </w:r>
      <w:r w:rsidR="009A0847">
        <w:t xml:space="preserve"> </w:t>
      </w:r>
      <m:oMath>
        <m:r>
          <m:rPr>
            <m:sty m:val="bi"/>
          </m:rPr>
          <w:rPr>
            <w:rFonts w:ascii="Cambria Math" w:hAnsi="Cambria Math"/>
            <w:sz w:val="22"/>
            <w:szCs w:val="22"/>
          </w:rPr>
          <m:t>NoSt</m:t>
        </m:r>
        <m:r>
          <m:rPr>
            <m:sty m:val="b"/>
          </m:rPr>
          <w:rPr>
            <w:rFonts w:ascii="Cambria Math" w:hAnsi="Cambria Math"/>
            <w:sz w:val="22"/>
            <w:szCs w:val="22"/>
          </w:rPr>
          <m:t>'</m:t>
        </m:r>
      </m:oMath>
      <w:r w:rsidR="009A0847">
        <w:rPr>
          <w:b/>
        </w:rPr>
        <w:t xml:space="preserve"> </w:t>
      </w:r>
      <w:r w:rsidR="00506A04" w:rsidRPr="00506A04">
        <w:t>othe</w:t>
      </w:r>
      <w:r w:rsidR="00506A04">
        <w:t>r</w:t>
      </w:r>
      <w:r w:rsidR="00506A04" w:rsidRPr="00506A04">
        <w:t>wise</w:t>
      </w:r>
      <w:r w:rsidRPr="0010084B">
        <w:t>.</w:t>
      </w:r>
    </w:p>
    <w:p w14:paraId="2E95FFEB" w14:textId="438747DD" w:rsidR="00077CA1" w:rsidRPr="00A75740" w:rsidRDefault="00077CA1" w:rsidP="00F86E09">
      <w:pPr>
        <w:pStyle w:val="Olivier1"/>
        <w:widowControl w:val="0"/>
      </w:pPr>
      <w:r w:rsidRPr="00A75740">
        <w:rPr>
          <w:b/>
        </w:rPr>
        <w:t>Proof</w:t>
      </w:r>
      <w:r>
        <w:t>:</w:t>
      </w:r>
      <w:r w:rsidR="009A0847">
        <w:t xml:space="preserve"> </w:t>
      </w:r>
      <w:r>
        <w:t>see</w:t>
      </w:r>
      <w:r w:rsidR="009A0847">
        <w:t xml:space="preserve"> </w:t>
      </w:r>
      <w:r>
        <w:t>Appendix</w:t>
      </w:r>
      <w:r w:rsidR="009A0847">
        <w:t xml:space="preserve"> </w:t>
      </w:r>
      <w:r>
        <w:t>2</w:t>
      </w:r>
      <w:r w:rsidRPr="00A75740">
        <w:t>.</w:t>
      </w:r>
    </w:p>
    <w:p w14:paraId="775052C0" w14:textId="19C3F55D" w:rsidR="00C533F8" w:rsidRDefault="00672049" w:rsidP="00F86E09">
      <w:pPr>
        <w:pStyle w:val="Olivier1"/>
        <w:widowControl w:val="0"/>
      </w:pPr>
      <w:r>
        <w:t>The</w:t>
      </w:r>
      <w:r w:rsidR="009A0847">
        <w:t xml:space="preserve"> </w:t>
      </w:r>
      <w:r>
        <w:t>first</w:t>
      </w:r>
      <w:r w:rsidR="009A0847">
        <w:t xml:space="preserve"> </w:t>
      </w:r>
      <w:r>
        <w:t>part</w:t>
      </w:r>
      <w:r w:rsidR="009A0847">
        <w:t xml:space="preserve"> </w:t>
      </w:r>
      <w:r>
        <w:t>of</w:t>
      </w:r>
      <w:r w:rsidR="009A0847">
        <w:t xml:space="preserve"> </w:t>
      </w:r>
      <w:r>
        <w:t>p</w:t>
      </w:r>
      <w:r w:rsidR="00B163CE">
        <w:t>roposition</w:t>
      </w:r>
      <w:r w:rsidR="009A0847">
        <w:t xml:space="preserve"> </w:t>
      </w:r>
      <w:r w:rsidR="00B163CE">
        <w:t>2</w:t>
      </w:r>
      <w:r w:rsidR="009A0847">
        <w:t xml:space="preserve"> </w:t>
      </w:r>
      <w:r w:rsidR="00B163CE">
        <w:t>states</w:t>
      </w:r>
      <w:r w:rsidR="009A0847">
        <w:t xml:space="preserve"> </w:t>
      </w:r>
      <w:r w:rsidR="001D5657" w:rsidRPr="0010084B">
        <w:t>that</w:t>
      </w:r>
      <w:r w:rsidR="009A0847">
        <w:t xml:space="preserve"> </w:t>
      </w:r>
      <w:r w:rsidR="00175EC6" w:rsidRPr="0010084B">
        <w:t>introducing</w:t>
      </w:r>
      <w:r w:rsidR="009A0847">
        <w:t xml:space="preserve"> </w:t>
      </w:r>
      <w:r w:rsidR="001D5657" w:rsidRPr="0010084B">
        <w:t>a</w:t>
      </w:r>
      <w:r w:rsidR="009A0847">
        <w:t xml:space="preserve"> </w:t>
      </w:r>
      <w:r w:rsidR="00175EC6" w:rsidRPr="0010084B">
        <w:t>c</w:t>
      </w:r>
      <w:r w:rsidR="001D5657" w:rsidRPr="0010084B">
        <w:t>hance</w:t>
      </w:r>
      <w:r w:rsidR="009A0847">
        <w:t xml:space="preserve"> </w:t>
      </w:r>
      <w:r w:rsidR="0056562D" w:rsidRPr="0010084B">
        <w:t>(even</w:t>
      </w:r>
      <w:r w:rsidR="009A0847">
        <w:t xml:space="preserve"> </w:t>
      </w:r>
      <w:r w:rsidR="0056562D" w:rsidRPr="0010084B">
        <w:t>a</w:t>
      </w:r>
      <w:r w:rsidR="009A0847">
        <w:t xml:space="preserve"> </w:t>
      </w:r>
      <w:r w:rsidR="0056562D" w:rsidRPr="0010084B">
        <w:t>small</w:t>
      </w:r>
      <w:r w:rsidR="009A0847">
        <w:t xml:space="preserve"> </w:t>
      </w:r>
      <w:r w:rsidR="0056562D" w:rsidRPr="0010084B">
        <w:t>chance)</w:t>
      </w:r>
      <w:r w:rsidR="009A0847">
        <w:t xml:space="preserve"> </w:t>
      </w:r>
      <w:r w:rsidR="001D5657" w:rsidRPr="0010084B">
        <w:t>of</w:t>
      </w:r>
      <w:r w:rsidR="009A0847">
        <w:t xml:space="preserve"> </w:t>
      </w:r>
      <w:r w:rsidR="00C345EE">
        <w:t>random</w:t>
      </w:r>
      <w:r w:rsidR="009A0847">
        <w:t xml:space="preserve"> </w:t>
      </w:r>
      <w:r w:rsidR="008671B6">
        <w:t>borrowing</w:t>
      </w:r>
      <w:r w:rsidR="009A0847">
        <w:t xml:space="preserve"> </w:t>
      </w:r>
      <w:r w:rsidR="008671B6">
        <w:t>eliminates</w:t>
      </w:r>
      <w:r w:rsidR="009A0847">
        <w:t xml:space="preserve"> </w:t>
      </w:r>
      <w:r w:rsidR="00175EC6" w:rsidRPr="0010084B">
        <w:t>DW</w:t>
      </w:r>
      <w:r w:rsidR="009A0847">
        <w:t xml:space="preserve"> </w:t>
      </w:r>
      <w:r w:rsidR="00175EC6" w:rsidRPr="0010084B">
        <w:t>stigma</w:t>
      </w:r>
      <w:r w:rsidR="009A0847">
        <w:t xml:space="preserve"> </w:t>
      </w:r>
      <w:r w:rsidR="00175EC6" w:rsidRPr="0010084B">
        <w:t>as</w:t>
      </w:r>
      <w:r w:rsidR="009A0847">
        <w:t xml:space="preserve"> </w:t>
      </w:r>
      <w:r w:rsidR="001D5657" w:rsidRPr="0010084B">
        <w:t>a</w:t>
      </w:r>
      <w:r w:rsidR="009A0847">
        <w:t xml:space="preserve"> </w:t>
      </w:r>
      <w:r w:rsidR="008671B6">
        <w:t>possible</w:t>
      </w:r>
      <w:r w:rsidR="009A0847">
        <w:t xml:space="preserve"> </w:t>
      </w:r>
      <w:r w:rsidR="001D5657" w:rsidRPr="0010084B">
        <w:t>equilibrium.</w:t>
      </w:r>
      <w:r w:rsidR="009A0847">
        <w:t xml:space="preserve"> </w:t>
      </w:r>
      <w:r w:rsidR="001D5657" w:rsidRPr="0010084B">
        <w:t>The</w:t>
      </w:r>
      <w:r w:rsidR="009A0847">
        <w:t xml:space="preserve"> </w:t>
      </w:r>
      <w:r w:rsidR="001D5657" w:rsidRPr="0010084B">
        <w:t>intuition</w:t>
      </w:r>
      <w:r w:rsidR="009A0847">
        <w:t xml:space="preserve"> </w:t>
      </w:r>
      <w:r w:rsidR="001D5657" w:rsidRPr="0010084B">
        <w:t>behind</w:t>
      </w:r>
      <w:r w:rsidR="009A0847">
        <w:t xml:space="preserve"> </w:t>
      </w:r>
      <w:r w:rsidR="001D5657" w:rsidRPr="0010084B">
        <w:t>this</w:t>
      </w:r>
      <w:r w:rsidR="009A0847">
        <w:t xml:space="preserve"> </w:t>
      </w:r>
      <w:r w:rsidR="001D5657" w:rsidRPr="0010084B">
        <w:t>result</w:t>
      </w:r>
      <w:r w:rsidR="009A0847">
        <w:t xml:space="preserve"> </w:t>
      </w:r>
      <w:r w:rsidR="005B1609">
        <w:t>is</w:t>
      </w:r>
      <w:r w:rsidR="009A0847">
        <w:t xml:space="preserve"> </w:t>
      </w:r>
      <w:r w:rsidR="005B1609">
        <w:t>straightforward:</w:t>
      </w:r>
      <w:r w:rsidR="009A0847">
        <w:t xml:space="preserve"> </w:t>
      </w:r>
      <w:r w:rsidR="00C345EE">
        <w:t>Assume</w:t>
      </w:r>
      <w:r w:rsidR="009A0847">
        <w:t xml:space="preserve"> </w:t>
      </w:r>
      <w:r w:rsidR="009554EB">
        <w:t xml:space="preserve">that </w:t>
      </w:r>
      <w:r w:rsidR="005B1609">
        <w:t>no</w:t>
      </w:r>
      <w:r w:rsidR="009A0847">
        <w:t xml:space="preserve"> </w:t>
      </w:r>
      <w:r w:rsidR="005B1609">
        <w:t>bank</w:t>
      </w:r>
      <w:r w:rsidR="009A0847">
        <w:t xml:space="preserve"> </w:t>
      </w:r>
      <w:r w:rsidR="001D5657" w:rsidRPr="0010084B">
        <w:t>volu</w:t>
      </w:r>
      <w:r w:rsidR="001D5657" w:rsidRPr="001C003C">
        <w:t>ntarily</w:t>
      </w:r>
      <w:r w:rsidR="009A0847">
        <w:t xml:space="preserve"> </w:t>
      </w:r>
      <w:r w:rsidR="001D5657" w:rsidRPr="001C003C">
        <w:t>borrows</w:t>
      </w:r>
      <w:r w:rsidR="009A0847">
        <w:t xml:space="preserve"> </w:t>
      </w:r>
      <w:r w:rsidR="001D5657" w:rsidRPr="001C003C">
        <w:t>at</w:t>
      </w:r>
      <w:r w:rsidR="009A0847">
        <w:t xml:space="preserve"> </w:t>
      </w:r>
      <w:r w:rsidR="0056562D" w:rsidRPr="001C003C">
        <w:t>the</w:t>
      </w:r>
      <w:r w:rsidR="009A0847">
        <w:t xml:space="preserve"> </w:t>
      </w:r>
      <w:r w:rsidR="00C345EE">
        <w:t>DW.</w:t>
      </w:r>
      <w:r w:rsidR="009A0847">
        <w:t xml:space="preserve"> </w:t>
      </w:r>
      <w:r w:rsidR="00C345EE">
        <w:t>In</w:t>
      </w:r>
      <w:r w:rsidR="009A0847">
        <w:t xml:space="preserve"> </w:t>
      </w:r>
      <w:r w:rsidR="00C345EE">
        <w:t>that</w:t>
      </w:r>
      <w:r w:rsidR="009A0847">
        <w:t xml:space="preserve"> </w:t>
      </w:r>
      <w:r w:rsidR="00C345EE">
        <w:t>case,</w:t>
      </w:r>
      <w:r w:rsidR="009A0847">
        <w:t xml:space="preserve"> </w:t>
      </w:r>
      <w:r w:rsidR="001D5657" w:rsidRPr="001C003C">
        <w:t>the</w:t>
      </w:r>
      <w:r w:rsidR="009A0847">
        <w:t xml:space="preserve"> </w:t>
      </w:r>
      <w:r w:rsidR="001D5657" w:rsidRPr="001C003C">
        <w:t>only</w:t>
      </w:r>
      <w:r w:rsidR="009A0847">
        <w:t xml:space="preserve"> </w:t>
      </w:r>
      <w:r w:rsidR="001D5657" w:rsidRPr="001C003C">
        <w:t>banks</w:t>
      </w:r>
      <w:r w:rsidR="009A0847">
        <w:t xml:space="preserve"> </w:t>
      </w:r>
      <w:r w:rsidR="001D5657" w:rsidRPr="001C003C">
        <w:t>that</w:t>
      </w:r>
      <w:r w:rsidR="009A0847">
        <w:t xml:space="preserve"> </w:t>
      </w:r>
      <w:r w:rsidR="0056562D" w:rsidRPr="001C003C">
        <w:t>can</w:t>
      </w:r>
      <w:r w:rsidR="009A0847">
        <w:t xml:space="preserve"> </w:t>
      </w:r>
      <w:r w:rsidR="001D5657" w:rsidRPr="001C003C">
        <w:t>be</w:t>
      </w:r>
      <w:r w:rsidR="009A0847">
        <w:t xml:space="preserve"> </w:t>
      </w:r>
      <w:r w:rsidR="001D5657" w:rsidRPr="001C003C">
        <w:t>detected</w:t>
      </w:r>
      <w:r w:rsidR="009A0847">
        <w:t xml:space="preserve"> </w:t>
      </w:r>
      <w:r w:rsidR="001D5657" w:rsidRPr="001C003C">
        <w:t>are</w:t>
      </w:r>
      <w:r w:rsidR="009A0847">
        <w:t xml:space="preserve"> </w:t>
      </w:r>
      <w:r w:rsidR="001D5657" w:rsidRPr="001C003C">
        <w:t>involuntary</w:t>
      </w:r>
      <w:r w:rsidR="009A0847">
        <w:t xml:space="preserve"> </w:t>
      </w:r>
      <w:r w:rsidR="001D5657" w:rsidRPr="001C003C">
        <w:t>borrowers.</w:t>
      </w:r>
      <w:r w:rsidR="009A0847">
        <w:t xml:space="preserve"> </w:t>
      </w:r>
      <w:r w:rsidR="00C345EE">
        <w:t>Then,</w:t>
      </w:r>
      <w:r w:rsidR="009A0847">
        <w:t xml:space="preserve"> </w:t>
      </w:r>
      <w:r w:rsidR="0029167B">
        <w:t>t</w:t>
      </w:r>
      <w:r w:rsidR="0029167B" w:rsidRPr="001C003C">
        <w:t>he</w:t>
      </w:r>
      <w:r w:rsidR="009A0847">
        <w:t xml:space="preserve"> </w:t>
      </w:r>
      <w:r w:rsidR="0029167B" w:rsidRPr="001C003C">
        <w:t>investor</w:t>
      </w:r>
      <w:r w:rsidR="009A0847">
        <w:t xml:space="preserve"> </w:t>
      </w:r>
      <w:r w:rsidR="0029167B" w:rsidRPr="001C003C">
        <w:t>is</w:t>
      </w:r>
      <w:r w:rsidR="009A0847">
        <w:t xml:space="preserve"> </w:t>
      </w:r>
      <w:r w:rsidR="0029167B" w:rsidRPr="001C003C">
        <w:t>willing</w:t>
      </w:r>
      <w:r w:rsidR="009A0847">
        <w:t xml:space="preserve"> </w:t>
      </w:r>
      <w:r w:rsidR="0029167B" w:rsidRPr="001C003C">
        <w:t>to</w:t>
      </w:r>
      <w:r w:rsidR="009A0847">
        <w:t xml:space="preserve"> </w:t>
      </w:r>
      <w:r w:rsidR="0029167B" w:rsidRPr="001C003C">
        <w:t>fund</w:t>
      </w:r>
      <w:r w:rsidR="009A0847">
        <w:t xml:space="preserve"> </w:t>
      </w:r>
      <w:r w:rsidR="0029167B" w:rsidRPr="001C003C">
        <w:t>every</w:t>
      </w:r>
      <w:r w:rsidR="009A0847">
        <w:t xml:space="preserve"> </w:t>
      </w:r>
      <w:r w:rsidR="0029167B">
        <w:t>detected</w:t>
      </w:r>
      <w:r w:rsidR="009A0847">
        <w:t xml:space="preserve"> </w:t>
      </w:r>
      <w:r w:rsidR="0029167B" w:rsidRPr="001C003C">
        <w:t>bank</w:t>
      </w:r>
      <w:r w:rsidR="009A0847">
        <w:t xml:space="preserve"> </w:t>
      </w:r>
      <w:r w:rsidR="0029167B">
        <w:t>under</w:t>
      </w:r>
      <w:r w:rsidR="009A0847">
        <w:t xml:space="preserve"> </w:t>
      </w:r>
      <w:r w:rsidR="0029167B" w:rsidRPr="008671B6">
        <w:rPr>
          <w:i/>
        </w:rPr>
        <w:t>R2</w:t>
      </w:r>
      <w:r w:rsidR="0029167B">
        <w:t>,</w:t>
      </w:r>
      <w:r w:rsidR="009A0847">
        <w:t xml:space="preserve"> </w:t>
      </w:r>
      <w:r w:rsidR="0029167B">
        <w:t>b</w:t>
      </w:r>
      <w:r w:rsidR="001D5657" w:rsidRPr="001C003C">
        <w:t>ecause</w:t>
      </w:r>
      <w:r w:rsidR="009A0847">
        <w:t xml:space="preserve"> </w:t>
      </w:r>
      <w:r w:rsidR="0056562D" w:rsidRPr="001C003C">
        <w:t>involuntary</w:t>
      </w:r>
      <w:r w:rsidR="009A0847">
        <w:t xml:space="preserve"> </w:t>
      </w:r>
      <w:r w:rsidR="0056562D" w:rsidRPr="001C003C">
        <w:t>borrowers</w:t>
      </w:r>
      <w:r w:rsidR="009A0847">
        <w:t xml:space="preserve"> </w:t>
      </w:r>
      <w:r w:rsidR="0056562D" w:rsidRPr="001C003C">
        <w:t>are</w:t>
      </w:r>
      <w:r w:rsidR="009A0847">
        <w:t xml:space="preserve"> </w:t>
      </w:r>
      <w:r w:rsidR="0056562D" w:rsidRPr="001C003C">
        <w:t>selected</w:t>
      </w:r>
      <w:r w:rsidR="009A0847">
        <w:t xml:space="preserve"> </w:t>
      </w:r>
      <w:r w:rsidR="0056562D" w:rsidRPr="001C003C">
        <w:t>randomly</w:t>
      </w:r>
      <w:r w:rsidR="009A0847">
        <w:t xml:space="preserve"> </w:t>
      </w:r>
      <w:r w:rsidR="0056562D" w:rsidRPr="001C003C">
        <w:t>from</w:t>
      </w:r>
      <w:r w:rsidR="009A0847">
        <w:t xml:space="preserve"> </w:t>
      </w:r>
      <w:r w:rsidR="0056562D" w:rsidRPr="001C003C">
        <w:t>the</w:t>
      </w:r>
      <w:r w:rsidR="009A0847">
        <w:t xml:space="preserve"> </w:t>
      </w:r>
      <w:r w:rsidR="0056562D" w:rsidRPr="001C003C">
        <w:t>pool</w:t>
      </w:r>
      <w:r w:rsidR="009A0847">
        <w:t xml:space="preserve"> </w:t>
      </w:r>
      <w:r w:rsidR="0056562D" w:rsidRPr="001C003C">
        <w:t>of</w:t>
      </w:r>
      <w:r w:rsidR="009A0847">
        <w:t xml:space="preserve"> </w:t>
      </w:r>
      <w:r w:rsidR="0056562D" w:rsidRPr="001C003C">
        <w:t>all</w:t>
      </w:r>
      <w:r w:rsidR="009A0847">
        <w:t xml:space="preserve"> </w:t>
      </w:r>
      <w:r w:rsidR="0056562D" w:rsidRPr="001C003C">
        <w:t>banks</w:t>
      </w:r>
      <w:r w:rsidR="001D5657" w:rsidRPr="001C003C">
        <w:t>.</w:t>
      </w:r>
      <w:r w:rsidR="009A0847">
        <w:t xml:space="preserve"> </w:t>
      </w:r>
      <w:r w:rsidR="00B163CE">
        <w:t>As</w:t>
      </w:r>
      <w:r w:rsidR="009A0847">
        <w:t xml:space="preserve"> </w:t>
      </w:r>
      <w:r w:rsidR="00B163CE">
        <w:t>a</w:t>
      </w:r>
      <w:r w:rsidR="009A0847">
        <w:t xml:space="preserve"> </w:t>
      </w:r>
      <w:r w:rsidR="00B163CE">
        <w:t>result,</w:t>
      </w:r>
      <w:r w:rsidR="009A0847">
        <w:t xml:space="preserve"> </w:t>
      </w:r>
      <w:r w:rsidR="00C533F8" w:rsidRPr="001C003C">
        <w:t>ill</w:t>
      </w:r>
      <w:r w:rsidR="00071287" w:rsidRPr="001C003C">
        <w:t>i</w:t>
      </w:r>
      <w:r w:rsidR="00C533F8" w:rsidRPr="001C003C">
        <w:t>quid</w:t>
      </w:r>
      <w:r w:rsidR="009A0847">
        <w:t xml:space="preserve"> </w:t>
      </w:r>
      <w:r w:rsidR="00071287" w:rsidRPr="001C003C">
        <w:t>banks</w:t>
      </w:r>
      <w:r w:rsidR="009A0847">
        <w:t xml:space="preserve"> </w:t>
      </w:r>
      <w:r w:rsidR="00B163CE">
        <w:t>would</w:t>
      </w:r>
      <w:r w:rsidR="009A0847">
        <w:t xml:space="preserve"> </w:t>
      </w:r>
      <w:r w:rsidR="0056562D" w:rsidRPr="001C003C">
        <w:t>now</w:t>
      </w:r>
      <w:r w:rsidR="009A0847">
        <w:t xml:space="preserve"> </w:t>
      </w:r>
      <w:r w:rsidR="00B163CE">
        <w:t>be</w:t>
      </w:r>
      <w:r w:rsidR="009A0847">
        <w:t xml:space="preserve"> </w:t>
      </w:r>
      <w:r w:rsidR="00C533F8" w:rsidRPr="001C003C">
        <w:t>funded</w:t>
      </w:r>
      <w:r w:rsidR="009A0847">
        <w:t xml:space="preserve"> </w:t>
      </w:r>
      <w:r w:rsidR="00C533F8" w:rsidRPr="001C003C">
        <w:t>regardless</w:t>
      </w:r>
      <w:r w:rsidR="009A0847">
        <w:t xml:space="preserve"> </w:t>
      </w:r>
      <w:r w:rsidR="00C533F8" w:rsidRPr="001C003C">
        <w:t>of</w:t>
      </w:r>
      <w:r w:rsidR="009A0847">
        <w:t xml:space="preserve"> </w:t>
      </w:r>
      <w:r w:rsidR="00C533F8" w:rsidRPr="001C003C">
        <w:t>wh</w:t>
      </w:r>
      <w:r w:rsidR="00071287" w:rsidRPr="001C003C">
        <w:t>e</w:t>
      </w:r>
      <w:r w:rsidR="0056562D" w:rsidRPr="001C003C">
        <w:t>ther</w:t>
      </w:r>
      <w:r w:rsidR="009A0847">
        <w:t xml:space="preserve"> </w:t>
      </w:r>
      <w:r w:rsidR="0056562D" w:rsidRPr="001C003C">
        <w:t>or</w:t>
      </w:r>
      <w:r w:rsidR="009A0847">
        <w:t xml:space="preserve"> </w:t>
      </w:r>
      <w:r w:rsidR="0056562D" w:rsidRPr="001C003C">
        <w:t>not</w:t>
      </w:r>
      <w:r w:rsidR="009A0847">
        <w:t xml:space="preserve"> </w:t>
      </w:r>
      <w:r w:rsidR="0056562D" w:rsidRPr="001C003C">
        <w:t>they</w:t>
      </w:r>
      <w:r w:rsidR="009A0847">
        <w:t xml:space="preserve"> </w:t>
      </w:r>
      <w:r w:rsidR="0056562D" w:rsidRPr="001C003C">
        <w:t>are</w:t>
      </w:r>
      <w:r w:rsidR="009A0847">
        <w:t xml:space="preserve"> </w:t>
      </w:r>
      <w:r w:rsidR="0056562D" w:rsidRPr="001C003C">
        <w:t>detected.</w:t>
      </w:r>
      <w:r w:rsidR="009A0847">
        <w:t xml:space="preserve"> </w:t>
      </w:r>
      <w:r w:rsidR="0081550F">
        <w:t>Therefore</w:t>
      </w:r>
      <w:r w:rsidR="0056562D" w:rsidRPr="001C003C">
        <w:t>,</w:t>
      </w:r>
      <w:r w:rsidR="009A0847">
        <w:t xml:space="preserve"> </w:t>
      </w:r>
      <w:r w:rsidR="00C533F8" w:rsidRPr="001C003C">
        <w:t>they</w:t>
      </w:r>
      <w:r w:rsidR="009A0847">
        <w:t xml:space="preserve"> </w:t>
      </w:r>
      <w:r w:rsidR="00C533F8" w:rsidRPr="001C003C">
        <w:t>have</w:t>
      </w:r>
      <w:r w:rsidR="009A0847">
        <w:t xml:space="preserve"> </w:t>
      </w:r>
      <w:r w:rsidR="00C533F8" w:rsidRPr="001C003C">
        <w:t>a</w:t>
      </w:r>
      <w:r w:rsidR="009A0847">
        <w:t xml:space="preserve"> </w:t>
      </w:r>
      <w:r w:rsidR="00C533F8" w:rsidRPr="001C003C">
        <w:t>strict</w:t>
      </w:r>
      <w:r w:rsidR="009A0847">
        <w:t xml:space="preserve"> </w:t>
      </w:r>
      <w:r w:rsidR="0081550F">
        <w:t>incentive</w:t>
      </w:r>
      <w:r w:rsidR="009A0847">
        <w:t xml:space="preserve"> </w:t>
      </w:r>
      <w:r w:rsidR="00071287" w:rsidRPr="001C003C">
        <w:t>to</w:t>
      </w:r>
      <w:r w:rsidR="009A0847">
        <w:t xml:space="preserve"> </w:t>
      </w:r>
      <w:r w:rsidR="00071287" w:rsidRPr="001C003C">
        <w:t>deviate</w:t>
      </w:r>
      <w:r w:rsidR="009A0847">
        <w:t xml:space="preserve"> </w:t>
      </w:r>
      <w:r w:rsidR="00071287" w:rsidRPr="001C003C">
        <w:t>and</w:t>
      </w:r>
      <w:r w:rsidR="009A0847">
        <w:t xml:space="preserve"> </w:t>
      </w:r>
      <w:r w:rsidR="00071287" w:rsidRPr="001C003C">
        <w:t>borrow</w:t>
      </w:r>
      <w:r w:rsidR="009A0847">
        <w:t xml:space="preserve"> </w:t>
      </w:r>
      <w:r w:rsidR="00071287" w:rsidRPr="001C003C">
        <w:t>voluntarily</w:t>
      </w:r>
      <w:r w:rsidR="009A0847">
        <w:t xml:space="preserve"> </w:t>
      </w:r>
      <w:r w:rsidR="0081550F">
        <w:t>at</w:t>
      </w:r>
      <w:r w:rsidR="009A0847">
        <w:t xml:space="preserve"> </w:t>
      </w:r>
      <w:r w:rsidR="00071287" w:rsidRPr="001C003C">
        <w:t>the</w:t>
      </w:r>
      <w:r w:rsidR="009A0847">
        <w:t xml:space="preserve"> </w:t>
      </w:r>
      <w:r w:rsidR="00071287" w:rsidRPr="001C003C">
        <w:t>DW</w:t>
      </w:r>
      <w:r w:rsidR="009A0847">
        <w:t xml:space="preserve"> </w:t>
      </w:r>
      <w:r w:rsidR="00183EDE">
        <w:t xml:space="preserve">in period 1 </w:t>
      </w:r>
      <w:r w:rsidR="0056562D" w:rsidRPr="001C003C">
        <w:t>because</w:t>
      </w:r>
      <w:r w:rsidR="009A0847">
        <w:t xml:space="preserve"> </w:t>
      </w:r>
      <w:r w:rsidR="00071287" w:rsidRPr="001C003C">
        <w:t>it</w:t>
      </w:r>
      <w:r w:rsidR="009A0847">
        <w:t xml:space="preserve"> </w:t>
      </w:r>
      <w:r w:rsidR="00071287" w:rsidRPr="001C003C">
        <w:t>is</w:t>
      </w:r>
      <w:r w:rsidR="009A0847">
        <w:t xml:space="preserve"> </w:t>
      </w:r>
      <w:r w:rsidR="008671B6">
        <w:t>cheaper</w:t>
      </w:r>
      <w:r w:rsidR="009A0847">
        <w:t xml:space="preserve"> </w:t>
      </w:r>
      <w:r w:rsidR="00071287" w:rsidRPr="001C003C">
        <w:t>than</w:t>
      </w:r>
      <w:r w:rsidR="009A0847">
        <w:t xml:space="preserve"> </w:t>
      </w:r>
      <w:r w:rsidR="00071287" w:rsidRPr="001C003C">
        <w:t>the</w:t>
      </w:r>
      <w:r w:rsidR="009A0847">
        <w:t xml:space="preserve"> </w:t>
      </w:r>
      <w:r w:rsidR="00071287" w:rsidRPr="001C003C">
        <w:t>alternative.</w:t>
      </w:r>
      <w:r w:rsidR="009A0847">
        <w:t xml:space="preserve"> </w:t>
      </w:r>
      <w:r w:rsidR="00F91641">
        <w:t>So,</w:t>
      </w:r>
      <w:r w:rsidR="009A0847">
        <w:t xml:space="preserve"> </w:t>
      </w:r>
      <m:oMath>
        <m:r>
          <m:rPr>
            <m:sty m:val="bi"/>
          </m:rPr>
          <w:rPr>
            <w:rFonts w:ascii="Cambria Math" w:hAnsi="Cambria Math"/>
            <w:sz w:val="22"/>
            <w:szCs w:val="22"/>
          </w:rPr>
          <m:t>St</m:t>
        </m:r>
      </m:oMath>
      <w:r w:rsidR="00183EDE">
        <w:t xml:space="preserve"> </w:t>
      </w:r>
      <w:r w:rsidR="00F91641">
        <w:t>cannot</w:t>
      </w:r>
      <w:r w:rsidR="009A0847">
        <w:t xml:space="preserve"> </w:t>
      </w:r>
      <w:r w:rsidR="00F91641">
        <w:t>be</w:t>
      </w:r>
      <w:r w:rsidR="009A0847">
        <w:t xml:space="preserve"> </w:t>
      </w:r>
      <w:r w:rsidR="00F91641">
        <w:t>an</w:t>
      </w:r>
      <w:r w:rsidR="009A0847">
        <w:t xml:space="preserve"> </w:t>
      </w:r>
      <w:r w:rsidR="00F91641">
        <w:t>equilibrium.</w:t>
      </w:r>
    </w:p>
    <w:p w14:paraId="7DF5C747" w14:textId="323693A6" w:rsidR="002D1DB0" w:rsidRDefault="00672049" w:rsidP="00F86E09">
      <w:pPr>
        <w:pStyle w:val="Olivier1"/>
        <w:widowControl w:val="0"/>
        <w:ind w:firstLine="360"/>
        <w:rPr>
          <w:szCs w:val="24"/>
        </w:rPr>
      </w:pPr>
      <w:r w:rsidRPr="001C003C">
        <w:t>The</w:t>
      </w:r>
      <w:r w:rsidR="009A0847">
        <w:t xml:space="preserve"> </w:t>
      </w:r>
      <w:r w:rsidRPr="001C003C">
        <w:t>second</w:t>
      </w:r>
      <w:r w:rsidR="009A0847">
        <w:t xml:space="preserve"> </w:t>
      </w:r>
      <w:r w:rsidRPr="001C003C">
        <w:t>part</w:t>
      </w:r>
      <w:r w:rsidR="009A0847">
        <w:t xml:space="preserve"> </w:t>
      </w:r>
      <w:r w:rsidRPr="001C003C">
        <w:t>of</w:t>
      </w:r>
      <w:r w:rsidR="009A0847">
        <w:t xml:space="preserve"> </w:t>
      </w:r>
      <w:r w:rsidRPr="001C003C">
        <w:t>proposition</w:t>
      </w:r>
      <w:r w:rsidR="009A0847">
        <w:t xml:space="preserve"> </w:t>
      </w:r>
      <w:r w:rsidRPr="001C003C">
        <w:t>2</w:t>
      </w:r>
      <w:r w:rsidR="009A0847">
        <w:t xml:space="preserve"> </w:t>
      </w:r>
      <w:r w:rsidRPr="001C003C">
        <w:t>states</w:t>
      </w:r>
      <w:r w:rsidR="009A0847">
        <w:t xml:space="preserve"> </w:t>
      </w:r>
      <w:r w:rsidRPr="001C003C">
        <w:t>that</w:t>
      </w:r>
      <w:r w:rsidR="009A0847">
        <w:t xml:space="preserve"> </w:t>
      </w:r>
      <w:r w:rsidR="005B1609">
        <w:t>all</w:t>
      </w:r>
      <w:r w:rsidR="009A0847">
        <w:t xml:space="preserve"> </w:t>
      </w:r>
      <w:r w:rsidR="005B1609">
        <w:t>illiquid</w:t>
      </w:r>
      <w:r w:rsidR="009A0847">
        <w:t xml:space="preserve"> </w:t>
      </w:r>
      <w:r w:rsidR="005B1609">
        <w:t>banks</w:t>
      </w:r>
      <w:r w:rsidR="009A0847">
        <w:t xml:space="preserve"> </w:t>
      </w:r>
      <w:r w:rsidR="00506A04" w:rsidRPr="001C003C">
        <w:t>borrow</w:t>
      </w:r>
      <w:r w:rsidR="009A0847">
        <w:t xml:space="preserve"> </w:t>
      </w:r>
      <w:r w:rsidR="00506A04" w:rsidRPr="001C003C">
        <w:t>at</w:t>
      </w:r>
      <w:r w:rsidR="009A0847">
        <w:t xml:space="preserve"> </w:t>
      </w:r>
      <w:r w:rsidR="00506A04" w:rsidRPr="001C003C">
        <w:t>the</w:t>
      </w:r>
      <w:r w:rsidR="009A0847">
        <w:t xml:space="preserve"> </w:t>
      </w:r>
      <w:r w:rsidR="00506A04" w:rsidRPr="001C003C">
        <w:t>DW</w:t>
      </w:r>
      <w:r w:rsidR="009A0847">
        <w:t xml:space="preserve"> </w:t>
      </w:r>
      <w:r w:rsidR="005B1609">
        <w:t>in</w:t>
      </w:r>
      <w:r w:rsidR="009A0847">
        <w:t xml:space="preserve"> </w:t>
      </w:r>
      <w:r w:rsidR="005B1609">
        <w:t>equilibrium</w:t>
      </w:r>
      <w:r w:rsidR="00506A04" w:rsidRPr="001C003C">
        <w:t>.</w:t>
      </w:r>
      <w:r w:rsidR="009A0847">
        <w:t xml:space="preserve"> </w:t>
      </w:r>
      <w:r w:rsidR="005A78A0">
        <w:t>The</w:t>
      </w:r>
      <w:r w:rsidR="009A0847">
        <w:t xml:space="preserve"> </w:t>
      </w:r>
      <w:r w:rsidR="005A78A0">
        <w:t>equilibrium</w:t>
      </w:r>
      <w:r w:rsidR="009A0847">
        <w:t xml:space="preserve"> </w:t>
      </w:r>
      <w:r w:rsidR="005A78A0">
        <w:t>behavior</w:t>
      </w:r>
      <w:r w:rsidR="009A0847">
        <w:t xml:space="preserve"> </w:t>
      </w:r>
      <w:r w:rsidR="005A78A0">
        <w:t>of</w:t>
      </w:r>
      <w:r w:rsidR="009A0847">
        <w:t xml:space="preserve"> </w:t>
      </w:r>
      <w:r w:rsidR="00506A04" w:rsidRPr="001C003C">
        <w:t>investor</w:t>
      </w:r>
      <w:r w:rsidR="005A78A0">
        <w:t>s</w:t>
      </w:r>
      <w:r w:rsidR="009A0847">
        <w:t xml:space="preserve"> </w:t>
      </w:r>
      <w:r w:rsidR="00506A04" w:rsidRPr="001C003C">
        <w:t>now</w:t>
      </w:r>
      <w:r w:rsidR="009A0847">
        <w:t xml:space="preserve"> </w:t>
      </w:r>
      <w:r w:rsidR="00506A04" w:rsidRPr="001C003C">
        <w:t>depends</w:t>
      </w:r>
      <w:r w:rsidR="009A0847">
        <w:t xml:space="preserve"> </w:t>
      </w:r>
      <w:r w:rsidR="00506A04" w:rsidRPr="001C003C">
        <w:t>on</w:t>
      </w:r>
      <w:r w:rsidR="009A0847">
        <w:t xml:space="preserve"> </w:t>
      </w:r>
      <w:r w:rsidR="00506A04" w:rsidRPr="001C003C">
        <w:t>how</w:t>
      </w:r>
      <w:r w:rsidR="009A0847">
        <w:t xml:space="preserve"> </w:t>
      </w:r>
      <w:r w:rsidR="00506A04" w:rsidRPr="001C003C">
        <w:t>many</w:t>
      </w:r>
      <w:r w:rsidR="009A0847">
        <w:t xml:space="preserve"> </w:t>
      </w:r>
      <w:r w:rsidR="00506A04" w:rsidRPr="001C003C">
        <w:t>solvent</w:t>
      </w:r>
      <w:r w:rsidR="009A0847">
        <w:t xml:space="preserve"> </w:t>
      </w:r>
      <w:r w:rsidR="00506A04" w:rsidRPr="001C003C">
        <w:t>banks</w:t>
      </w:r>
      <w:r w:rsidR="009A0847">
        <w:t xml:space="preserve"> </w:t>
      </w:r>
      <w:r w:rsidR="00506A04" w:rsidRPr="001C003C">
        <w:t>are</w:t>
      </w:r>
      <w:r w:rsidR="009A0847">
        <w:t xml:space="preserve"> </w:t>
      </w:r>
      <w:r w:rsidR="00506A04" w:rsidRPr="001C003C">
        <w:t>added</w:t>
      </w:r>
      <w:r w:rsidR="009A0847">
        <w:t xml:space="preserve"> </w:t>
      </w:r>
      <w:r w:rsidR="00506A04" w:rsidRPr="001C003C">
        <w:t>to</w:t>
      </w:r>
      <w:r w:rsidR="009A0847">
        <w:t xml:space="preserve"> </w:t>
      </w:r>
      <w:r w:rsidR="00506A04" w:rsidRPr="001C003C">
        <w:t>the</w:t>
      </w:r>
      <w:r w:rsidR="009A0847">
        <w:t xml:space="preserve"> </w:t>
      </w:r>
      <w:r w:rsidR="00506A04" w:rsidRPr="001C003C">
        <w:t>pool</w:t>
      </w:r>
      <w:r w:rsidR="009A0847">
        <w:t xml:space="preserve"> </w:t>
      </w:r>
      <w:r w:rsidR="00506A04" w:rsidRPr="001C003C">
        <w:t>of</w:t>
      </w:r>
      <w:r w:rsidR="009A0847">
        <w:t xml:space="preserve"> </w:t>
      </w:r>
      <w:r w:rsidR="00506A04" w:rsidRPr="001C003C">
        <w:t>DW</w:t>
      </w:r>
      <w:r w:rsidR="009A0847">
        <w:t xml:space="preserve"> </w:t>
      </w:r>
      <w:r w:rsidR="00506A04" w:rsidRPr="001C003C">
        <w:t>borrowers</w:t>
      </w:r>
      <w:r w:rsidR="009A0847">
        <w:t xml:space="preserve"> </w:t>
      </w:r>
      <w:r w:rsidR="00506A04" w:rsidRPr="001C003C">
        <w:t>by</w:t>
      </w:r>
      <w:r w:rsidR="009A0847">
        <w:t xml:space="preserve"> </w:t>
      </w:r>
      <w:r w:rsidR="00506A04" w:rsidRPr="001C003C">
        <w:t>the</w:t>
      </w:r>
      <w:r w:rsidR="009A0847">
        <w:t xml:space="preserve"> </w:t>
      </w:r>
      <w:r w:rsidR="00506A04" w:rsidRPr="001C003C">
        <w:t>random</w:t>
      </w:r>
      <w:r w:rsidR="009A0847">
        <w:t xml:space="preserve"> </w:t>
      </w:r>
      <w:r w:rsidR="00506A04" w:rsidRPr="001C003C">
        <w:t>selection.</w:t>
      </w:r>
      <w:r w:rsidR="009A0847">
        <w:t xml:space="preserve"> </w:t>
      </w:r>
      <w:r w:rsidR="00506A04" w:rsidRPr="001C003C">
        <w:t>If</w:t>
      </w:r>
      <w:r w:rsidR="009A0847">
        <w:t xml:space="preserve"> </w:t>
      </w:r>
      <m:oMath>
        <m:r>
          <w:rPr>
            <w:rFonts w:ascii="Cambria Math" w:hAnsi="Cambria Math"/>
          </w:rPr>
          <m:t>α</m:t>
        </m:r>
      </m:oMath>
      <w:r w:rsidR="009A0847">
        <w:t xml:space="preserve"> </w:t>
      </w:r>
      <w:r w:rsidR="00506A04" w:rsidRPr="001C003C">
        <w:t>is</w:t>
      </w:r>
      <w:r w:rsidR="009A0847">
        <w:t xml:space="preserve"> </w:t>
      </w:r>
      <w:r w:rsidR="00506A04" w:rsidRPr="001C003C">
        <w:t>sufficiently</w:t>
      </w:r>
      <w:r w:rsidR="009A0847">
        <w:t xml:space="preserve"> </w:t>
      </w:r>
      <w:r w:rsidR="00506A04" w:rsidRPr="001C003C">
        <w:t>large</w:t>
      </w:r>
      <w:r w:rsidR="009A0847">
        <w:t xml:space="preserve"> </w:t>
      </w:r>
      <w:r w:rsidR="0029167B">
        <w:t>(i.e.</w:t>
      </w:r>
      <w:r w:rsidR="009A0847">
        <w:t xml:space="preserve"> </w:t>
      </w:r>
      <m:oMath>
        <m:r>
          <w:rPr>
            <w:rFonts w:ascii="Cambria Math" w:hAnsi="Cambria Math"/>
            <w:sz w:val="22"/>
            <w:szCs w:val="22"/>
          </w:rPr>
          <m:t>α&gt;</m:t>
        </m:r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α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0</m:t>
            </m:r>
          </m:sub>
        </m:sSub>
      </m:oMath>
      <w:r w:rsidR="0029167B">
        <w:rPr>
          <w:sz w:val="22"/>
          <w:szCs w:val="22"/>
        </w:rPr>
        <w:t>)</w:t>
      </w:r>
      <w:r w:rsidR="00506A04" w:rsidRPr="001C003C">
        <w:t>,</w:t>
      </w:r>
      <w:r w:rsidR="009A0847">
        <w:t xml:space="preserve"> </w:t>
      </w:r>
      <w:r w:rsidR="00CF1197">
        <w:t>then</w:t>
      </w:r>
      <w:r w:rsidR="009A0847">
        <w:t xml:space="preserve"> </w:t>
      </w:r>
      <w:r w:rsidR="00506A04" w:rsidRPr="001C003C">
        <w:t>enough</w:t>
      </w:r>
      <w:r w:rsidR="009A0847">
        <w:t xml:space="preserve"> </w:t>
      </w:r>
      <w:r w:rsidR="00506A04" w:rsidRPr="001C003C">
        <w:t>solvent</w:t>
      </w:r>
      <w:r w:rsidR="009A0847">
        <w:t xml:space="preserve"> </w:t>
      </w:r>
      <w:r w:rsidR="00506A04" w:rsidRPr="001C003C">
        <w:t>banks</w:t>
      </w:r>
      <w:r w:rsidR="009A0847">
        <w:t xml:space="preserve"> </w:t>
      </w:r>
      <w:r w:rsidR="00506A04" w:rsidRPr="001C003C">
        <w:t>are</w:t>
      </w:r>
      <w:r w:rsidR="009A0847">
        <w:t xml:space="preserve"> </w:t>
      </w:r>
      <w:r w:rsidR="00506A04" w:rsidRPr="001C003C">
        <w:t>added</w:t>
      </w:r>
      <w:r w:rsidR="009A0847">
        <w:t xml:space="preserve"> </w:t>
      </w:r>
      <w:r w:rsidR="00506A04" w:rsidRPr="001C003C">
        <w:t>to</w:t>
      </w:r>
      <w:r w:rsidR="009A0847">
        <w:t xml:space="preserve"> </w:t>
      </w:r>
      <w:r w:rsidR="00506A04" w:rsidRPr="001C003C">
        <w:t>make</w:t>
      </w:r>
      <w:r w:rsidR="009A0847">
        <w:t xml:space="preserve"> </w:t>
      </w:r>
      <w:r w:rsidR="00506A04" w:rsidRPr="001C003C">
        <w:t>it</w:t>
      </w:r>
      <w:r w:rsidR="009A0847">
        <w:t xml:space="preserve"> </w:t>
      </w:r>
      <w:r w:rsidR="00506A04" w:rsidRPr="001C003C">
        <w:t>beneficial</w:t>
      </w:r>
      <w:r w:rsidR="009A0847">
        <w:t xml:space="preserve"> </w:t>
      </w:r>
      <w:r w:rsidR="00506A04" w:rsidRPr="001C003C">
        <w:t>for</w:t>
      </w:r>
      <w:r w:rsidR="009A0847">
        <w:t xml:space="preserve"> </w:t>
      </w:r>
      <w:r w:rsidR="00506A04" w:rsidRPr="001C003C">
        <w:t>the</w:t>
      </w:r>
      <w:r w:rsidR="009A0847">
        <w:t xml:space="preserve"> </w:t>
      </w:r>
      <w:r w:rsidR="00506A04" w:rsidRPr="001C003C">
        <w:t>investor</w:t>
      </w:r>
      <w:r w:rsidR="009A0847">
        <w:t xml:space="preserve"> </w:t>
      </w:r>
      <w:r w:rsidR="00506A04" w:rsidRPr="001C003C">
        <w:t>to</w:t>
      </w:r>
      <w:r w:rsidR="009A0847">
        <w:t xml:space="preserve"> </w:t>
      </w:r>
      <w:r w:rsidR="00506A04" w:rsidRPr="001C003C">
        <w:t>fund</w:t>
      </w:r>
      <w:r w:rsidR="009A0847">
        <w:t xml:space="preserve"> </w:t>
      </w:r>
      <w:r w:rsidR="00506A04" w:rsidRPr="001C003C">
        <w:t>a</w:t>
      </w:r>
      <w:r w:rsidR="009A0847">
        <w:t xml:space="preserve"> </w:t>
      </w:r>
      <w:r w:rsidR="00506A04" w:rsidRPr="001C003C">
        <w:t>detected</w:t>
      </w:r>
      <w:r w:rsidR="009A0847">
        <w:t xml:space="preserve"> </w:t>
      </w:r>
      <w:r w:rsidR="005B1609" w:rsidRPr="001C003C">
        <w:t>bank</w:t>
      </w:r>
      <w:r w:rsidR="00506A04" w:rsidRPr="001C003C">
        <w:t>.</w:t>
      </w:r>
      <w:r w:rsidR="009A0847">
        <w:t xml:space="preserve"> </w:t>
      </w:r>
    </w:p>
    <w:p w14:paraId="1A9C283E" w14:textId="7B72CEB7" w:rsidR="007A7EBE" w:rsidRPr="00CF1197" w:rsidRDefault="001B5DBE" w:rsidP="00F86E09">
      <w:pPr>
        <w:pStyle w:val="Olivier1"/>
        <w:widowControl w:val="0"/>
        <w:ind w:firstLine="360"/>
        <w:rPr>
          <w:szCs w:val="24"/>
        </w:rPr>
      </w:pPr>
      <w:r w:rsidRPr="00CF1197">
        <w:rPr>
          <w:szCs w:val="24"/>
        </w:rPr>
        <w:t>Finally,</w:t>
      </w:r>
      <w:r w:rsidR="009A0847">
        <w:rPr>
          <w:szCs w:val="24"/>
        </w:rPr>
        <w:t xml:space="preserve"> </w:t>
      </w:r>
      <w:r w:rsidRPr="00CF1197">
        <w:rPr>
          <w:szCs w:val="24"/>
        </w:rPr>
        <w:t>we</w:t>
      </w:r>
      <w:r w:rsidR="009A0847">
        <w:rPr>
          <w:szCs w:val="24"/>
        </w:rPr>
        <w:t xml:space="preserve"> </w:t>
      </w:r>
      <w:r w:rsidRPr="00CF1197">
        <w:rPr>
          <w:szCs w:val="24"/>
        </w:rPr>
        <w:t>compare</w:t>
      </w:r>
      <w:r w:rsidR="009A0847">
        <w:rPr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TS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R</m:t>
            </m:r>
          </m:sub>
        </m:sSub>
      </m:oMath>
      <w:r w:rsidR="003C6E2D" w:rsidRPr="00CF1197">
        <w:rPr>
          <w:szCs w:val="24"/>
        </w:rPr>
        <w:t>,</w:t>
      </w:r>
      <w:r w:rsidR="009A0847">
        <w:rPr>
          <w:szCs w:val="24"/>
        </w:rPr>
        <w:t xml:space="preserve"> </w:t>
      </w:r>
      <w:r w:rsidR="003C6E2D" w:rsidRPr="00CF1197">
        <w:rPr>
          <w:szCs w:val="24"/>
        </w:rPr>
        <w:t>total</w:t>
      </w:r>
      <w:r w:rsidR="009A0847">
        <w:rPr>
          <w:szCs w:val="24"/>
        </w:rPr>
        <w:t xml:space="preserve"> </w:t>
      </w:r>
      <w:r w:rsidR="003C6E2D" w:rsidRPr="00CF1197">
        <w:rPr>
          <w:szCs w:val="24"/>
        </w:rPr>
        <w:t>surplus</w:t>
      </w:r>
      <w:r w:rsidR="009A0847">
        <w:rPr>
          <w:szCs w:val="24"/>
        </w:rPr>
        <w:t xml:space="preserve"> </w:t>
      </w:r>
      <w:r w:rsidR="003C6E2D" w:rsidRPr="00CF1197">
        <w:rPr>
          <w:szCs w:val="24"/>
        </w:rPr>
        <w:t>under</w:t>
      </w:r>
      <w:r w:rsidR="009A0847">
        <w:rPr>
          <w:szCs w:val="24"/>
        </w:rPr>
        <w:t xml:space="preserve"> </w:t>
      </w:r>
      <w:r w:rsidR="003C6E2D" w:rsidRPr="00CF1197">
        <w:rPr>
          <w:szCs w:val="24"/>
        </w:rPr>
        <w:t>the</w:t>
      </w:r>
      <w:r w:rsidR="009A0847">
        <w:rPr>
          <w:szCs w:val="24"/>
        </w:rPr>
        <w:t xml:space="preserve"> </w:t>
      </w:r>
      <w:r w:rsidR="003C6E2D">
        <w:rPr>
          <w:szCs w:val="24"/>
        </w:rPr>
        <w:t>random</w:t>
      </w:r>
      <w:r w:rsidR="009A0847">
        <w:rPr>
          <w:szCs w:val="24"/>
        </w:rPr>
        <w:t xml:space="preserve"> </w:t>
      </w:r>
      <w:r w:rsidR="003C6E2D" w:rsidRPr="00CF1197">
        <w:rPr>
          <w:szCs w:val="24"/>
        </w:rPr>
        <w:t>borrowing</w:t>
      </w:r>
      <w:r w:rsidR="009A0847">
        <w:rPr>
          <w:szCs w:val="24"/>
        </w:rPr>
        <w:t xml:space="preserve"> </w:t>
      </w:r>
      <w:r w:rsidR="003C6E2D" w:rsidRPr="00CF1197">
        <w:rPr>
          <w:szCs w:val="24"/>
        </w:rPr>
        <w:t>equilibrium</w:t>
      </w:r>
      <w:r w:rsidR="003C6E2D">
        <w:rPr>
          <w:szCs w:val="24"/>
        </w:rPr>
        <w:t>,</w:t>
      </w:r>
      <w:r w:rsidR="009A0847">
        <w:rPr>
          <w:szCs w:val="24"/>
        </w:rPr>
        <w:t xml:space="preserve"> </w:t>
      </w:r>
      <w:r w:rsidR="003C6E2D">
        <w:rPr>
          <w:szCs w:val="24"/>
        </w:rPr>
        <w:t>with</w:t>
      </w:r>
      <w:r w:rsidR="009A0847">
        <w:rPr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2"/>
            <w:szCs w:val="22"/>
          </w:rPr>
          <m:t>T</m:t>
        </m:r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S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NoSt</m:t>
            </m:r>
          </m:sub>
        </m:sSub>
      </m:oMath>
      <w:r w:rsidR="009A0847">
        <w:rPr>
          <w:szCs w:val="24"/>
        </w:rPr>
        <w:t xml:space="preserve"> </w:t>
      </w:r>
      <w:r w:rsidR="007B64E1" w:rsidRPr="00CF1197">
        <w:rPr>
          <w:szCs w:val="24"/>
        </w:rPr>
        <w:t>and</w:t>
      </w:r>
      <w:r w:rsidR="009A0847">
        <w:rPr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TS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St</m:t>
            </m:r>
          </m:sub>
        </m:sSub>
      </m:oMath>
      <w:r w:rsidRPr="00CF1197">
        <w:rPr>
          <w:szCs w:val="24"/>
        </w:rPr>
        <w:t>,</w:t>
      </w:r>
      <w:r w:rsidR="009A0847">
        <w:rPr>
          <w:szCs w:val="24"/>
        </w:rPr>
        <w:t xml:space="preserve"> </w:t>
      </w:r>
      <w:r w:rsidRPr="00CF1197">
        <w:rPr>
          <w:szCs w:val="24"/>
        </w:rPr>
        <w:t>total</w:t>
      </w:r>
      <w:r w:rsidR="009A0847">
        <w:rPr>
          <w:szCs w:val="24"/>
        </w:rPr>
        <w:t xml:space="preserve"> </w:t>
      </w:r>
      <w:r w:rsidRPr="00CF1197">
        <w:rPr>
          <w:szCs w:val="24"/>
        </w:rPr>
        <w:t>surplus</w:t>
      </w:r>
      <w:r w:rsidR="009A0847">
        <w:rPr>
          <w:szCs w:val="24"/>
        </w:rPr>
        <w:t xml:space="preserve"> </w:t>
      </w:r>
      <w:r w:rsidRPr="00CF1197">
        <w:rPr>
          <w:szCs w:val="24"/>
        </w:rPr>
        <w:t>under</w:t>
      </w:r>
      <w:r w:rsidR="009A0847">
        <w:rPr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2"/>
            <w:szCs w:val="22"/>
          </w:rPr>
          <m:t>NoSt</m:t>
        </m:r>
      </m:oMath>
      <w:r w:rsidR="009A0847">
        <w:rPr>
          <w:szCs w:val="24"/>
        </w:rPr>
        <w:t xml:space="preserve"> </w:t>
      </w:r>
      <w:r w:rsidRPr="00CF1197">
        <w:rPr>
          <w:szCs w:val="24"/>
        </w:rPr>
        <w:t>and</w:t>
      </w:r>
      <w:r w:rsidR="009A0847">
        <w:rPr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2"/>
            <w:szCs w:val="22"/>
          </w:rPr>
          <m:t>St</m:t>
        </m:r>
      </m:oMath>
      <w:r w:rsidR="009A0847">
        <w:rPr>
          <w:szCs w:val="24"/>
        </w:rPr>
        <w:t xml:space="preserve"> </w:t>
      </w:r>
      <w:r w:rsidRPr="00CF1197">
        <w:rPr>
          <w:szCs w:val="24"/>
        </w:rPr>
        <w:t>in</w:t>
      </w:r>
      <w:r w:rsidR="009A0847">
        <w:rPr>
          <w:szCs w:val="24"/>
        </w:rPr>
        <w:t xml:space="preserve"> </w:t>
      </w:r>
      <w:r w:rsidRPr="00CF1197">
        <w:rPr>
          <w:szCs w:val="24"/>
        </w:rPr>
        <w:t>the</w:t>
      </w:r>
      <w:r w:rsidR="009A0847">
        <w:rPr>
          <w:szCs w:val="24"/>
        </w:rPr>
        <w:t xml:space="preserve"> </w:t>
      </w:r>
      <w:r w:rsidRPr="00CF1197">
        <w:rPr>
          <w:szCs w:val="24"/>
        </w:rPr>
        <w:t>absence</w:t>
      </w:r>
      <w:r w:rsidR="009A0847">
        <w:rPr>
          <w:szCs w:val="24"/>
        </w:rPr>
        <w:t xml:space="preserve"> </w:t>
      </w:r>
      <w:r w:rsidRPr="00CF1197">
        <w:rPr>
          <w:szCs w:val="24"/>
        </w:rPr>
        <w:t>of</w:t>
      </w:r>
      <w:r w:rsidR="009A0847">
        <w:rPr>
          <w:szCs w:val="24"/>
        </w:rPr>
        <w:t xml:space="preserve"> </w:t>
      </w:r>
      <w:r w:rsidR="00C345EE">
        <w:rPr>
          <w:szCs w:val="24"/>
        </w:rPr>
        <w:t>random</w:t>
      </w:r>
      <w:r w:rsidR="009A0847">
        <w:rPr>
          <w:szCs w:val="24"/>
        </w:rPr>
        <w:t xml:space="preserve"> </w:t>
      </w:r>
      <w:r w:rsidRPr="00CF1197">
        <w:rPr>
          <w:szCs w:val="24"/>
        </w:rPr>
        <w:t>borrowing.</w:t>
      </w:r>
      <w:r w:rsidR="009A0847">
        <w:rPr>
          <w:szCs w:val="24"/>
        </w:rPr>
        <w:t xml:space="preserve"> </w:t>
      </w:r>
      <w:r w:rsidRPr="00CF1197">
        <w:t>It</w:t>
      </w:r>
      <w:r w:rsidR="009A0847">
        <w:t xml:space="preserve"> </w:t>
      </w:r>
      <w:r w:rsidRPr="00CF1197">
        <w:t>is</w:t>
      </w:r>
      <w:r w:rsidR="009A0847">
        <w:t xml:space="preserve"> </w:t>
      </w:r>
      <w:r w:rsidRPr="00CF1197">
        <w:t>easy</w:t>
      </w:r>
      <w:r w:rsidR="009A0847">
        <w:t xml:space="preserve"> </w:t>
      </w:r>
      <w:r w:rsidRPr="00CF1197">
        <w:t>to</w:t>
      </w:r>
      <w:r w:rsidR="009A0847">
        <w:t xml:space="preserve"> </w:t>
      </w:r>
      <w:r w:rsidRPr="00CF1197">
        <w:t>show</w:t>
      </w:r>
      <w:r w:rsidR="009A0847">
        <w:t xml:space="preserve"> </w:t>
      </w:r>
      <w:r w:rsidRPr="00CF1197">
        <w:t>that</w:t>
      </w:r>
      <w:r w:rsidR="009A0847">
        <w:t xml:space="preserve"> </w:t>
      </w:r>
      <m:oMath>
        <m:sSub>
          <m:sSubPr>
            <m:ctrlPr>
              <w:rPr>
                <w:rFonts w:ascii="Cambria Math" w:hAnsi="Cambria Math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TS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R</m:t>
            </m:r>
          </m:sub>
        </m:sSub>
        <m:r>
          <w:rPr>
            <w:rFonts w:ascii="Cambria Math" w:hAnsi="Cambria Math"/>
            <w:sz w:val="22"/>
            <w:szCs w:val="22"/>
          </w:rPr>
          <m:t>&lt;</m:t>
        </m:r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TS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NoSt</m:t>
            </m:r>
          </m:sub>
        </m:sSub>
      </m:oMath>
      <w:r w:rsidRPr="00CF1197">
        <w:t>,</w:t>
      </w:r>
      <w:r w:rsidR="009A0847">
        <w:t xml:space="preserve"> </w:t>
      </w:r>
      <w:r w:rsidRPr="00CF1197">
        <w:t>while</w:t>
      </w:r>
      <w:r w:rsidR="009A0847">
        <w:t xml:space="preserve"> </w:t>
      </w:r>
      <m:oMath>
        <m:sSub>
          <m:sSubPr>
            <m:ctrlPr>
              <w:rPr>
                <w:rFonts w:ascii="Cambria Math" w:hAnsi="Cambria Math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TS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R</m:t>
            </m:r>
          </m:sub>
        </m:sSub>
        <m:r>
          <w:rPr>
            <w:rFonts w:ascii="Cambria Math" w:hAnsi="Cambria Math"/>
            <w:sz w:val="22"/>
            <w:szCs w:val="22"/>
          </w:rPr>
          <m:t>&gt;</m:t>
        </m:r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TS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St</m:t>
            </m:r>
          </m:sub>
        </m:sSub>
      </m:oMath>
      <w:r w:rsidR="009A0847">
        <w:rPr>
          <w:sz w:val="22"/>
          <w:szCs w:val="22"/>
        </w:rPr>
        <w:t xml:space="preserve"> </w:t>
      </w:r>
      <w:r w:rsidRPr="00CF1197">
        <w:t>when</w:t>
      </w:r>
      <w:r w:rsidR="009A0847">
        <w:t xml:space="preserve"> </w:t>
      </w:r>
      <m:oMath>
        <m:r>
          <w:rPr>
            <w:rFonts w:ascii="Cambria Math" w:hAnsi="Cambria Math"/>
            <w:sz w:val="22"/>
            <w:szCs w:val="22"/>
          </w:rPr>
          <m:t>α</m:t>
        </m:r>
      </m:oMath>
      <w:r w:rsidR="009A0847">
        <w:rPr>
          <w:szCs w:val="24"/>
        </w:rPr>
        <w:t xml:space="preserve"> </w:t>
      </w:r>
      <w:r w:rsidRPr="00CF1197">
        <w:rPr>
          <w:szCs w:val="24"/>
        </w:rPr>
        <w:t>is</w:t>
      </w:r>
      <w:r w:rsidR="009A0847">
        <w:rPr>
          <w:szCs w:val="24"/>
        </w:rPr>
        <w:t xml:space="preserve"> </w:t>
      </w:r>
      <w:r w:rsidRPr="00CF1197">
        <w:rPr>
          <w:szCs w:val="24"/>
        </w:rPr>
        <w:t>small</w:t>
      </w:r>
      <w:r w:rsidR="009A0847">
        <w:rPr>
          <w:szCs w:val="24"/>
        </w:rPr>
        <w:t xml:space="preserve"> </w:t>
      </w:r>
      <w:r w:rsidRPr="00CF1197">
        <w:rPr>
          <w:szCs w:val="24"/>
        </w:rPr>
        <w:t>enough.</w:t>
      </w:r>
      <w:r w:rsidR="009A0847">
        <w:rPr>
          <w:szCs w:val="24"/>
        </w:rPr>
        <w:t xml:space="preserve"> </w:t>
      </w:r>
      <w:r w:rsidRPr="00CF1197">
        <w:rPr>
          <w:szCs w:val="24"/>
        </w:rPr>
        <w:t>In</w:t>
      </w:r>
      <w:r w:rsidR="009A0847">
        <w:rPr>
          <w:szCs w:val="24"/>
        </w:rPr>
        <w:t xml:space="preserve"> </w:t>
      </w:r>
      <w:r w:rsidRPr="00CF1197">
        <w:rPr>
          <w:szCs w:val="24"/>
        </w:rPr>
        <w:t>other</w:t>
      </w:r>
      <w:r w:rsidR="009A0847">
        <w:rPr>
          <w:szCs w:val="24"/>
        </w:rPr>
        <w:t xml:space="preserve"> </w:t>
      </w:r>
      <w:r w:rsidRPr="00CF1197">
        <w:rPr>
          <w:szCs w:val="24"/>
        </w:rPr>
        <w:t>words,</w:t>
      </w:r>
      <w:r w:rsidR="009A0847">
        <w:rPr>
          <w:szCs w:val="24"/>
        </w:rPr>
        <w:t xml:space="preserve"> </w:t>
      </w:r>
      <w:r w:rsidR="00C345EE">
        <w:rPr>
          <w:szCs w:val="24"/>
        </w:rPr>
        <w:t>random</w:t>
      </w:r>
      <w:r w:rsidR="009A0847">
        <w:rPr>
          <w:szCs w:val="24"/>
        </w:rPr>
        <w:t xml:space="preserve"> </w:t>
      </w:r>
      <w:r w:rsidRPr="00CF1197">
        <w:rPr>
          <w:szCs w:val="24"/>
        </w:rPr>
        <w:t>borrowing</w:t>
      </w:r>
      <w:r w:rsidR="009A0847">
        <w:rPr>
          <w:szCs w:val="24"/>
        </w:rPr>
        <w:t xml:space="preserve"> </w:t>
      </w:r>
      <w:r w:rsidR="00CF1197" w:rsidRPr="00CF1197">
        <w:rPr>
          <w:szCs w:val="24"/>
        </w:rPr>
        <w:t>produces</w:t>
      </w:r>
      <w:r w:rsidR="009A0847">
        <w:rPr>
          <w:szCs w:val="24"/>
        </w:rPr>
        <w:t xml:space="preserve"> </w:t>
      </w:r>
      <w:r w:rsidR="00CF1197" w:rsidRPr="00CF1197">
        <w:rPr>
          <w:szCs w:val="24"/>
        </w:rPr>
        <w:t>higher</w:t>
      </w:r>
      <w:r w:rsidR="009A0847">
        <w:rPr>
          <w:szCs w:val="24"/>
        </w:rPr>
        <w:t xml:space="preserve"> </w:t>
      </w:r>
      <w:r w:rsidR="00CF1197" w:rsidRPr="00CF1197">
        <w:rPr>
          <w:szCs w:val="24"/>
        </w:rPr>
        <w:t>surplus</w:t>
      </w:r>
      <w:r w:rsidR="009A0847">
        <w:rPr>
          <w:szCs w:val="24"/>
        </w:rPr>
        <w:t xml:space="preserve"> </w:t>
      </w:r>
      <w:r w:rsidR="00CF1197" w:rsidRPr="00CF1197">
        <w:rPr>
          <w:szCs w:val="24"/>
        </w:rPr>
        <w:t>than</w:t>
      </w:r>
      <w:r w:rsidR="009A0847">
        <w:rPr>
          <w:szCs w:val="24"/>
        </w:rPr>
        <w:t xml:space="preserve"> </w:t>
      </w:r>
      <w:r w:rsidRPr="00CF1197">
        <w:rPr>
          <w:szCs w:val="24"/>
        </w:rPr>
        <w:t>a</w:t>
      </w:r>
      <w:r w:rsidR="009A0847">
        <w:rPr>
          <w:szCs w:val="24"/>
        </w:rPr>
        <w:t xml:space="preserve"> </w:t>
      </w:r>
      <w:r w:rsidRPr="00CF1197">
        <w:rPr>
          <w:szCs w:val="24"/>
        </w:rPr>
        <w:t>stigmatized</w:t>
      </w:r>
      <w:r w:rsidR="009A0847">
        <w:rPr>
          <w:szCs w:val="24"/>
        </w:rPr>
        <w:t xml:space="preserve"> </w:t>
      </w:r>
      <w:r w:rsidRPr="00CF1197">
        <w:rPr>
          <w:szCs w:val="24"/>
        </w:rPr>
        <w:t>DW.</w:t>
      </w:r>
      <w:r w:rsidR="009A0847">
        <w:rPr>
          <w:szCs w:val="24"/>
        </w:rPr>
        <w:t xml:space="preserve"> </w:t>
      </w:r>
      <w:r w:rsidRPr="00CF1197">
        <w:rPr>
          <w:szCs w:val="24"/>
        </w:rPr>
        <w:t>The</w:t>
      </w:r>
      <w:r w:rsidR="009A0847">
        <w:rPr>
          <w:szCs w:val="24"/>
        </w:rPr>
        <w:t xml:space="preserve"> </w:t>
      </w:r>
      <w:r w:rsidRPr="00CF1197">
        <w:rPr>
          <w:szCs w:val="24"/>
        </w:rPr>
        <w:t>intuition</w:t>
      </w:r>
      <w:r w:rsidR="009A0847">
        <w:rPr>
          <w:szCs w:val="24"/>
        </w:rPr>
        <w:t xml:space="preserve"> </w:t>
      </w:r>
      <w:r w:rsidR="00CF1197" w:rsidRPr="00CF1197">
        <w:rPr>
          <w:szCs w:val="24"/>
        </w:rPr>
        <w:t>behind</w:t>
      </w:r>
      <w:r w:rsidR="009A0847">
        <w:rPr>
          <w:szCs w:val="24"/>
        </w:rPr>
        <w:t xml:space="preserve"> </w:t>
      </w:r>
      <w:r w:rsidR="007B64E1" w:rsidRPr="00CF1197">
        <w:rPr>
          <w:szCs w:val="24"/>
        </w:rPr>
        <w:t>this</w:t>
      </w:r>
      <w:r w:rsidR="009A0847">
        <w:rPr>
          <w:szCs w:val="24"/>
        </w:rPr>
        <w:t xml:space="preserve"> </w:t>
      </w:r>
      <w:r w:rsidRPr="00CF1197">
        <w:rPr>
          <w:szCs w:val="24"/>
        </w:rPr>
        <w:t>result</w:t>
      </w:r>
      <w:r w:rsidR="009A0847">
        <w:rPr>
          <w:szCs w:val="24"/>
        </w:rPr>
        <w:t xml:space="preserve"> </w:t>
      </w:r>
      <w:r w:rsidRPr="00CF1197">
        <w:rPr>
          <w:szCs w:val="24"/>
        </w:rPr>
        <w:t>is</w:t>
      </w:r>
      <w:r w:rsidR="009A0847">
        <w:rPr>
          <w:szCs w:val="24"/>
        </w:rPr>
        <w:t xml:space="preserve"> </w:t>
      </w:r>
      <w:r w:rsidRPr="00CF1197">
        <w:rPr>
          <w:szCs w:val="24"/>
        </w:rPr>
        <w:t>the</w:t>
      </w:r>
      <w:r w:rsidR="009A0847">
        <w:rPr>
          <w:szCs w:val="24"/>
        </w:rPr>
        <w:t xml:space="preserve"> </w:t>
      </w:r>
      <w:r w:rsidRPr="00CF1197">
        <w:rPr>
          <w:szCs w:val="24"/>
        </w:rPr>
        <w:t>following:</w:t>
      </w:r>
      <w:r w:rsidR="009A0847">
        <w:rPr>
          <w:szCs w:val="24"/>
        </w:rPr>
        <w:t xml:space="preserve"> </w:t>
      </w:r>
      <w:r w:rsidR="00CF1197" w:rsidRPr="00CF1197">
        <w:rPr>
          <w:szCs w:val="24"/>
        </w:rPr>
        <w:t>Under</w:t>
      </w:r>
      <w:r w:rsidR="009A0847">
        <w:rPr>
          <w:szCs w:val="24"/>
        </w:rPr>
        <w:t xml:space="preserve"> </w:t>
      </w:r>
      <w:r w:rsidR="00C345EE">
        <w:rPr>
          <w:szCs w:val="24"/>
        </w:rPr>
        <w:t>random</w:t>
      </w:r>
      <w:r w:rsidR="009A0847">
        <w:rPr>
          <w:szCs w:val="24"/>
        </w:rPr>
        <w:t xml:space="preserve"> </w:t>
      </w:r>
      <w:r w:rsidR="00CF1197" w:rsidRPr="00CF1197">
        <w:rPr>
          <w:szCs w:val="24"/>
        </w:rPr>
        <w:t>borrowing,</w:t>
      </w:r>
      <w:r w:rsidR="009A0847">
        <w:rPr>
          <w:szCs w:val="24"/>
        </w:rPr>
        <w:t xml:space="preserve"> </w:t>
      </w:r>
      <w:r w:rsidRPr="00CF1197">
        <w:rPr>
          <w:szCs w:val="24"/>
        </w:rPr>
        <w:t>illiquid</w:t>
      </w:r>
      <w:r w:rsidR="009A0847">
        <w:rPr>
          <w:szCs w:val="24"/>
        </w:rPr>
        <w:t xml:space="preserve"> </w:t>
      </w:r>
      <w:r w:rsidRPr="00CF1197">
        <w:rPr>
          <w:szCs w:val="24"/>
        </w:rPr>
        <w:t>banks</w:t>
      </w:r>
      <w:r w:rsidR="009A0847">
        <w:rPr>
          <w:szCs w:val="24"/>
        </w:rPr>
        <w:t xml:space="preserve"> </w:t>
      </w:r>
      <w:r w:rsidRPr="00CF1197">
        <w:rPr>
          <w:szCs w:val="24"/>
        </w:rPr>
        <w:t>(which</w:t>
      </w:r>
      <w:r w:rsidR="009A0847">
        <w:rPr>
          <w:szCs w:val="24"/>
        </w:rPr>
        <w:t xml:space="preserve"> </w:t>
      </w:r>
      <w:r w:rsidRPr="00CF1197">
        <w:rPr>
          <w:szCs w:val="24"/>
        </w:rPr>
        <w:t>now</w:t>
      </w:r>
      <w:r w:rsidR="009A0847">
        <w:rPr>
          <w:szCs w:val="24"/>
        </w:rPr>
        <w:t xml:space="preserve"> </w:t>
      </w:r>
      <w:r w:rsidRPr="00CF1197">
        <w:rPr>
          <w:szCs w:val="24"/>
        </w:rPr>
        <w:t>coordinate</w:t>
      </w:r>
      <w:r w:rsidR="009A0847">
        <w:rPr>
          <w:szCs w:val="24"/>
        </w:rPr>
        <w:t xml:space="preserve"> </w:t>
      </w:r>
      <w:r w:rsidRPr="00CF1197">
        <w:rPr>
          <w:szCs w:val="24"/>
        </w:rPr>
        <w:t>on</w:t>
      </w:r>
      <w:r w:rsidR="009A0847">
        <w:rPr>
          <w:szCs w:val="24"/>
        </w:rPr>
        <w:t xml:space="preserve"> </w:t>
      </w:r>
      <w:r w:rsidRPr="00CF1197">
        <w:rPr>
          <w:szCs w:val="24"/>
        </w:rPr>
        <w:t>the</w:t>
      </w:r>
      <w:r w:rsidR="009A0847">
        <w:rPr>
          <w:szCs w:val="24"/>
        </w:rPr>
        <w:t xml:space="preserve"> </w:t>
      </w:r>
      <w:r w:rsidRPr="00CF1197">
        <w:rPr>
          <w:szCs w:val="24"/>
        </w:rPr>
        <w:t>good</w:t>
      </w:r>
      <w:r w:rsidR="009A0847">
        <w:rPr>
          <w:szCs w:val="24"/>
        </w:rPr>
        <w:t xml:space="preserve"> </w:t>
      </w:r>
      <w:r w:rsidRPr="00CF1197">
        <w:rPr>
          <w:szCs w:val="24"/>
        </w:rPr>
        <w:t>equi</w:t>
      </w:r>
      <w:r w:rsidR="0029167B">
        <w:rPr>
          <w:szCs w:val="24"/>
        </w:rPr>
        <w:t>librium)</w:t>
      </w:r>
      <w:r w:rsidR="009A0847">
        <w:rPr>
          <w:szCs w:val="24"/>
        </w:rPr>
        <w:t xml:space="preserve"> </w:t>
      </w:r>
      <w:r w:rsidR="0029167B">
        <w:rPr>
          <w:szCs w:val="24"/>
        </w:rPr>
        <w:t>experience</w:t>
      </w:r>
      <w:r w:rsidR="009A0847">
        <w:rPr>
          <w:szCs w:val="24"/>
        </w:rPr>
        <w:t xml:space="preserve"> </w:t>
      </w:r>
      <w:r w:rsidRPr="00CF1197">
        <w:rPr>
          <w:szCs w:val="24"/>
        </w:rPr>
        <w:t>gains,</w:t>
      </w:r>
      <w:r w:rsidR="009A0847">
        <w:rPr>
          <w:szCs w:val="24"/>
        </w:rPr>
        <w:t xml:space="preserve"> </w:t>
      </w:r>
      <w:r w:rsidRPr="00CF1197">
        <w:rPr>
          <w:szCs w:val="24"/>
        </w:rPr>
        <w:t>while</w:t>
      </w:r>
      <w:r w:rsidR="009A0847">
        <w:rPr>
          <w:szCs w:val="24"/>
        </w:rPr>
        <w:t xml:space="preserve"> </w:t>
      </w:r>
      <w:r w:rsidRPr="00CF1197">
        <w:rPr>
          <w:szCs w:val="24"/>
        </w:rPr>
        <w:t>liquid</w:t>
      </w:r>
      <w:r w:rsidR="009A0847">
        <w:rPr>
          <w:szCs w:val="24"/>
        </w:rPr>
        <w:t xml:space="preserve"> </w:t>
      </w:r>
      <w:r w:rsidRPr="00CF1197">
        <w:rPr>
          <w:szCs w:val="24"/>
        </w:rPr>
        <w:t>banks</w:t>
      </w:r>
      <w:r w:rsidR="009A0847">
        <w:rPr>
          <w:szCs w:val="24"/>
        </w:rPr>
        <w:t xml:space="preserve"> </w:t>
      </w:r>
      <w:r w:rsidRPr="00CF1197">
        <w:rPr>
          <w:szCs w:val="24"/>
        </w:rPr>
        <w:t>(which</w:t>
      </w:r>
      <w:r w:rsidR="009A0847">
        <w:rPr>
          <w:szCs w:val="24"/>
        </w:rPr>
        <w:t xml:space="preserve"> </w:t>
      </w:r>
      <w:r w:rsidR="005A78A0">
        <w:rPr>
          <w:szCs w:val="24"/>
        </w:rPr>
        <w:t>now</w:t>
      </w:r>
      <w:r w:rsidR="009A0847">
        <w:rPr>
          <w:szCs w:val="24"/>
        </w:rPr>
        <w:t xml:space="preserve"> </w:t>
      </w:r>
      <w:r w:rsidRPr="00CF1197">
        <w:rPr>
          <w:szCs w:val="24"/>
        </w:rPr>
        <w:t>occasionally</w:t>
      </w:r>
      <w:r w:rsidR="009A0847">
        <w:rPr>
          <w:szCs w:val="24"/>
        </w:rPr>
        <w:t xml:space="preserve"> </w:t>
      </w:r>
      <w:r w:rsidRPr="00CF1197">
        <w:rPr>
          <w:szCs w:val="24"/>
        </w:rPr>
        <w:t>incur</w:t>
      </w:r>
      <w:r w:rsidR="009A0847">
        <w:rPr>
          <w:szCs w:val="24"/>
        </w:rPr>
        <w:t xml:space="preserve"> </w:t>
      </w:r>
      <w:r w:rsidRPr="00CF1197">
        <w:rPr>
          <w:szCs w:val="24"/>
        </w:rPr>
        <w:t>the</w:t>
      </w:r>
      <w:r w:rsidR="009A0847">
        <w:rPr>
          <w:szCs w:val="24"/>
        </w:rPr>
        <w:t xml:space="preserve"> </w:t>
      </w:r>
      <w:r w:rsidRPr="00CF1197">
        <w:rPr>
          <w:szCs w:val="24"/>
        </w:rPr>
        <w:t>illiquidity</w:t>
      </w:r>
      <w:r w:rsidR="009A0847">
        <w:rPr>
          <w:szCs w:val="24"/>
        </w:rPr>
        <w:t xml:space="preserve"> </w:t>
      </w:r>
      <w:r w:rsidRPr="00CF1197">
        <w:rPr>
          <w:szCs w:val="24"/>
        </w:rPr>
        <w:t>cost</w:t>
      </w:r>
      <w:r w:rsidR="009A0847">
        <w:rPr>
          <w:szCs w:val="24"/>
        </w:rPr>
        <w:t xml:space="preserve"> </w:t>
      </w:r>
      <m:oMath>
        <m:r>
          <w:rPr>
            <w:rFonts w:ascii="Cambria Math" w:hAnsi="Cambria Math"/>
            <w:szCs w:val="24"/>
          </w:rPr>
          <m:t>dw</m:t>
        </m:r>
      </m:oMath>
      <w:r w:rsidR="0067731F">
        <w:rPr>
          <w:szCs w:val="24"/>
        </w:rPr>
        <w:t>)</w:t>
      </w:r>
      <w:r w:rsidR="009A0847">
        <w:rPr>
          <w:szCs w:val="24"/>
        </w:rPr>
        <w:t xml:space="preserve"> </w:t>
      </w:r>
      <w:r w:rsidR="0067731F">
        <w:rPr>
          <w:szCs w:val="24"/>
        </w:rPr>
        <w:t>experience</w:t>
      </w:r>
      <w:r w:rsidR="009A0847">
        <w:rPr>
          <w:szCs w:val="24"/>
        </w:rPr>
        <w:t xml:space="preserve"> </w:t>
      </w:r>
      <w:r w:rsidR="0067731F">
        <w:rPr>
          <w:szCs w:val="24"/>
        </w:rPr>
        <w:t>losses.</w:t>
      </w:r>
      <w:r w:rsidR="009A0847">
        <w:rPr>
          <w:szCs w:val="24"/>
        </w:rPr>
        <w:t xml:space="preserve"> </w:t>
      </w:r>
      <w:r w:rsidR="0067731F">
        <w:rPr>
          <w:szCs w:val="24"/>
        </w:rPr>
        <w:t>The</w:t>
      </w:r>
      <w:r w:rsidR="009A0847">
        <w:rPr>
          <w:szCs w:val="24"/>
        </w:rPr>
        <w:t xml:space="preserve"> </w:t>
      </w:r>
      <w:r w:rsidRPr="00CF1197">
        <w:rPr>
          <w:szCs w:val="24"/>
        </w:rPr>
        <w:t>ba</w:t>
      </w:r>
      <w:r w:rsidR="0029167B">
        <w:rPr>
          <w:szCs w:val="24"/>
        </w:rPr>
        <w:t>lance</w:t>
      </w:r>
      <w:r w:rsidR="009A0847">
        <w:rPr>
          <w:szCs w:val="24"/>
        </w:rPr>
        <w:t xml:space="preserve"> </w:t>
      </w:r>
      <w:r w:rsidR="0029167B">
        <w:rPr>
          <w:szCs w:val="24"/>
        </w:rPr>
        <w:t>between</w:t>
      </w:r>
      <w:r w:rsidR="009A0847">
        <w:rPr>
          <w:szCs w:val="24"/>
        </w:rPr>
        <w:t xml:space="preserve"> </w:t>
      </w:r>
      <w:r w:rsidRPr="00CF1197">
        <w:rPr>
          <w:szCs w:val="24"/>
        </w:rPr>
        <w:t>gains</w:t>
      </w:r>
      <w:r w:rsidR="009A0847">
        <w:rPr>
          <w:szCs w:val="24"/>
        </w:rPr>
        <w:t xml:space="preserve"> </w:t>
      </w:r>
      <w:r w:rsidRPr="00CF1197">
        <w:rPr>
          <w:szCs w:val="24"/>
        </w:rPr>
        <w:t>and</w:t>
      </w:r>
      <w:r w:rsidR="009A0847">
        <w:rPr>
          <w:szCs w:val="24"/>
        </w:rPr>
        <w:t xml:space="preserve"> </w:t>
      </w:r>
      <w:r w:rsidRPr="00CF1197">
        <w:rPr>
          <w:szCs w:val="24"/>
        </w:rPr>
        <w:t>losses</w:t>
      </w:r>
      <w:r w:rsidR="009A0847">
        <w:rPr>
          <w:szCs w:val="24"/>
        </w:rPr>
        <w:t xml:space="preserve"> </w:t>
      </w:r>
      <w:r w:rsidRPr="00CF1197">
        <w:rPr>
          <w:szCs w:val="24"/>
        </w:rPr>
        <w:t>is</w:t>
      </w:r>
      <w:r w:rsidR="009A0847">
        <w:rPr>
          <w:szCs w:val="24"/>
        </w:rPr>
        <w:t xml:space="preserve"> </w:t>
      </w:r>
      <w:r w:rsidRPr="00CF1197">
        <w:rPr>
          <w:szCs w:val="24"/>
        </w:rPr>
        <w:t>positive</w:t>
      </w:r>
      <w:r w:rsidR="009A0847">
        <w:rPr>
          <w:szCs w:val="24"/>
        </w:rPr>
        <w:t xml:space="preserve"> </w:t>
      </w:r>
      <w:r w:rsidRPr="00CF1197">
        <w:rPr>
          <w:szCs w:val="24"/>
        </w:rPr>
        <w:t>as</w:t>
      </w:r>
      <w:r w:rsidR="009A0847">
        <w:rPr>
          <w:szCs w:val="24"/>
        </w:rPr>
        <w:t xml:space="preserve"> </w:t>
      </w:r>
      <w:r w:rsidRPr="00CF1197">
        <w:rPr>
          <w:szCs w:val="24"/>
        </w:rPr>
        <w:t>long</w:t>
      </w:r>
      <w:r w:rsidR="009A0847">
        <w:rPr>
          <w:szCs w:val="24"/>
        </w:rPr>
        <w:t xml:space="preserve"> </w:t>
      </w:r>
      <w:r w:rsidRPr="00CF1197">
        <w:rPr>
          <w:szCs w:val="24"/>
        </w:rPr>
        <w:t>as</w:t>
      </w:r>
      <w:r w:rsidR="009A0847">
        <w:rPr>
          <w:szCs w:val="24"/>
        </w:rPr>
        <w:t xml:space="preserve"> </w:t>
      </w:r>
      <m:oMath>
        <m:r>
          <w:rPr>
            <w:rFonts w:ascii="Cambria Math" w:hAnsi="Cambria Math"/>
            <w:sz w:val="22"/>
            <w:szCs w:val="22"/>
          </w:rPr>
          <m:t>α</m:t>
        </m:r>
      </m:oMath>
      <w:r w:rsidR="0029167B">
        <w:rPr>
          <w:szCs w:val="24"/>
        </w:rPr>
        <w:t>,</w:t>
      </w:r>
      <w:r w:rsidR="009A0847">
        <w:rPr>
          <w:szCs w:val="24"/>
        </w:rPr>
        <w:t xml:space="preserve"> </w:t>
      </w:r>
      <w:r w:rsidRPr="00CF1197">
        <w:rPr>
          <w:szCs w:val="24"/>
        </w:rPr>
        <w:t>the</w:t>
      </w:r>
      <w:r w:rsidR="009A0847">
        <w:rPr>
          <w:szCs w:val="24"/>
        </w:rPr>
        <w:t xml:space="preserve"> </w:t>
      </w:r>
      <w:r w:rsidR="0029167B">
        <w:rPr>
          <w:szCs w:val="24"/>
        </w:rPr>
        <w:t>probability</w:t>
      </w:r>
      <w:r w:rsidR="009A0847">
        <w:rPr>
          <w:szCs w:val="24"/>
        </w:rPr>
        <w:t xml:space="preserve"> </w:t>
      </w:r>
      <w:r w:rsidRPr="00CF1197">
        <w:rPr>
          <w:szCs w:val="24"/>
        </w:rPr>
        <w:t>of</w:t>
      </w:r>
      <w:r w:rsidR="009A0847">
        <w:rPr>
          <w:szCs w:val="24"/>
        </w:rPr>
        <w:t xml:space="preserve"> </w:t>
      </w:r>
      <w:r w:rsidRPr="00CF1197">
        <w:rPr>
          <w:szCs w:val="24"/>
        </w:rPr>
        <w:t>being</w:t>
      </w:r>
      <w:r w:rsidR="009A0847">
        <w:rPr>
          <w:szCs w:val="24"/>
        </w:rPr>
        <w:t xml:space="preserve"> </w:t>
      </w:r>
      <w:r w:rsidR="00873E43" w:rsidRPr="00CF1197">
        <w:rPr>
          <w:szCs w:val="24"/>
        </w:rPr>
        <w:t>randomly</w:t>
      </w:r>
      <w:r w:rsidR="009A0847">
        <w:rPr>
          <w:szCs w:val="24"/>
        </w:rPr>
        <w:t xml:space="preserve"> </w:t>
      </w:r>
      <w:r w:rsidRPr="00CF1197">
        <w:rPr>
          <w:szCs w:val="24"/>
        </w:rPr>
        <w:t>selected</w:t>
      </w:r>
      <w:r w:rsidR="0029167B">
        <w:rPr>
          <w:szCs w:val="24"/>
        </w:rPr>
        <w:t>,</w:t>
      </w:r>
      <w:r w:rsidR="009A0847">
        <w:rPr>
          <w:szCs w:val="24"/>
        </w:rPr>
        <w:t xml:space="preserve"> </w:t>
      </w:r>
      <w:r w:rsidRPr="00CF1197">
        <w:rPr>
          <w:szCs w:val="24"/>
        </w:rPr>
        <w:t>remain</w:t>
      </w:r>
      <w:r w:rsidR="0029167B">
        <w:rPr>
          <w:szCs w:val="24"/>
        </w:rPr>
        <w:t>s</w:t>
      </w:r>
      <w:r w:rsidR="009A0847">
        <w:rPr>
          <w:szCs w:val="24"/>
        </w:rPr>
        <w:t xml:space="preserve"> </w:t>
      </w:r>
      <w:r w:rsidRPr="00CF1197">
        <w:rPr>
          <w:szCs w:val="24"/>
        </w:rPr>
        <w:t>low.</w:t>
      </w:r>
    </w:p>
    <w:p w14:paraId="35103B8F" w14:textId="3F5FBB2D" w:rsidR="00665520" w:rsidRPr="007C55A6" w:rsidRDefault="00DC5304" w:rsidP="007C55A6">
      <w:pPr>
        <w:pStyle w:val="Heading1"/>
      </w:pPr>
      <w:r>
        <w:t>3</w:t>
      </w:r>
      <w:r w:rsidR="00671277">
        <w:t>.</w:t>
      </w:r>
      <w:r w:rsidR="009A0847">
        <w:t xml:space="preserve"> </w:t>
      </w:r>
      <w:r w:rsidR="00071287" w:rsidRPr="007C55A6">
        <w:t>The</w:t>
      </w:r>
      <w:r w:rsidR="009A0847">
        <w:t xml:space="preserve"> </w:t>
      </w:r>
      <w:r w:rsidR="00071287" w:rsidRPr="007C55A6">
        <w:t>E</w:t>
      </w:r>
      <w:r w:rsidR="00665520" w:rsidRPr="007C55A6">
        <w:t>xperiment</w:t>
      </w:r>
    </w:p>
    <w:p w14:paraId="1FC9415E" w14:textId="230E14DD" w:rsidR="0023497B" w:rsidRDefault="0023497B" w:rsidP="0069727D">
      <w:pPr>
        <w:pStyle w:val="Olivier1"/>
        <w:widowControl w:val="0"/>
      </w:pPr>
      <w:r w:rsidRPr="001C003C">
        <w:t>The</w:t>
      </w:r>
      <w:r w:rsidR="009A0847">
        <w:t xml:space="preserve"> </w:t>
      </w:r>
      <w:r w:rsidR="009448E1" w:rsidRPr="001C003C">
        <w:t>between</w:t>
      </w:r>
      <w:r w:rsidR="009A0847">
        <w:t xml:space="preserve"> </w:t>
      </w:r>
      <w:r w:rsidR="009448E1" w:rsidRPr="001C003C">
        <w:t>subject</w:t>
      </w:r>
      <w:r w:rsidR="00F91641">
        <w:t>s</w:t>
      </w:r>
      <w:r w:rsidR="009A0847">
        <w:t xml:space="preserve"> </w:t>
      </w:r>
      <w:r w:rsidRPr="001C003C">
        <w:t>experiment</w:t>
      </w:r>
      <w:r w:rsidR="009A0847">
        <w:t xml:space="preserve"> </w:t>
      </w:r>
      <w:r w:rsidRPr="001C003C">
        <w:t>consist</w:t>
      </w:r>
      <w:r w:rsidR="00506A04" w:rsidRPr="001C003C">
        <w:t>s</w:t>
      </w:r>
      <w:r w:rsidR="009A0847">
        <w:t xml:space="preserve"> </w:t>
      </w:r>
      <w:r w:rsidRPr="001C003C">
        <w:t>of</w:t>
      </w:r>
      <w:r w:rsidR="009A0847">
        <w:t xml:space="preserve"> </w:t>
      </w:r>
      <w:r w:rsidR="003C6E2D">
        <w:t>four</w:t>
      </w:r>
      <w:r w:rsidR="009A0847">
        <w:t xml:space="preserve"> </w:t>
      </w:r>
      <w:r w:rsidRPr="001C003C">
        <w:t>treatments.</w:t>
      </w:r>
      <w:r w:rsidR="009A0847">
        <w:t xml:space="preserve"> </w:t>
      </w:r>
      <w:r w:rsidR="009448E1" w:rsidRPr="001C003C">
        <w:t>A</w:t>
      </w:r>
      <w:r w:rsidR="009A0847">
        <w:t xml:space="preserve"> </w:t>
      </w:r>
      <w:r w:rsidR="00671277">
        <w:t>t</w:t>
      </w:r>
      <w:r w:rsidRPr="001C003C">
        <w:t>rea</w:t>
      </w:r>
      <w:r w:rsidR="005B1609">
        <w:t>tment</w:t>
      </w:r>
      <w:r w:rsidR="009A0847">
        <w:t xml:space="preserve"> </w:t>
      </w:r>
      <w:r w:rsidR="005B1609">
        <w:t>has</w:t>
      </w:r>
      <w:r w:rsidR="009A0847">
        <w:t xml:space="preserve"> </w:t>
      </w:r>
      <w:r w:rsidR="005B1609">
        <w:t>6</w:t>
      </w:r>
      <w:r w:rsidR="009A0847">
        <w:t xml:space="preserve"> </w:t>
      </w:r>
      <w:r w:rsidR="005B1609">
        <w:t>sessions,</w:t>
      </w:r>
      <w:r w:rsidR="009A0847">
        <w:t xml:space="preserve"> </w:t>
      </w:r>
      <w:r w:rsidR="005B1609">
        <w:t>each</w:t>
      </w:r>
      <w:r w:rsidR="009A0847">
        <w:t xml:space="preserve"> </w:t>
      </w:r>
      <w:r w:rsidR="005B1609">
        <w:t>with</w:t>
      </w:r>
      <w:r w:rsidR="009A0847">
        <w:t xml:space="preserve"> </w:t>
      </w:r>
      <w:r w:rsidR="005B1609">
        <w:t>12</w:t>
      </w:r>
      <w:r w:rsidR="009A0847">
        <w:t xml:space="preserve"> </w:t>
      </w:r>
      <w:r w:rsidR="005B1609">
        <w:t>subjects</w:t>
      </w:r>
      <w:r w:rsidR="009A0847">
        <w:t xml:space="preserve"> </w:t>
      </w:r>
      <w:r w:rsidR="005B1609">
        <w:t>(</w:t>
      </w:r>
      <w:r w:rsidRPr="001C003C">
        <w:t>6</w:t>
      </w:r>
      <w:r w:rsidR="009A0847">
        <w:t xml:space="preserve"> </w:t>
      </w:r>
      <w:r w:rsidRPr="001C003C">
        <w:t>banks</w:t>
      </w:r>
      <w:r w:rsidR="009A0847">
        <w:t xml:space="preserve"> </w:t>
      </w:r>
      <w:r w:rsidRPr="001C003C">
        <w:t>and</w:t>
      </w:r>
      <w:r w:rsidR="009A0847">
        <w:t xml:space="preserve"> </w:t>
      </w:r>
      <w:r w:rsidRPr="001C003C">
        <w:t>6</w:t>
      </w:r>
      <w:r w:rsidR="009A0847">
        <w:t xml:space="preserve"> </w:t>
      </w:r>
      <w:r w:rsidRPr="001C003C">
        <w:t>investors</w:t>
      </w:r>
      <w:r w:rsidR="005B1609">
        <w:t>)</w:t>
      </w:r>
      <w:r w:rsidR="009A0847">
        <w:t xml:space="preserve"> </w:t>
      </w:r>
      <w:r w:rsidR="005B1609">
        <w:t>and</w:t>
      </w:r>
      <w:r w:rsidR="009A0847">
        <w:t xml:space="preserve"> </w:t>
      </w:r>
      <w:r w:rsidR="00506A04" w:rsidRPr="001C003C">
        <w:t>25</w:t>
      </w:r>
      <w:r w:rsidR="009A0847">
        <w:t xml:space="preserve"> </w:t>
      </w:r>
      <w:r w:rsidR="00506A04" w:rsidRPr="001C003C">
        <w:t>round</w:t>
      </w:r>
      <w:r w:rsidRPr="001C003C">
        <w:t>s.</w:t>
      </w:r>
      <w:r w:rsidR="009A0847">
        <w:t xml:space="preserve"> </w:t>
      </w:r>
      <w:r w:rsidR="00671277">
        <w:t>Roles</w:t>
      </w:r>
      <w:r w:rsidR="009A0847">
        <w:t xml:space="preserve"> </w:t>
      </w:r>
      <w:r w:rsidR="00671277">
        <w:t>are</w:t>
      </w:r>
      <w:r w:rsidR="009A0847">
        <w:t xml:space="preserve"> </w:t>
      </w:r>
      <w:r w:rsidR="00671277">
        <w:t>fixed</w:t>
      </w:r>
      <w:r w:rsidR="009A0847">
        <w:t xml:space="preserve"> </w:t>
      </w:r>
      <w:r w:rsidR="00671277">
        <w:t>and</w:t>
      </w:r>
      <w:r w:rsidR="009A0847">
        <w:t xml:space="preserve"> </w:t>
      </w:r>
      <w:r w:rsidR="003C6E2D">
        <w:t>pair</w:t>
      </w:r>
      <w:r w:rsidR="009448E1" w:rsidRPr="001C003C">
        <w:t>s</w:t>
      </w:r>
      <w:r w:rsidR="009A0847">
        <w:t xml:space="preserve"> </w:t>
      </w:r>
      <w:r w:rsidR="009448E1" w:rsidRPr="001C003C">
        <w:t>are</w:t>
      </w:r>
      <w:r w:rsidR="009A0847">
        <w:t xml:space="preserve"> </w:t>
      </w:r>
      <w:r w:rsidR="009448E1" w:rsidRPr="001C003C">
        <w:t>randomly</w:t>
      </w:r>
      <w:r w:rsidR="009A0847">
        <w:t xml:space="preserve"> </w:t>
      </w:r>
      <w:r w:rsidR="003C6E2D">
        <w:t>form</w:t>
      </w:r>
      <w:r w:rsidR="009448E1" w:rsidRPr="001C003C">
        <w:t>ed</w:t>
      </w:r>
      <w:r w:rsidR="009A0847">
        <w:t xml:space="preserve"> </w:t>
      </w:r>
      <w:r w:rsidR="009448E1" w:rsidRPr="001C003C">
        <w:t>in</w:t>
      </w:r>
      <w:r w:rsidR="009A0847">
        <w:t xml:space="preserve"> </w:t>
      </w:r>
      <w:r w:rsidR="009448E1" w:rsidRPr="001C003C">
        <w:t>each</w:t>
      </w:r>
      <w:r w:rsidR="009A0847">
        <w:t xml:space="preserve"> </w:t>
      </w:r>
      <w:r w:rsidR="009448E1" w:rsidRPr="001C003C">
        <w:t>round.</w:t>
      </w:r>
      <w:r w:rsidR="009A0847">
        <w:t xml:space="preserve"> </w:t>
      </w:r>
      <w:r w:rsidRPr="001C003C">
        <w:t>Pilot</w:t>
      </w:r>
      <w:r w:rsidR="009A0847">
        <w:t xml:space="preserve"> </w:t>
      </w:r>
      <w:r w:rsidRPr="001C003C">
        <w:t>experiments</w:t>
      </w:r>
      <w:r w:rsidR="009A0847">
        <w:t xml:space="preserve"> </w:t>
      </w:r>
      <w:r w:rsidRPr="001C003C">
        <w:t>were</w:t>
      </w:r>
      <w:r w:rsidR="009A0847">
        <w:t xml:space="preserve"> </w:t>
      </w:r>
      <w:r w:rsidRPr="001C003C">
        <w:t>don</w:t>
      </w:r>
      <w:r w:rsidR="009448E1" w:rsidRPr="001C003C">
        <w:t>e</w:t>
      </w:r>
      <w:r w:rsidR="009A0847">
        <w:t xml:space="preserve"> </w:t>
      </w:r>
      <w:r w:rsidR="009448E1" w:rsidRPr="001C003C">
        <w:t>at</w:t>
      </w:r>
      <w:r w:rsidR="009A0847">
        <w:t xml:space="preserve"> </w:t>
      </w:r>
      <w:r w:rsidR="009448E1" w:rsidRPr="001C003C">
        <w:t>the</w:t>
      </w:r>
      <w:r w:rsidR="009A0847">
        <w:t xml:space="preserve"> </w:t>
      </w:r>
      <w:r w:rsidR="009448E1" w:rsidRPr="001C003C">
        <w:t>University</w:t>
      </w:r>
      <w:r w:rsidR="009A0847">
        <w:t xml:space="preserve"> </w:t>
      </w:r>
      <w:r w:rsidR="009448E1" w:rsidRPr="001C003C">
        <w:t>of</w:t>
      </w:r>
      <w:r w:rsidR="009A0847">
        <w:t xml:space="preserve"> </w:t>
      </w:r>
      <w:r w:rsidR="009448E1" w:rsidRPr="001C003C">
        <w:t>Virginia</w:t>
      </w:r>
      <w:r w:rsidR="009A0847">
        <w:t xml:space="preserve"> </w:t>
      </w:r>
      <w:r w:rsidRPr="001C003C">
        <w:t>and</w:t>
      </w:r>
      <w:r w:rsidR="009A0847">
        <w:t xml:space="preserve"> </w:t>
      </w:r>
      <w:r w:rsidRPr="001C003C">
        <w:t>the</w:t>
      </w:r>
      <w:r w:rsidR="009A0847">
        <w:t xml:space="preserve"> </w:t>
      </w:r>
      <w:r w:rsidRPr="001C003C">
        <w:t>experiment</w:t>
      </w:r>
      <w:r w:rsidR="009A0847">
        <w:t xml:space="preserve"> </w:t>
      </w:r>
      <w:r w:rsidRPr="001C003C">
        <w:t>was</w:t>
      </w:r>
      <w:r w:rsidR="009A0847">
        <w:t xml:space="preserve"> </w:t>
      </w:r>
      <w:r w:rsidRPr="001C003C">
        <w:t>conducted</w:t>
      </w:r>
      <w:r w:rsidR="009A0847">
        <w:t xml:space="preserve"> </w:t>
      </w:r>
      <w:r w:rsidRPr="001C003C">
        <w:t>at</w:t>
      </w:r>
      <w:r w:rsidR="009A0847">
        <w:t xml:space="preserve"> </w:t>
      </w:r>
      <w:r w:rsidRPr="001C003C">
        <w:t>the</w:t>
      </w:r>
      <w:r w:rsidR="009A0847">
        <w:t xml:space="preserve"> </w:t>
      </w:r>
      <w:r w:rsidRPr="001C003C">
        <w:t>Toulouse</w:t>
      </w:r>
      <w:r w:rsidR="009A0847">
        <w:t xml:space="preserve"> </w:t>
      </w:r>
      <w:r w:rsidRPr="001C003C">
        <w:t>School</w:t>
      </w:r>
      <w:r w:rsidR="009A0847">
        <w:t xml:space="preserve"> </w:t>
      </w:r>
      <w:r w:rsidRPr="001C003C">
        <w:t>of</w:t>
      </w:r>
      <w:r w:rsidR="009A0847">
        <w:t xml:space="preserve"> </w:t>
      </w:r>
      <w:r w:rsidRPr="001C003C">
        <w:t>Economics.</w:t>
      </w:r>
      <w:r w:rsidR="009A0847">
        <w:t xml:space="preserve"> </w:t>
      </w:r>
      <w:r w:rsidRPr="001C003C">
        <w:t>The</w:t>
      </w:r>
      <w:r w:rsidR="009A0847">
        <w:t xml:space="preserve"> </w:t>
      </w:r>
      <w:r w:rsidR="009448E1" w:rsidRPr="001C003C">
        <w:t>instructions</w:t>
      </w:r>
      <w:r w:rsidR="009A0847">
        <w:t xml:space="preserve"> </w:t>
      </w:r>
      <w:r w:rsidR="009448E1" w:rsidRPr="001C003C">
        <w:t>(see</w:t>
      </w:r>
      <w:r w:rsidR="009A0847">
        <w:t xml:space="preserve"> </w:t>
      </w:r>
      <w:r w:rsidR="009448E1" w:rsidRPr="001C003C">
        <w:t>Appendix</w:t>
      </w:r>
      <w:r w:rsidR="009A0847">
        <w:t xml:space="preserve"> </w:t>
      </w:r>
      <w:r w:rsidR="00442385">
        <w:t>3</w:t>
      </w:r>
      <w:r w:rsidR="009448E1" w:rsidRPr="001C003C">
        <w:t>)</w:t>
      </w:r>
      <w:r w:rsidR="009A0847">
        <w:t xml:space="preserve"> </w:t>
      </w:r>
      <w:r w:rsidR="009448E1" w:rsidRPr="001C003C">
        <w:t>and</w:t>
      </w:r>
      <w:r w:rsidR="009A0847">
        <w:t xml:space="preserve"> </w:t>
      </w:r>
      <w:r w:rsidR="009448E1" w:rsidRPr="001C003C">
        <w:t>decisions</w:t>
      </w:r>
      <w:r w:rsidR="009A0847">
        <w:t xml:space="preserve"> </w:t>
      </w:r>
      <w:r w:rsidR="009448E1" w:rsidRPr="001C003C">
        <w:t>pages</w:t>
      </w:r>
      <w:r w:rsidR="009A0847">
        <w:t xml:space="preserve"> </w:t>
      </w:r>
      <w:r w:rsidR="009448E1" w:rsidRPr="001C003C">
        <w:t>were</w:t>
      </w:r>
      <w:r w:rsidR="009A0847">
        <w:t xml:space="preserve"> </w:t>
      </w:r>
      <w:r w:rsidR="009448E1" w:rsidRPr="001C003C">
        <w:t>displayed</w:t>
      </w:r>
      <w:r w:rsidR="009A0847">
        <w:t xml:space="preserve"> </w:t>
      </w:r>
      <w:r w:rsidR="009448E1" w:rsidRPr="001C003C">
        <w:t>using</w:t>
      </w:r>
      <w:r w:rsidR="009A0847">
        <w:t xml:space="preserve"> </w:t>
      </w:r>
      <w:r w:rsidR="009448E1" w:rsidRPr="001C003C">
        <w:t>the</w:t>
      </w:r>
      <w:r w:rsidR="009A0847">
        <w:t xml:space="preserve"> </w:t>
      </w:r>
      <w:r w:rsidRPr="001C003C">
        <w:t>web-based</w:t>
      </w:r>
      <w:r w:rsidR="009A0847">
        <w:t xml:space="preserve"> </w:t>
      </w:r>
      <w:r w:rsidRPr="001C003C">
        <w:t>Veconlab</w:t>
      </w:r>
      <w:r w:rsidR="009A0847">
        <w:t xml:space="preserve"> </w:t>
      </w:r>
      <w:r w:rsidR="009448E1" w:rsidRPr="001C003C">
        <w:t>interface</w:t>
      </w:r>
      <w:r w:rsidRPr="001C003C">
        <w:t>.</w:t>
      </w:r>
      <w:r w:rsidR="009A0847">
        <w:t xml:space="preserve"> </w:t>
      </w:r>
      <w:r w:rsidRPr="001C003C">
        <w:t>Each</w:t>
      </w:r>
      <w:r w:rsidR="009A0847">
        <w:t xml:space="preserve"> </w:t>
      </w:r>
      <w:r w:rsidRPr="001C003C">
        <w:t>sessio</w:t>
      </w:r>
      <w:r w:rsidR="00293A60">
        <w:t>n</w:t>
      </w:r>
      <w:r w:rsidR="009A0847">
        <w:t xml:space="preserve"> </w:t>
      </w:r>
      <w:r w:rsidR="00CF1197">
        <w:t>lasted</w:t>
      </w:r>
      <w:r w:rsidR="009A0847">
        <w:t xml:space="preserve"> </w:t>
      </w:r>
      <w:r w:rsidR="00293A60">
        <w:t>about</w:t>
      </w:r>
      <w:r w:rsidR="009A0847">
        <w:t xml:space="preserve"> </w:t>
      </w:r>
      <w:r w:rsidR="00293A60">
        <w:t>90</w:t>
      </w:r>
      <w:r w:rsidR="009A0847">
        <w:t xml:space="preserve"> </w:t>
      </w:r>
      <w:r w:rsidR="00293A60">
        <w:lastRenderedPageBreak/>
        <w:t>minutes.</w:t>
      </w:r>
      <w:r w:rsidR="009A0847">
        <w:t xml:space="preserve"> </w:t>
      </w:r>
      <w:r w:rsidRPr="001C003C">
        <w:t>Earnings</w:t>
      </w:r>
      <w:r w:rsidR="009A0847">
        <w:t xml:space="preserve"> </w:t>
      </w:r>
      <w:r w:rsidRPr="001C003C">
        <w:t>averaged</w:t>
      </w:r>
      <w:r w:rsidR="009A0847">
        <w:t xml:space="preserve"> </w:t>
      </w:r>
      <w:r w:rsidRPr="001C003C">
        <w:t>a</w:t>
      </w:r>
      <w:r w:rsidR="00CF1197">
        <w:t>round</w:t>
      </w:r>
      <w:r w:rsidR="009A0847">
        <w:t xml:space="preserve"> </w:t>
      </w:r>
      <w:r w:rsidR="00761185">
        <w:t>17</w:t>
      </w:r>
      <w:r w:rsidR="00761185" w:rsidRPr="001C003C">
        <w:t>€</w:t>
      </w:r>
      <w:r w:rsidR="00761185">
        <w:t>,</w:t>
      </w:r>
      <w:r w:rsidR="009A0847">
        <w:t xml:space="preserve"> </w:t>
      </w:r>
      <w:r w:rsidR="00761185">
        <w:t>plus</w:t>
      </w:r>
      <w:r w:rsidR="009A0847">
        <w:t xml:space="preserve"> </w:t>
      </w:r>
      <w:r w:rsidR="00761185">
        <w:t>a</w:t>
      </w:r>
      <w:r w:rsidR="009A0847">
        <w:t xml:space="preserve"> </w:t>
      </w:r>
      <w:r w:rsidR="0067731F">
        <w:t>show-up</w:t>
      </w:r>
      <w:r w:rsidR="009A0847">
        <w:t xml:space="preserve"> </w:t>
      </w:r>
      <w:r w:rsidR="0067731F">
        <w:t>payment</w:t>
      </w:r>
      <w:r w:rsidR="009A0847">
        <w:t xml:space="preserve"> </w:t>
      </w:r>
      <w:r w:rsidR="00761185">
        <w:t>of</w:t>
      </w:r>
      <w:r w:rsidR="009A0847">
        <w:t xml:space="preserve"> </w:t>
      </w:r>
      <w:r w:rsidR="00761185">
        <w:t>5</w:t>
      </w:r>
      <w:r w:rsidR="00761185" w:rsidRPr="001C003C">
        <w:t>€</w:t>
      </w:r>
      <w:r w:rsidRPr="001C003C">
        <w:t>.</w:t>
      </w:r>
      <w:r w:rsidR="009A0847">
        <w:t xml:space="preserve"> </w:t>
      </w:r>
    </w:p>
    <w:p w14:paraId="51CCBEAA" w14:textId="2B6F6C3F" w:rsidR="009C552C" w:rsidRPr="001C003C" w:rsidRDefault="00B745D9" w:rsidP="0069727D">
      <w:pPr>
        <w:pStyle w:val="Olivier1"/>
        <w:widowControl w:val="0"/>
      </w:pPr>
      <w:r>
        <w:t>T</w:t>
      </w:r>
      <w:r w:rsidR="009C552C">
        <w:t>he</w:t>
      </w:r>
      <w:r w:rsidR="009A0847">
        <w:t xml:space="preserve"> </w:t>
      </w:r>
      <w:r w:rsidR="00263A76">
        <w:t>average</w:t>
      </w:r>
      <w:r w:rsidR="009A0847">
        <w:t xml:space="preserve"> </w:t>
      </w:r>
      <w:r w:rsidR="00263A76">
        <w:t>participant</w:t>
      </w:r>
      <w:r w:rsidR="009A0847">
        <w:t xml:space="preserve"> </w:t>
      </w:r>
      <w:r>
        <w:t>in</w:t>
      </w:r>
      <w:r w:rsidR="009A0847">
        <w:t xml:space="preserve"> </w:t>
      </w:r>
      <w:r>
        <w:t>the</w:t>
      </w:r>
      <w:r w:rsidR="009A0847">
        <w:t xml:space="preserve"> </w:t>
      </w:r>
      <w:r>
        <w:t>experiment</w:t>
      </w:r>
      <w:r w:rsidR="009A0847">
        <w:t xml:space="preserve"> </w:t>
      </w:r>
      <w:r w:rsidR="00263A76">
        <w:t>was</w:t>
      </w:r>
      <w:r w:rsidR="009A0847">
        <w:t xml:space="preserve"> </w:t>
      </w:r>
      <w:r w:rsidR="00263A76">
        <w:t>22</w:t>
      </w:r>
      <w:r w:rsidR="009A0847">
        <w:t xml:space="preserve"> </w:t>
      </w:r>
      <w:r w:rsidR="00263A76">
        <w:t>year</w:t>
      </w:r>
      <w:r w:rsidR="00E01B03">
        <w:t>s</w:t>
      </w:r>
      <w:r w:rsidR="009A0847">
        <w:t xml:space="preserve"> </w:t>
      </w:r>
      <w:r w:rsidR="00263A76">
        <w:t>old.</w:t>
      </w:r>
      <w:r w:rsidR="009A0847">
        <w:t xml:space="preserve"> </w:t>
      </w:r>
      <w:r w:rsidR="00263A76">
        <w:t>Most</w:t>
      </w:r>
      <w:r w:rsidR="009A0847">
        <w:t xml:space="preserve"> </w:t>
      </w:r>
      <w:r w:rsidR="00263A76">
        <w:t>subjects</w:t>
      </w:r>
      <w:r w:rsidR="009A0847">
        <w:t xml:space="preserve"> </w:t>
      </w:r>
      <w:r w:rsidR="00263A76">
        <w:t>were</w:t>
      </w:r>
      <w:r w:rsidR="009A0847">
        <w:t xml:space="preserve"> </w:t>
      </w:r>
      <w:r w:rsidR="009C552C">
        <w:t>ma</w:t>
      </w:r>
      <w:r w:rsidR="00263A76">
        <w:t>n</w:t>
      </w:r>
      <w:r w:rsidR="009A0847">
        <w:t xml:space="preserve"> </w:t>
      </w:r>
      <w:r>
        <w:t>(58%)</w:t>
      </w:r>
      <w:r w:rsidR="009A0847">
        <w:t xml:space="preserve"> </w:t>
      </w:r>
      <w:r w:rsidR="00263A76">
        <w:t>and</w:t>
      </w:r>
      <w:r w:rsidR="009A0847">
        <w:t xml:space="preserve"> </w:t>
      </w:r>
      <w:r w:rsidR="00263A76">
        <w:t>70%</w:t>
      </w:r>
      <w:r w:rsidR="009A0847">
        <w:t xml:space="preserve"> </w:t>
      </w:r>
      <w:r w:rsidR="009C552C">
        <w:t>studied</w:t>
      </w:r>
      <w:r w:rsidR="009A0847">
        <w:t xml:space="preserve"> </w:t>
      </w:r>
      <w:r>
        <w:t>E</w:t>
      </w:r>
      <w:r w:rsidR="009C552C">
        <w:t>conomic</w:t>
      </w:r>
      <w:r>
        <w:t>s</w:t>
      </w:r>
      <w:r w:rsidR="009A0847">
        <w:t xml:space="preserve"> </w:t>
      </w:r>
      <w:r w:rsidR="009C552C">
        <w:t>or</w:t>
      </w:r>
      <w:r w:rsidR="009A0847">
        <w:t xml:space="preserve"> </w:t>
      </w:r>
      <w:r>
        <w:t>S</w:t>
      </w:r>
      <w:r w:rsidR="009C552C">
        <w:t>ocial</w:t>
      </w:r>
      <w:r w:rsidR="009A0847">
        <w:t xml:space="preserve"> </w:t>
      </w:r>
      <w:r>
        <w:t>S</w:t>
      </w:r>
      <w:r w:rsidR="009C552C">
        <w:t>cience</w:t>
      </w:r>
      <w:r>
        <w:t>s</w:t>
      </w:r>
      <w:r w:rsidR="009C552C">
        <w:t>.</w:t>
      </w:r>
      <w:r w:rsidR="009A0847">
        <w:t xml:space="preserve"> </w:t>
      </w:r>
      <w:r>
        <w:t>We</w:t>
      </w:r>
      <w:r w:rsidR="009A0847">
        <w:t xml:space="preserve"> </w:t>
      </w:r>
      <w:r>
        <w:t>measured</w:t>
      </w:r>
      <w:r w:rsidR="009A0847">
        <w:t xml:space="preserve"> </w:t>
      </w:r>
      <w:r>
        <w:t>risk</w:t>
      </w:r>
      <w:r w:rsidR="009A0847">
        <w:t xml:space="preserve"> </w:t>
      </w:r>
      <w:r>
        <w:t>attitudes</w:t>
      </w:r>
      <w:r w:rsidR="009A0847">
        <w:t xml:space="preserve"> </w:t>
      </w:r>
      <w:r>
        <w:t>using</w:t>
      </w:r>
      <w:r w:rsidR="009A0847">
        <w:t xml:space="preserve"> </w:t>
      </w:r>
      <w:r>
        <w:t>the</w:t>
      </w:r>
      <w:r w:rsidR="009A0847">
        <w:t xml:space="preserve"> </w:t>
      </w:r>
      <w:r>
        <w:t>Bomb</w:t>
      </w:r>
      <w:r w:rsidR="009A0847">
        <w:t xml:space="preserve"> </w:t>
      </w:r>
      <w:r>
        <w:t>Risk</w:t>
      </w:r>
      <w:r w:rsidR="009A0847">
        <w:t xml:space="preserve"> </w:t>
      </w:r>
      <w:r>
        <w:t>Elicitation</w:t>
      </w:r>
      <w:r w:rsidR="009A0847">
        <w:t xml:space="preserve"> </w:t>
      </w:r>
      <w:r>
        <w:t>Task</w:t>
      </w:r>
      <w:r w:rsidR="009A0847">
        <w:t xml:space="preserve"> </w:t>
      </w:r>
      <w:r>
        <w:t>(BRET)</w:t>
      </w:r>
      <w:r w:rsidR="009A0847">
        <w:t xml:space="preserve"> </w:t>
      </w:r>
      <w:r>
        <w:t>of</w:t>
      </w:r>
      <w:r w:rsidR="009A0847">
        <w:t xml:space="preserve"> </w:t>
      </w:r>
      <w:r>
        <w:t>Crosetto</w:t>
      </w:r>
      <w:r w:rsidR="009A0847">
        <w:t xml:space="preserve"> </w:t>
      </w:r>
      <w:r>
        <w:t>and</w:t>
      </w:r>
      <w:r w:rsidR="009A0847">
        <w:t xml:space="preserve"> </w:t>
      </w:r>
      <w:r>
        <w:t>Filippin</w:t>
      </w:r>
      <w:r w:rsidR="009A0847">
        <w:t xml:space="preserve"> </w:t>
      </w:r>
      <w:r>
        <w:t>(2013).</w:t>
      </w:r>
      <w:r w:rsidR="009A0847">
        <w:t xml:space="preserve"> </w:t>
      </w:r>
      <w:r w:rsidR="009C552C">
        <w:t>The</w:t>
      </w:r>
      <w:r w:rsidR="009A0847">
        <w:t xml:space="preserve"> </w:t>
      </w:r>
      <w:r>
        <w:t>average</w:t>
      </w:r>
      <w:r w:rsidR="009A0847">
        <w:t xml:space="preserve"> </w:t>
      </w:r>
      <w:r w:rsidR="009C552C">
        <w:t>BRET</w:t>
      </w:r>
      <w:r w:rsidR="009A0847">
        <w:t xml:space="preserve"> </w:t>
      </w:r>
      <w:r w:rsidR="009C552C">
        <w:t>score,</w:t>
      </w:r>
      <w:r w:rsidR="009A0847">
        <w:t xml:space="preserve"> </w:t>
      </w:r>
      <w:r w:rsidR="009C552C">
        <w:t>measured</w:t>
      </w:r>
      <w:r w:rsidR="009A0847">
        <w:t xml:space="preserve"> </w:t>
      </w:r>
      <w:r w:rsidR="009C552C">
        <w:t>on</w:t>
      </w:r>
      <w:r w:rsidR="009A0847">
        <w:t xml:space="preserve"> </w:t>
      </w:r>
      <w:r w:rsidR="009C552C">
        <w:t>a</w:t>
      </w:r>
      <w:r w:rsidR="009A0847">
        <w:t xml:space="preserve"> </w:t>
      </w:r>
      <w:r w:rsidR="009C552C">
        <w:t>100</w:t>
      </w:r>
      <w:r w:rsidR="009A0847">
        <w:t xml:space="preserve"> </w:t>
      </w:r>
      <w:r w:rsidR="009C552C">
        <w:t>points</w:t>
      </w:r>
      <w:r w:rsidR="009A0847">
        <w:t xml:space="preserve"> </w:t>
      </w:r>
      <w:r w:rsidR="009C552C">
        <w:t>scale</w:t>
      </w:r>
      <w:r w:rsidR="009A0847">
        <w:t xml:space="preserve"> </w:t>
      </w:r>
      <w:r w:rsidR="009C552C">
        <w:t>with</w:t>
      </w:r>
      <w:r w:rsidR="009A0847">
        <w:t xml:space="preserve"> </w:t>
      </w:r>
      <w:r w:rsidR="009C552C">
        <w:t>50</w:t>
      </w:r>
      <w:r w:rsidR="009A0847">
        <w:t xml:space="preserve"> </w:t>
      </w:r>
      <w:r w:rsidR="009C552C">
        <w:t>indicating</w:t>
      </w:r>
      <w:r w:rsidR="009A0847">
        <w:t xml:space="preserve"> </w:t>
      </w:r>
      <w:r w:rsidR="009C552C">
        <w:t>risk</w:t>
      </w:r>
      <w:r w:rsidR="009A0847">
        <w:t xml:space="preserve"> </w:t>
      </w:r>
      <w:r w:rsidR="009C552C">
        <w:t>neutrality,</w:t>
      </w:r>
      <w:r w:rsidR="009A0847">
        <w:t xml:space="preserve"> </w:t>
      </w:r>
      <w:r w:rsidR="009C552C">
        <w:t>was</w:t>
      </w:r>
      <w:r w:rsidR="009A0847">
        <w:t xml:space="preserve"> </w:t>
      </w:r>
      <w:r w:rsidR="009C552C">
        <w:t>47</w:t>
      </w:r>
      <w:r w:rsidR="009A0847">
        <w:t xml:space="preserve"> </w:t>
      </w:r>
      <w:r w:rsidR="009C552C">
        <w:t>thereby</w:t>
      </w:r>
      <w:r w:rsidR="009A0847">
        <w:t xml:space="preserve"> </w:t>
      </w:r>
      <w:r w:rsidR="009C552C">
        <w:t>indicating</w:t>
      </w:r>
      <w:r w:rsidR="009A0847">
        <w:t xml:space="preserve"> </w:t>
      </w:r>
      <w:r w:rsidR="009C552C">
        <w:t>slight</w:t>
      </w:r>
      <w:r w:rsidR="009A0847">
        <w:t xml:space="preserve"> </w:t>
      </w:r>
      <w:r w:rsidR="009C552C">
        <w:t>risk</w:t>
      </w:r>
      <w:r w:rsidR="009A0847">
        <w:t xml:space="preserve"> </w:t>
      </w:r>
      <w:r w:rsidR="009C552C">
        <w:t>aversion.</w:t>
      </w:r>
      <w:r w:rsidR="009A0847">
        <w:t xml:space="preserve"> </w:t>
      </w:r>
    </w:p>
    <w:p w14:paraId="7DBECEE7" w14:textId="53767503" w:rsidR="007910B1" w:rsidRPr="007C55A6" w:rsidRDefault="00071287" w:rsidP="0069727D">
      <w:pPr>
        <w:pStyle w:val="Heading3"/>
        <w:widowControl w:val="0"/>
        <w:spacing w:line="276" w:lineRule="auto"/>
      </w:pPr>
      <w:r w:rsidRPr="007C55A6">
        <w:t>The</w:t>
      </w:r>
      <w:r w:rsidR="009A0847">
        <w:t xml:space="preserve"> </w:t>
      </w:r>
      <w:r w:rsidR="0023497B" w:rsidRPr="007C55A6">
        <w:t>Control</w:t>
      </w:r>
      <w:r w:rsidR="009A0847">
        <w:t xml:space="preserve"> </w:t>
      </w:r>
      <w:r w:rsidR="0023497B" w:rsidRPr="007C55A6">
        <w:t>Treatment</w:t>
      </w:r>
    </w:p>
    <w:p w14:paraId="45A08A55" w14:textId="1BBC6783" w:rsidR="00E01B03" w:rsidRDefault="0023497B" w:rsidP="0069727D">
      <w:pPr>
        <w:pStyle w:val="Olivier1"/>
        <w:widowControl w:val="0"/>
      </w:pPr>
      <w:r w:rsidRPr="001C003C">
        <w:t>Subjects</w:t>
      </w:r>
      <w:r w:rsidR="009A0847">
        <w:t xml:space="preserve"> </w:t>
      </w:r>
      <w:r w:rsidR="00761185">
        <w:t>in</w:t>
      </w:r>
      <w:r w:rsidR="009A0847">
        <w:t xml:space="preserve"> </w:t>
      </w:r>
      <w:r w:rsidR="00761185">
        <w:t>the</w:t>
      </w:r>
      <w:r w:rsidR="009A0847">
        <w:t xml:space="preserve"> </w:t>
      </w:r>
      <w:r w:rsidR="00761185">
        <w:t>control</w:t>
      </w:r>
      <w:r w:rsidR="009A0847">
        <w:t xml:space="preserve"> </w:t>
      </w:r>
      <w:r w:rsidR="00761185">
        <w:t>treatment</w:t>
      </w:r>
      <w:r w:rsidR="009A0847">
        <w:t xml:space="preserve"> </w:t>
      </w:r>
      <w:r w:rsidR="00761185">
        <w:t>play</w:t>
      </w:r>
      <w:r w:rsidR="009A0847">
        <w:t xml:space="preserve"> </w:t>
      </w:r>
      <w:r w:rsidR="00761185">
        <w:t>the</w:t>
      </w:r>
      <w:r w:rsidR="009A0847">
        <w:t xml:space="preserve"> </w:t>
      </w:r>
      <w:r w:rsidR="00761185">
        <w:t>game</w:t>
      </w:r>
      <w:r w:rsidR="009A0847">
        <w:t xml:space="preserve"> </w:t>
      </w:r>
      <w:r w:rsidR="00761185">
        <w:t>described</w:t>
      </w:r>
      <w:r w:rsidR="009A0847">
        <w:t xml:space="preserve"> </w:t>
      </w:r>
      <w:r w:rsidR="00761185">
        <w:t>in</w:t>
      </w:r>
      <w:r w:rsidR="009A0847">
        <w:t xml:space="preserve"> </w:t>
      </w:r>
      <w:r w:rsidR="00761185">
        <w:t>Section</w:t>
      </w:r>
      <w:r w:rsidR="009A0847">
        <w:t xml:space="preserve"> </w:t>
      </w:r>
      <w:r w:rsidR="003256AE">
        <w:t>2</w:t>
      </w:r>
      <w:r w:rsidR="009A0847">
        <w:t xml:space="preserve"> </w:t>
      </w:r>
      <w:r w:rsidRPr="001C003C">
        <w:t>with</w:t>
      </w:r>
      <w:r w:rsidR="009A0847">
        <w:t xml:space="preserve"> </w:t>
      </w:r>
      <w:r w:rsidRPr="001C003C">
        <w:t>the</w:t>
      </w:r>
      <w:r w:rsidR="009A0847">
        <w:t xml:space="preserve"> </w:t>
      </w:r>
      <w:r w:rsidRPr="001C003C">
        <w:t>following</w:t>
      </w:r>
      <w:r w:rsidR="009A0847">
        <w:t xml:space="preserve"> </w:t>
      </w:r>
      <w:r w:rsidRPr="001C003C">
        <w:t>parameters.</w:t>
      </w:r>
      <w:r w:rsidR="003256AE">
        <w:rPr>
          <w:rStyle w:val="FootnoteReference"/>
        </w:rPr>
        <w:footnoteReference w:id="25"/>
      </w:r>
      <w:r w:rsidR="009A0847">
        <w:t xml:space="preserve"> </w:t>
      </w:r>
      <w:r w:rsidR="004B74A9" w:rsidRPr="001C003C">
        <w:t>T</w:t>
      </w:r>
      <w:r w:rsidR="007910B1" w:rsidRPr="001C003C">
        <w:t>he</w:t>
      </w:r>
      <w:r w:rsidR="009A0847">
        <w:t xml:space="preserve"> </w:t>
      </w:r>
      <w:r w:rsidR="009448E1" w:rsidRPr="001C003C">
        <w:t>probabilities</w:t>
      </w:r>
      <w:r w:rsidR="009A0847">
        <w:t xml:space="preserve"> </w:t>
      </w:r>
      <w:r w:rsidR="009448E1" w:rsidRPr="001C003C">
        <w:t>for</w:t>
      </w:r>
      <w:r w:rsidR="009A0847">
        <w:t xml:space="preserve"> </w:t>
      </w:r>
      <w:r w:rsidR="009448E1" w:rsidRPr="001C003C">
        <w:t>the</w:t>
      </w:r>
      <w:r w:rsidR="009A0847">
        <w:t xml:space="preserve"> </w:t>
      </w:r>
      <w:r w:rsidR="007910B1" w:rsidRPr="001C003C">
        <w:t>bank’s</w:t>
      </w:r>
      <w:r w:rsidR="009A0847">
        <w:t xml:space="preserve"> </w:t>
      </w:r>
      <w:r w:rsidR="007910B1" w:rsidRPr="001C003C">
        <w:t>types</w:t>
      </w:r>
      <w:r w:rsidR="009A0847">
        <w:t xml:space="preserve"> </w:t>
      </w:r>
      <w:r w:rsidR="007910B1" w:rsidRPr="001C003C">
        <w:t>are</w:t>
      </w:r>
      <w:r w:rsidR="009A0847"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P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SL</m:t>
            </m:r>
          </m:sub>
        </m:sSub>
        <m:r>
          <w:rPr>
            <w:rFonts w:ascii="Cambria Math" w:hAnsi="Cambria Math"/>
            <w:sz w:val="22"/>
            <w:szCs w:val="22"/>
          </w:rPr>
          <m:t>=1/2</m:t>
        </m:r>
      </m:oMath>
      <w:r w:rsidR="007910B1" w:rsidRPr="001C003C">
        <w:t>,</w:t>
      </w:r>
      <w:r w:rsidR="009A0847"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P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S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acc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L</m:t>
                </m:r>
              </m:e>
            </m:acc>
          </m:sub>
        </m:sSub>
        <m:r>
          <w:rPr>
            <w:rFonts w:ascii="Cambria Math" w:hAnsi="Cambria Math"/>
            <w:sz w:val="22"/>
            <w:szCs w:val="22"/>
          </w:rPr>
          <m:t>=1/6</m:t>
        </m:r>
      </m:oMath>
      <w:r w:rsidR="009A0847">
        <w:t xml:space="preserve"> </w:t>
      </w:r>
      <w:r w:rsidR="007910B1" w:rsidRPr="001C003C">
        <w:t>and</w:t>
      </w:r>
      <w:r w:rsidR="009A0847">
        <w:t xml:space="preserve"> </w:t>
      </w:r>
      <m:oMath>
        <m:sSub>
          <m:sSubPr>
            <m:ctrlPr>
              <w:rPr>
                <w:rFonts w:ascii="Cambria Math" w:hAnsi="Cambria Math"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P</m:t>
            </m:r>
          </m:e>
          <m:sub>
            <m:acc>
              <m:accPr>
                <m:chr m:val="̅"/>
                <m:ctrlPr>
                  <w:rPr>
                    <w:rFonts w:ascii="Cambria Math" w:hAnsi="Cambria Math"/>
                    <w:sz w:val="22"/>
                    <w:szCs w:val="22"/>
                  </w:rPr>
                </m:ctrlPr>
              </m:acc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S</m:t>
                </m:r>
              </m:e>
            </m:acc>
            <m:acc>
              <m:accPr>
                <m:chr m:val="̅"/>
                <m:ctrlPr>
                  <w:rPr>
                    <w:rFonts w:ascii="Cambria Math" w:hAnsi="Cambria Math"/>
                    <w:sz w:val="22"/>
                    <w:szCs w:val="22"/>
                  </w:rPr>
                </m:ctrlPr>
              </m:acc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L</m:t>
                </m:r>
              </m:e>
            </m:acc>
          </m:sub>
        </m:sSub>
        <m:r>
          <w:rPr>
            <w:rFonts w:ascii="Cambria Math" w:hAnsi="Cambria Math"/>
            <w:sz w:val="22"/>
            <w:szCs w:val="22"/>
          </w:rPr>
          <m:t>=1/3</m:t>
        </m:r>
      </m:oMath>
      <w:r w:rsidR="007910B1" w:rsidRPr="001C003C">
        <w:t>.</w:t>
      </w:r>
      <w:r w:rsidR="009A0847">
        <w:t xml:space="preserve"> </w:t>
      </w:r>
      <w:r w:rsidR="007910B1" w:rsidRPr="001C003C">
        <w:t>Thus</w:t>
      </w:r>
      <w:r w:rsidR="009448E1" w:rsidRPr="001C003C">
        <w:t>,</w:t>
      </w:r>
      <w:r w:rsidR="009A0847">
        <w:t xml:space="preserve"> </w:t>
      </w:r>
      <w:r w:rsidR="009448E1" w:rsidRPr="001C003C">
        <w:t>the</w:t>
      </w:r>
      <w:r w:rsidR="009A0847">
        <w:t xml:space="preserve"> </w:t>
      </w:r>
      <w:r w:rsidR="009448E1" w:rsidRPr="001C003C">
        <w:t>unconditional</w:t>
      </w:r>
      <w:r w:rsidR="009A0847">
        <w:t xml:space="preserve"> </w:t>
      </w:r>
      <w:r w:rsidR="009448E1" w:rsidRPr="001C003C">
        <w:t>probability</w:t>
      </w:r>
      <w:r w:rsidR="009A0847">
        <w:t xml:space="preserve"> </w:t>
      </w:r>
      <w:r w:rsidR="009448E1" w:rsidRPr="001C003C">
        <w:t>that</w:t>
      </w:r>
      <w:r w:rsidR="009A0847">
        <w:t xml:space="preserve"> </w:t>
      </w:r>
      <w:r w:rsidR="009448E1" w:rsidRPr="001C003C">
        <w:t>a</w:t>
      </w:r>
      <w:r w:rsidR="009A0847">
        <w:t xml:space="preserve"> </w:t>
      </w:r>
      <w:r w:rsidR="009448E1" w:rsidRPr="001C003C">
        <w:t>bank</w:t>
      </w:r>
      <w:r w:rsidR="009A0847">
        <w:t xml:space="preserve"> </w:t>
      </w:r>
      <w:r w:rsidR="009448E1" w:rsidRPr="001C003C">
        <w:t>is</w:t>
      </w:r>
      <w:r w:rsidR="009A0847">
        <w:t xml:space="preserve"> </w:t>
      </w:r>
      <w:r w:rsidR="009448E1" w:rsidRPr="001C003C">
        <w:t>solvent</w:t>
      </w:r>
      <w:r w:rsidR="009A0847">
        <w:t xml:space="preserve"> </w:t>
      </w:r>
      <w:r w:rsidR="005B1609">
        <w:t>is</w:t>
      </w:r>
      <w:r w:rsidR="009A0847">
        <w:t xml:space="preserve"> </w:t>
      </w:r>
      <m:oMath>
        <m:r>
          <w:rPr>
            <w:rFonts w:ascii="Cambria Math" w:hAnsi="Cambria Math"/>
            <w:sz w:val="22"/>
            <w:szCs w:val="22"/>
          </w:rPr>
          <m:t>p=2/3</m:t>
        </m:r>
      </m:oMath>
      <w:r w:rsidR="009448E1" w:rsidRPr="001C003C">
        <w:t>,</w:t>
      </w:r>
      <w:r w:rsidR="009A0847">
        <w:t xml:space="preserve"> </w:t>
      </w:r>
      <w:r w:rsidR="009448E1" w:rsidRPr="001C003C">
        <w:t>while</w:t>
      </w:r>
      <w:r w:rsidR="009A0847">
        <w:t xml:space="preserve"> </w:t>
      </w:r>
      <w:r w:rsidR="007910B1" w:rsidRPr="001C003C">
        <w:t>the</w:t>
      </w:r>
      <w:r w:rsidR="009A0847">
        <w:t xml:space="preserve"> </w:t>
      </w:r>
      <w:r w:rsidR="007910B1" w:rsidRPr="001C003C">
        <w:t>probability</w:t>
      </w:r>
      <w:r w:rsidR="009A0847">
        <w:t xml:space="preserve"> </w:t>
      </w:r>
      <w:r w:rsidR="007910B1" w:rsidRPr="001C003C">
        <w:t>that</w:t>
      </w:r>
      <w:r w:rsidR="009A0847">
        <w:t xml:space="preserve"> </w:t>
      </w:r>
      <w:r w:rsidR="007910B1" w:rsidRPr="001C003C">
        <w:t>a</w:t>
      </w:r>
      <w:r w:rsidR="009A0847">
        <w:t xml:space="preserve"> </w:t>
      </w:r>
      <w:r w:rsidR="007910B1" w:rsidRPr="001C003C">
        <w:t>bank</w:t>
      </w:r>
      <w:r w:rsidR="009A0847">
        <w:t xml:space="preserve"> </w:t>
      </w:r>
      <w:r w:rsidR="007910B1" w:rsidRPr="001C003C">
        <w:t>is</w:t>
      </w:r>
      <w:r w:rsidR="009A0847">
        <w:t xml:space="preserve"> </w:t>
      </w:r>
      <w:r w:rsidR="007910B1" w:rsidRPr="001C003C">
        <w:t>solvent</w:t>
      </w:r>
      <w:r w:rsidR="009A0847">
        <w:t xml:space="preserve"> </w:t>
      </w:r>
      <w:r w:rsidR="007910B1" w:rsidRPr="001C003C">
        <w:t>conditional</w:t>
      </w:r>
      <w:r w:rsidR="009A0847">
        <w:t xml:space="preserve"> </w:t>
      </w:r>
      <w:r w:rsidR="007910B1" w:rsidRPr="001C003C">
        <w:t>on</w:t>
      </w:r>
      <w:r w:rsidR="009A0847">
        <w:t xml:space="preserve"> </w:t>
      </w:r>
      <w:r w:rsidR="007910B1" w:rsidRPr="001C003C">
        <w:t>being</w:t>
      </w:r>
      <w:r w:rsidR="009A0847">
        <w:t xml:space="preserve"> </w:t>
      </w:r>
      <w:r w:rsidR="007910B1" w:rsidRPr="001C003C">
        <w:t>illiquid</w:t>
      </w:r>
      <w:r w:rsidR="009A0847">
        <w:t xml:space="preserve"> </w:t>
      </w:r>
      <w:r w:rsidR="009448E1" w:rsidRPr="001C003C">
        <w:t>is</w:t>
      </w:r>
      <w:r w:rsidR="009A0847">
        <w:t xml:space="preserve"> </w:t>
      </w:r>
      <w:r w:rsidR="009448E1" w:rsidRPr="001C003C">
        <w:t>only</w:t>
      </w:r>
      <w:r w:rsidR="009A0847">
        <w:t xml:space="preserve"> </w:t>
      </w:r>
      <m:oMath>
        <m:bar>
          <m:barPr>
            <m:ctrlPr>
              <w:rPr>
                <w:rFonts w:ascii="Cambria Math" w:hAnsi="Cambria Math"/>
                <w:i/>
                <w:sz w:val="22"/>
                <w:szCs w:val="22"/>
              </w:rPr>
            </m:ctrlPr>
          </m:barPr>
          <m:e>
            <m:r>
              <w:rPr>
                <w:rFonts w:ascii="Cambria Math" w:hAnsi="Cambria Math"/>
                <w:sz w:val="22"/>
                <w:szCs w:val="22"/>
              </w:rPr>
              <m:t>P</m:t>
            </m:r>
          </m:e>
        </m:bar>
        <m:r>
          <w:rPr>
            <w:rFonts w:ascii="Cambria Math" w:hAnsi="Cambria Math"/>
            <w:sz w:val="22"/>
            <w:szCs w:val="22"/>
          </w:rPr>
          <m:t>=1/3</m:t>
        </m:r>
      </m:oMath>
      <w:r w:rsidR="009448E1" w:rsidRPr="001C003C">
        <w:t>.</w:t>
      </w:r>
      <w:r w:rsidR="009A0847">
        <w:t xml:space="preserve"> </w:t>
      </w:r>
      <w:r w:rsidR="009448E1" w:rsidRPr="001C003C">
        <w:t>T</w:t>
      </w:r>
      <w:r w:rsidR="004B74A9" w:rsidRPr="001C003C">
        <w:t>he</w:t>
      </w:r>
      <w:r w:rsidR="009A0847">
        <w:t xml:space="preserve"> </w:t>
      </w:r>
      <w:r w:rsidR="004B74A9" w:rsidRPr="001C003C">
        <w:t>value</w:t>
      </w:r>
      <w:r w:rsidR="009A0847">
        <w:t xml:space="preserve"> </w:t>
      </w:r>
      <w:r w:rsidR="004B74A9" w:rsidRPr="001C003C">
        <w:t>of</w:t>
      </w:r>
      <w:r w:rsidR="009A0847">
        <w:t xml:space="preserve"> </w:t>
      </w:r>
      <w:r w:rsidR="004B74A9" w:rsidRPr="001C003C">
        <w:t>the</w:t>
      </w:r>
      <w:r w:rsidR="009A0847">
        <w:t xml:space="preserve"> </w:t>
      </w:r>
      <w:r w:rsidR="009448E1" w:rsidRPr="001C003C">
        <w:t>bank</w:t>
      </w:r>
      <w:r w:rsidR="009A0847">
        <w:t xml:space="preserve"> </w:t>
      </w:r>
      <w:r w:rsidR="00F72D79">
        <w:t>when</w:t>
      </w:r>
      <w:r w:rsidR="009A0847">
        <w:t xml:space="preserve"> </w:t>
      </w:r>
      <w:r w:rsidR="009448E1" w:rsidRPr="001C003C">
        <w:t>solvent</w:t>
      </w:r>
      <w:r w:rsidR="009A0847">
        <w:t xml:space="preserve"> </w:t>
      </w:r>
      <w:r w:rsidR="009448E1" w:rsidRPr="001C003C">
        <w:t>is</w:t>
      </w:r>
      <w:r w:rsidR="009A0847">
        <w:t xml:space="preserve"> </w:t>
      </w:r>
      <m:oMath>
        <m:r>
          <w:rPr>
            <w:rFonts w:ascii="Cambria Math" w:hAnsi="Cambria Math"/>
            <w:sz w:val="22"/>
            <w:szCs w:val="22"/>
          </w:rPr>
          <m:t>V=100</m:t>
        </m:r>
      </m:oMath>
      <w:r w:rsidR="009A0847">
        <w:t xml:space="preserve"> </w:t>
      </w:r>
      <w:r w:rsidR="004B74A9" w:rsidRPr="001C003C">
        <w:t>and</w:t>
      </w:r>
      <w:r w:rsidR="009A0847">
        <w:t xml:space="preserve"> </w:t>
      </w:r>
      <w:r w:rsidR="004B74A9" w:rsidRPr="001C003C">
        <w:t>the</w:t>
      </w:r>
      <w:r w:rsidR="009A0847">
        <w:t xml:space="preserve"> </w:t>
      </w:r>
      <w:r w:rsidR="004B74A9" w:rsidRPr="001C003C">
        <w:t>in</w:t>
      </w:r>
      <w:r w:rsidR="00761185">
        <w:t>vestor’s</w:t>
      </w:r>
      <w:r w:rsidR="009A0847">
        <w:t xml:space="preserve"> </w:t>
      </w:r>
      <w:r w:rsidR="00761185">
        <w:t>outside</w:t>
      </w:r>
      <w:r w:rsidR="009A0847">
        <w:t xml:space="preserve"> </w:t>
      </w:r>
      <w:r w:rsidR="00761185">
        <w:t>option</w:t>
      </w:r>
      <w:r w:rsidR="009A0847">
        <w:t xml:space="preserve"> </w:t>
      </w:r>
      <w:r w:rsidR="009448E1" w:rsidRPr="001C003C">
        <w:t>is</w:t>
      </w:r>
      <w:r w:rsidR="009A0847">
        <w:t xml:space="preserve"> </w:t>
      </w:r>
      <m:oMath>
        <m:r>
          <w:rPr>
            <w:rFonts w:ascii="Cambria Math" w:hAnsi="Cambria Math"/>
            <w:sz w:val="22"/>
            <w:szCs w:val="22"/>
          </w:rPr>
          <m:t>v=50</m:t>
        </m:r>
      </m:oMath>
      <w:r w:rsidR="00000AB7">
        <w:t>.</w:t>
      </w:r>
      <w:r w:rsidR="009A0847">
        <w:t xml:space="preserve"> </w:t>
      </w:r>
      <w:r w:rsidR="00000AB7">
        <w:t>It</w:t>
      </w:r>
      <w:r w:rsidR="009A0847">
        <w:t xml:space="preserve"> </w:t>
      </w:r>
      <w:r w:rsidR="00000AB7">
        <w:t>is</w:t>
      </w:r>
      <w:r w:rsidR="009A0847">
        <w:t xml:space="preserve"> </w:t>
      </w:r>
      <w:r w:rsidR="00000AB7">
        <w:t>easy</w:t>
      </w:r>
      <w:r w:rsidR="009A0847">
        <w:t xml:space="preserve"> </w:t>
      </w:r>
      <w:r w:rsidR="00000AB7">
        <w:t>to</w:t>
      </w:r>
      <w:r w:rsidR="009A0847">
        <w:t xml:space="preserve"> </w:t>
      </w:r>
      <w:r w:rsidR="00000AB7">
        <w:t>verify</w:t>
      </w:r>
      <w:r w:rsidR="009A0847">
        <w:t xml:space="preserve"> </w:t>
      </w:r>
      <w:r w:rsidR="00000AB7">
        <w:t>that</w:t>
      </w:r>
      <w:r w:rsidR="009A0847">
        <w:t xml:space="preserve"> </w:t>
      </w:r>
      <w:r w:rsidR="004B74A9" w:rsidRPr="001C003C">
        <w:rPr>
          <w:i/>
        </w:rPr>
        <w:t>R2</w:t>
      </w:r>
      <w:r w:rsidR="009A0847">
        <w:t xml:space="preserve"> </w:t>
      </w:r>
      <w:r w:rsidR="004B74A9" w:rsidRPr="001C003C">
        <w:t>is</w:t>
      </w:r>
      <w:r w:rsidR="009A0847">
        <w:t xml:space="preserve"> </w:t>
      </w:r>
      <w:r w:rsidR="00A96F77" w:rsidRPr="001C003C">
        <w:t>satisfied</w:t>
      </w:r>
      <w:r w:rsidR="00183EDE">
        <w:t xml:space="preserve"> (</w:t>
      </w:r>
      <w:r w:rsidR="00CD7662">
        <w:t>i.e.</w:t>
      </w:r>
      <w:r w:rsidR="009A0847">
        <w:t xml:space="preserve"> </w:t>
      </w:r>
      <m:oMath>
        <m:bar>
          <m:barPr>
            <m:ctrlPr>
              <w:rPr>
                <w:rFonts w:ascii="Cambria Math" w:hAnsi="Cambria Math"/>
                <w:i/>
                <w:sz w:val="22"/>
                <w:szCs w:val="22"/>
              </w:rPr>
            </m:ctrlPr>
          </m:barPr>
          <m:e>
            <m:r>
              <w:rPr>
                <w:rFonts w:ascii="Cambria Math" w:hAnsi="Cambria Math"/>
                <w:sz w:val="22"/>
                <w:szCs w:val="22"/>
              </w:rPr>
              <m:t>P</m:t>
            </m:r>
          </m:e>
        </m:bar>
        <m:r>
          <w:rPr>
            <w:rFonts w:ascii="Cambria Math" w:hAnsi="Cambria Math"/>
            <w:sz w:val="22"/>
            <w:szCs w:val="22"/>
          </w:rPr>
          <m:t>&lt;v/V&lt;p</m:t>
        </m:r>
      </m:oMath>
      <w:r w:rsidR="00183EDE">
        <w:rPr>
          <w:sz w:val="22"/>
          <w:szCs w:val="22"/>
        </w:rPr>
        <w:t>)</w:t>
      </w:r>
      <w:r w:rsidR="00A96F77" w:rsidRPr="001C003C">
        <w:t>.</w:t>
      </w:r>
      <w:r w:rsidR="009A0847">
        <w:t xml:space="preserve"> </w:t>
      </w:r>
      <w:r w:rsidR="00AB618F" w:rsidRPr="001C003C">
        <w:t>The</w:t>
      </w:r>
      <w:r w:rsidR="009A0847">
        <w:t xml:space="preserve"> </w:t>
      </w:r>
      <w:r w:rsidR="00AB618F" w:rsidRPr="001C003C">
        <w:t>cost</w:t>
      </w:r>
      <w:r w:rsidR="009A0847">
        <w:t xml:space="preserve"> </w:t>
      </w:r>
      <w:r w:rsidR="00AB618F" w:rsidRPr="001C003C">
        <w:t>of</w:t>
      </w:r>
      <w:r w:rsidR="009A0847">
        <w:t xml:space="preserve"> </w:t>
      </w:r>
      <w:r w:rsidR="00AB618F" w:rsidRPr="001C003C">
        <w:t>the</w:t>
      </w:r>
      <w:r w:rsidR="009A0847">
        <w:t xml:space="preserve"> </w:t>
      </w:r>
      <w:r w:rsidR="00AB618F" w:rsidRPr="001C003C">
        <w:t>DW</w:t>
      </w:r>
      <w:r w:rsidR="009A0847">
        <w:t xml:space="preserve"> </w:t>
      </w:r>
      <w:r w:rsidR="00AB618F" w:rsidRPr="001C003C">
        <w:t>is</w:t>
      </w:r>
      <w:r w:rsidR="009A0847">
        <w:t xml:space="preserve"> </w:t>
      </w:r>
      <w:r w:rsidR="0067731F">
        <w:t>set</w:t>
      </w:r>
      <w:r w:rsidR="009A0847">
        <w:t xml:space="preserve"> </w:t>
      </w:r>
      <w:r w:rsidR="0067731F">
        <w:t>to</w:t>
      </w:r>
      <w:r w:rsidR="009A0847">
        <w:t xml:space="preserve"> </w:t>
      </w:r>
      <w:r w:rsidR="0067731F">
        <w:t>be</w:t>
      </w:r>
      <w:r w:rsidR="009A0847">
        <w:t xml:space="preserve"> </w:t>
      </w:r>
      <w:r w:rsidR="0067731F">
        <w:t>half</w:t>
      </w:r>
      <w:r w:rsidR="009A0847">
        <w:t xml:space="preserve"> </w:t>
      </w:r>
      <w:r w:rsidR="0067731F">
        <w:t>as</w:t>
      </w:r>
      <w:r w:rsidR="009A0847">
        <w:t xml:space="preserve"> </w:t>
      </w:r>
      <w:r w:rsidR="0067731F">
        <w:t>large</w:t>
      </w:r>
      <w:r w:rsidR="009A0847">
        <w:t xml:space="preserve"> </w:t>
      </w:r>
      <w:r w:rsidR="0067731F">
        <w:t>as</w:t>
      </w:r>
      <w:r w:rsidR="009A0847">
        <w:t xml:space="preserve"> </w:t>
      </w:r>
      <w:r w:rsidR="0067731F">
        <w:t>the</w:t>
      </w:r>
      <w:r w:rsidR="009A0847">
        <w:t xml:space="preserve"> </w:t>
      </w:r>
      <w:r w:rsidR="0067731F">
        <w:t>cost</w:t>
      </w:r>
      <w:r w:rsidR="009A0847">
        <w:t xml:space="preserve"> </w:t>
      </w:r>
      <w:r w:rsidR="0067731F">
        <w:t>of</w:t>
      </w:r>
      <w:r w:rsidR="009A0847">
        <w:t xml:space="preserve"> </w:t>
      </w:r>
      <w:r w:rsidR="0067731F">
        <w:t>the</w:t>
      </w:r>
      <w:r w:rsidR="009A0847">
        <w:t xml:space="preserve"> </w:t>
      </w:r>
      <w:r w:rsidR="0067731F">
        <w:t>alternative</w:t>
      </w:r>
      <w:r w:rsidR="004936DB">
        <w:t>,</w:t>
      </w:r>
      <w:r w:rsidR="009A0847">
        <w:t xml:space="preserve"> </w:t>
      </w:r>
      <w:r w:rsidR="0067731F">
        <w:t>with</w:t>
      </w:r>
      <w:r w:rsidR="009A0847">
        <w:t xml:space="preserve"> </w:t>
      </w:r>
      <m:oMath>
        <m:r>
          <w:rPr>
            <w:rFonts w:ascii="Cambria Math" w:hAnsi="Cambria Math"/>
            <w:sz w:val="22"/>
            <w:szCs w:val="22"/>
          </w:rPr>
          <m:t>dw=20</m:t>
        </m:r>
      </m:oMath>
      <w:r w:rsidR="009A0847">
        <w:t xml:space="preserve"> </w:t>
      </w:r>
      <w:r w:rsidR="00A96F77" w:rsidRPr="001C003C">
        <w:t>and</w:t>
      </w:r>
      <w:r w:rsidR="009A0847">
        <w:t xml:space="preserve"> </w:t>
      </w:r>
      <m:oMath>
        <m:r>
          <w:rPr>
            <w:rFonts w:ascii="Cambria Math" w:hAnsi="Cambria Math"/>
            <w:sz w:val="22"/>
            <w:szCs w:val="22"/>
          </w:rPr>
          <m:t xml:space="preserve">c=40. </m:t>
        </m:r>
      </m:oMath>
      <w:r w:rsidR="009A0847">
        <w:t xml:space="preserve"> </w:t>
      </w:r>
      <w:r w:rsidR="00A96F77" w:rsidRPr="001C003C">
        <w:t>Setting</w:t>
      </w:r>
      <w:r w:rsidR="009A0847">
        <w:t xml:space="preserve"> </w:t>
      </w:r>
      <w:r w:rsidR="00A96F77" w:rsidRPr="001C003C">
        <w:t>the</w:t>
      </w:r>
      <w:r w:rsidR="009A0847">
        <w:t xml:space="preserve"> </w:t>
      </w:r>
      <w:r w:rsidR="003C6E2D">
        <w:t>ban</w:t>
      </w:r>
      <w:r w:rsidR="005A78A0">
        <w:t>k’s</w:t>
      </w:r>
      <w:r w:rsidR="009A0847">
        <w:t xml:space="preserve"> </w:t>
      </w:r>
      <w:r w:rsidR="00A96F77" w:rsidRPr="001C003C">
        <w:t>profit</w:t>
      </w:r>
      <w:r w:rsidR="009A0847">
        <w:t xml:space="preserve"> </w:t>
      </w:r>
      <w:r w:rsidR="00AB618F" w:rsidRPr="001C003C">
        <w:t>to</w:t>
      </w:r>
      <w:r w:rsidR="009A0847">
        <w:t xml:space="preserve"> </w:t>
      </w:r>
      <m:oMath>
        <m:r>
          <w:rPr>
            <w:rFonts w:ascii="Cambria Math" w:hAnsi="Cambria Math"/>
            <w:sz w:val="22"/>
            <w:szCs w:val="22"/>
          </w:rPr>
          <m:t>k=50</m:t>
        </m:r>
      </m:oMath>
      <w:r w:rsidR="009A0847">
        <w:t xml:space="preserve"> </w:t>
      </w:r>
      <w:r w:rsidR="00A96F77" w:rsidRPr="001C003C">
        <w:t>guarantees</w:t>
      </w:r>
      <w:r w:rsidR="009A0847">
        <w:t xml:space="preserve"> </w:t>
      </w:r>
      <w:r w:rsidR="00A96F77" w:rsidRPr="001C003C">
        <w:t>that</w:t>
      </w:r>
      <w:r w:rsidR="009A0847">
        <w:t xml:space="preserve"> </w:t>
      </w:r>
      <w:r w:rsidR="00A96F77" w:rsidRPr="001C003C">
        <w:rPr>
          <w:i/>
        </w:rPr>
        <w:t>R1</w:t>
      </w:r>
      <w:r w:rsidR="009A0847">
        <w:t xml:space="preserve"> </w:t>
      </w:r>
      <w:r w:rsidR="00A96F77" w:rsidRPr="001C003C">
        <w:t>is</w:t>
      </w:r>
      <w:r w:rsidR="009A0847">
        <w:t xml:space="preserve"> </w:t>
      </w:r>
      <w:r w:rsidR="00A96F77" w:rsidRPr="001C003C">
        <w:t>satisfied</w:t>
      </w:r>
      <w:r w:rsidR="00183EDE">
        <w:t xml:space="preserve"> </w:t>
      </w:r>
      <w:r w:rsidR="00183EDE" w:rsidRPr="001C003C">
        <w:t>(</w:t>
      </w:r>
      <w:r w:rsidR="00183EDE">
        <w:t xml:space="preserve">i.e. </w:t>
      </w:r>
      <m:oMath>
        <m:r>
          <m:rPr>
            <m:sty m:val="p"/>
          </m:rPr>
          <w:rPr>
            <w:rFonts w:ascii="Cambria Math" w:hAnsi="Cambria Math"/>
            <w:sz w:val="22"/>
            <w:szCs w:val="22"/>
          </w:rPr>
          <m:t>0&lt;</m:t>
        </m:r>
        <m:r>
          <w:rPr>
            <w:rFonts w:ascii="Cambria Math" w:hAnsi="Cambria Math"/>
            <w:sz w:val="22"/>
            <w:szCs w:val="22"/>
          </w:rPr>
          <m:t>dw</m:t>
        </m:r>
        <m:r>
          <m:rPr>
            <m:sty m:val="p"/>
          </m:rPr>
          <w:rPr>
            <w:rFonts w:ascii="Cambria Math" w:hAnsi="Cambria Math"/>
            <w:sz w:val="22"/>
            <w:szCs w:val="22"/>
          </w:rPr>
          <m:t>&lt;</m:t>
        </m:r>
        <m:r>
          <w:rPr>
            <w:rFonts w:ascii="Cambria Math" w:hAnsi="Cambria Math"/>
            <w:sz w:val="22"/>
            <w:szCs w:val="22"/>
          </w:rPr>
          <m:t>c</m:t>
        </m:r>
        <m:r>
          <m:rPr>
            <m:sty m:val="p"/>
          </m:rPr>
          <w:rPr>
            <w:rFonts w:ascii="Cambria Math" w:hAnsi="Cambria Math"/>
            <w:sz w:val="22"/>
            <w:szCs w:val="22"/>
          </w:rPr>
          <m:t>&lt;</m:t>
        </m:r>
        <m:r>
          <w:rPr>
            <w:rFonts w:ascii="Cambria Math" w:hAnsi="Cambria Math"/>
            <w:sz w:val="22"/>
            <w:szCs w:val="22"/>
          </w:rPr>
          <m:t>k</m:t>
        </m:r>
        <m:r>
          <m:rPr>
            <m:sty m:val="p"/>
          </m:rPr>
          <w:rPr>
            <w:rFonts w:ascii="Cambria Math" w:hAnsi="Cambria Math"/>
            <w:sz w:val="22"/>
            <w:szCs w:val="22"/>
          </w:rPr>
          <m:t>≤</m:t>
        </m:r>
        <m:r>
          <w:rPr>
            <w:rFonts w:ascii="Cambria Math" w:hAnsi="Cambria Math"/>
            <w:sz w:val="22"/>
            <w:szCs w:val="22"/>
          </w:rPr>
          <m:t>v</m:t>
        </m:r>
        <m:r>
          <m:rPr>
            <m:sty m:val="p"/>
          </m:rPr>
          <w:rPr>
            <w:rFonts w:ascii="Cambria Math" w:hAnsi="Cambria Math"/>
            <w:sz w:val="22"/>
            <w:szCs w:val="22"/>
          </w:rPr>
          <m:t>&lt;</m:t>
        </m:r>
        <m:r>
          <w:rPr>
            <w:rFonts w:ascii="Cambria Math" w:hAnsi="Cambria Math"/>
            <w:sz w:val="22"/>
            <w:szCs w:val="22"/>
          </w:rPr>
          <m:t>V</m:t>
        </m:r>
      </m:oMath>
      <w:r w:rsidR="00183EDE" w:rsidRPr="001C003C">
        <w:t>)</w:t>
      </w:r>
      <w:r w:rsidR="00E01B03">
        <w:t>.</w:t>
      </w:r>
    </w:p>
    <w:p w14:paraId="3FE73F37" w14:textId="7B7B2EA3" w:rsidR="00183EDE" w:rsidRDefault="00A96F77" w:rsidP="00183EDE">
      <w:pPr>
        <w:pStyle w:val="Olivier1"/>
        <w:widowControl w:val="0"/>
        <w:spacing w:after="0"/>
        <w:ind w:firstLine="360"/>
      </w:pPr>
      <w:r w:rsidRPr="001C003C">
        <w:t>The</w:t>
      </w:r>
      <w:r w:rsidR="009A0847">
        <w:t xml:space="preserve"> </w:t>
      </w:r>
      <w:r w:rsidRPr="001C003C">
        <w:t>endogenous</w:t>
      </w:r>
      <w:r w:rsidR="009A0847">
        <w:t xml:space="preserve"> </w:t>
      </w:r>
      <w:r w:rsidRPr="001C003C">
        <w:t>probabilities</w:t>
      </w:r>
      <w:r w:rsidR="009A0847">
        <w:t xml:space="preserve"> </w:t>
      </w:r>
      <w:r w:rsidRPr="001C003C">
        <w:t>of</w:t>
      </w:r>
      <w:r w:rsidR="009A0847">
        <w:t xml:space="preserve"> </w:t>
      </w:r>
      <w:r w:rsidRPr="001C003C">
        <w:t>detection</w:t>
      </w:r>
      <w:r w:rsidR="009A0847">
        <w:t xml:space="preserve"> </w:t>
      </w:r>
      <w:r w:rsidRPr="001C003C">
        <w:t>are</w:t>
      </w:r>
      <w:r w:rsidR="009A0847">
        <w:t xml:space="preserve"> </w:t>
      </w:r>
      <w:r w:rsidRPr="001C003C">
        <w:t>set</w:t>
      </w:r>
      <w:r w:rsidR="009A0847">
        <w:t xml:space="preserve"> </w:t>
      </w:r>
      <w:r w:rsidRPr="001C003C">
        <w:t>to</w:t>
      </w:r>
      <w:r w:rsidR="009A0847">
        <w:t xml:space="preserve"> </w:t>
      </w:r>
      <m:oMath>
        <m:r>
          <w:rPr>
            <w:rFonts w:ascii="Cambria Math" w:hAnsi="Cambria Math"/>
            <w:sz w:val="22"/>
            <w:szCs w:val="22"/>
          </w:rPr>
          <m:t>θ</m:t>
        </m:r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1</m:t>
            </m:r>
          </m:e>
        </m:d>
        <m:r>
          <w:rPr>
            <w:rFonts w:ascii="Cambria Math" w:hAnsi="Cambria Math"/>
            <w:sz w:val="22"/>
            <w:szCs w:val="22"/>
          </w:rPr>
          <m:t>=0.75</m:t>
        </m:r>
      </m:oMath>
      <w:r w:rsidR="00797CD7" w:rsidRPr="001C003C">
        <w:t>,</w:t>
      </w:r>
      <w:r w:rsidR="009A0847">
        <w:t xml:space="preserve"> </w:t>
      </w:r>
      <m:oMath>
        <m:r>
          <w:rPr>
            <w:rFonts w:ascii="Cambria Math" w:hAnsi="Cambria Math"/>
            <w:sz w:val="22"/>
            <w:szCs w:val="22"/>
          </w:rPr>
          <m:t>θ</m:t>
        </m:r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2</m:t>
            </m:r>
          </m:e>
        </m:d>
        <m:r>
          <w:rPr>
            <w:rFonts w:ascii="Cambria Math" w:hAnsi="Cambria Math"/>
            <w:sz w:val="22"/>
            <w:szCs w:val="22"/>
          </w:rPr>
          <m:t>=0.5</m:t>
        </m:r>
      </m:oMath>
      <w:r w:rsidR="00797CD7" w:rsidRPr="001C003C">
        <w:t>,</w:t>
      </w:r>
      <w:r w:rsidR="009A0847">
        <w:t xml:space="preserve"> </w:t>
      </w:r>
      <w:r w:rsidR="00797CD7" w:rsidRPr="001C003C">
        <w:t>and</w:t>
      </w:r>
      <w:r w:rsidR="009A0847">
        <w:t xml:space="preserve"> </w:t>
      </w:r>
      <m:oMath>
        <m:r>
          <w:rPr>
            <w:rFonts w:ascii="Cambria Math" w:hAnsi="Cambria Math"/>
            <w:sz w:val="22"/>
            <w:szCs w:val="22"/>
          </w:rPr>
          <m:t>θ</m:t>
        </m:r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n</m:t>
            </m:r>
          </m:e>
        </m:d>
        <m:r>
          <w:rPr>
            <w:rFonts w:ascii="Cambria Math" w:hAnsi="Cambria Math"/>
            <w:sz w:val="22"/>
            <w:szCs w:val="22"/>
          </w:rPr>
          <m:t>=0.25</m:t>
        </m:r>
      </m:oMath>
      <w:r w:rsidR="009A0847">
        <w:t xml:space="preserve"> </w:t>
      </w:r>
      <w:r w:rsidR="00797CD7" w:rsidRPr="001C003C">
        <w:t>for</w:t>
      </w:r>
      <w:r w:rsidR="009A0847">
        <w:t xml:space="preserve"> </w:t>
      </w:r>
      <m:oMath>
        <m:r>
          <w:rPr>
            <w:rFonts w:ascii="Cambria Math" w:hAnsi="Cambria Math"/>
            <w:sz w:val="22"/>
            <w:szCs w:val="22"/>
          </w:rPr>
          <m:t>n≥3</m:t>
        </m:r>
      </m:oMath>
      <w:r w:rsidR="00797CD7" w:rsidRPr="001C003C">
        <w:t>.</w:t>
      </w:r>
      <w:r w:rsidR="009A0847">
        <w:t xml:space="preserve"> </w:t>
      </w:r>
      <w:r w:rsidRPr="001C003C">
        <w:t>With</w:t>
      </w:r>
      <w:r w:rsidR="009A0847">
        <w:t xml:space="preserve"> </w:t>
      </w:r>
      <m:oMath>
        <m:r>
          <w:rPr>
            <w:rFonts w:ascii="Cambria Math" w:hAnsi="Cambria Math"/>
            <w:sz w:val="22"/>
            <w:szCs w:val="22"/>
          </w:rPr>
          <m:t>N=6</m:t>
        </m:r>
      </m:oMath>
      <w:r w:rsidR="009A0847">
        <w:t xml:space="preserve"> </w:t>
      </w:r>
      <w:r w:rsidRPr="001C003C">
        <w:t>banks</w:t>
      </w:r>
      <w:r w:rsidR="009A0847">
        <w:t xml:space="preserve"> </w:t>
      </w:r>
      <w:r w:rsidRPr="001C003C">
        <w:t>and</w:t>
      </w:r>
      <w:r w:rsidR="009A0847">
        <w:t xml:space="preserve"> </w:t>
      </w:r>
      <w:r w:rsidRPr="001C003C">
        <w:t>a</w:t>
      </w:r>
      <w:r w:rsidR="009A0847">
        <w:t xml:space="preserve"> </w:t>
      </w:r>
      <w:r w:rsidR="00AB618F" w:rsidRPr="001C003C">
        <w:t>probability</w:t>
      </w:r>
      <w:r w:rsidR="009A0847">
        <w:t xml:space="preserve"> </w:t>
      </w:r>
      <w:r w:rsidR="00AB618F" w:rsidRPr="001C003C">
        <w:t>to</w:t>
      </w:r>
      <w:r w:rsidR="009A0847">
        <w:t xml:space="preserve"> </w:t>
      </w:r>
      <w:r w:rsidR="00AB618F" w:rsidRPr="001C003C">
        <w:t>be</w:t>
      </w:r>
      <w:r w:rsidR="009A0847">
        <w:t xml:space="preserve"> </w:t>
      </w:r>
      <w:r w:rsidR="00AB618F" w:rsidRPr="001C003C">
        <w:t>liquid</w:t>
      </w:r>
      <w:r w:rsidR="009A0847">
        <w:t xml:space="preserve"> </w:t>
      </w:r>
      <w:r w:rsidRPr="001C003C">
        <w:t>of</w:t>
      </w:r>
      <w:r w:rsidR="009A0847">
        <w:t xml:space="preserve"> </w:t>
      </w:r>
      <m:oMath>
        <m:sSub>
          <m:sSubPr>
            <m:ctrlPr>
              <w:rPr>
                <w:rFonts w:ascii="Cambria Math" w:hAnsi="Cambria Math"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P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SL</m:t>
            </m:r>
          </m:sub>
        </m:sSub>
        <m:r>
          <w:rPr>
            <w:rFonts w:ascii="Cambria Math" w:hAnsi="Cambria Math"/>
            <w:sz w:val="22"/>
            <w:szCs w:val="22"/>
          </w:rPr>
          <m:t>=0.5</m:t>
        </m:r>
      </m:oMath>
      <w:r w:rsidR="00AB618F" w:rsidRPr="001C003C">
        <w:t>,</w:t>
      </w:r>
      <w:r w:rsidR="009A0847">
        <w:t xml:space="preserve"> </w:t>
      </w:r>
      <w:r w:rsidRPr="001C003C">
        <w:t>the</w:t>
      </w:r>
      <w:r w:rsidR="009A0847">
        <w:t xml:space="preserve"> </w:t>
      </w:r>
      <w:r w:rsidR="00AB618F" w:rsidRPr="001C003C">
        <w:t>average</w:t>
      </w:r>
      <w:r w:rsidR="009A0847">
        <w:t xml:space="preserve"> </w:t>
      </w:r>
      <w:r w:rsidRPr="001C003C">
        <w:t>number</w:t>
      </w:r>
      <w:r w:rsidR="009A0847">
        <w:t xml:space="preserve"> </w:t>
      </w:r>
      <w:r w:rsidRPr="001C003C">
        <w:t>of</w:t>
      </w:r>
      <w:r w:rsidR="009A0847">
        <w:t xml:space="preserve"> </w:t>
      </w:r>
      <w:r w:rsidRPr="001C003C">
        <w:t>illiquid</w:t>
      </w:r>
      <w:r w:rsidR="009A0847">
        <w:t xml:space="preserve"> </w:t>
      </w:r>
      <w:r w:rsidRPr="001C003C">
        <w:t>banks</w:t>
      </w:r>
      <w:r w:rsidR="009A0847">
        <w:t xml:space="preserve"> </w:t>
      </w:r>
      <w:r w:rsidR="0003460D" w:rsidRPr="001C003C">
        <w:t>in</w:t>
      </w:r>
      <w:r w:rsidR="009A0847">
        <w:t xml:space="preserve"> </w:t>
      </w:r>
      <w:r w:rsidR="0003460D" w:rsidRPr="001C003C">
        <w:t>each</w:t>
      </w:r>
      <w:r w:rsidR="009A0847">
        <w:t xml:space="preserve"> </w:t>
      </w:r>
      <w:r w:rsidR="0003460D" w:rsidRPr="001C003C">
        <w:t>round</w:t>
      </w:r>
      <w:r w:rsidR="009A0847">
        <w:t xml:space="preserve"> </w:t>
      </w:r>
      <w:r w:rsidR="0003460D" w:rsidRPr="001C003C">
        <w:t>is</w:t>
      </w:r>
      <w:r w:rsidR="009A0847">
        <w:t xml:space="preserve"> </w:t>
      </w:r>
      <m:oMath>
        <m:sSub>
          <m:sSubPr>
            <m:ctrlPr>
              <w:rPr>
                <w:rFonts w:ascii="Cambria Math" w:hAnsi="Cambria Math"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N</m:t>
            </m:r>
          </m:e>
          <m:sub>
            <m:acc>
              <m:accPr>
                <m:chr m:val="̅"/>
                <m:ctrlPr>
                  <w:rPr>
                    <w:rFonts w:ascii="Cambria Math" w:hAnsi="Cambria Math"/>
                    <w:sz w:val="22"/>
                    <w:szCs w:val="22"/>
                  </w:rPr>
                </m:ctrlPr>
              </m:acc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L</m:t>
                </m:r>
              </m:e>
            </m:acc>
          </m:sub>
        </m:sSub>
        <m:r>
          <w:rPr>
            <w:rFonts w:ascii="Cambria Math" w:hAnsi="Cambria Math"/>
            <w:sz w:val="22"/>
            <w:szCs w:val="22"/>
          </w:rPr>
          <m:t>=3</m:t>
        </m:r>
      </m:oMath>
      <w:r w:rsidRPr="001C003C">
        <w:t>.</w:t>
      </w:r>
      <w:r w:rsidR="009A0847">
        <w:t xml:space="preserve"> </w:t>
      </w:r>
      <w:r w:rsidR="009F37EB">
        <w:t>T</w:t>
      </w:r>
      <w:r w:rsidR="00AB618F" w:rsidRPr="001C003C">
        <w:t>he</w:t>
      </w:r>
      <w:r w:rsidR="009A0847">
        <w:t xml:space="preserve"> </w:t>
      </w:r>
      <w:r w:rsidR="00AB618F" w:rsidRPr="001C003C">
        <w:t>threshold</w:t>
      </w:r>
      <w:r w:rsidR="009A0847">
        <w:t xml:space="preserve"> </w:t>
      </w:r>
      <w:r w:rsidR="00AB618F" w:rsidRPr="001C003C">
        <w:t>probability</w:t>
      </w:r>
      <w:r w:rsidR="009A0847">
        <w:t xml:space="preserve"> </w:t>
      </w:r>
      <w:r w:rsidR="003256AE">
        <w:t>is</w:t>
      </w:r>
      <w:r w:rsidR="009A0847"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θ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0</m:t>
            </m:r>
          </m:sub>
        </m:sSub>
        <m:r>
          <w:rPr>
            <w:rFonts w:ascii="Cambria Math" w:hAnsi="Cambria Math"/>
            <w:sz w:val="22"/>
            <w:szCs w:val="22"/>
          </w:rPr>
          <m:t>=θ</m:t>
        </m:r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2"/>
                    <w:szCs w:val="22"/>
                  </w:rPr>
                  <m:t>0</m:t>
                </m:r>
              </m:sub>
            </m:sSub>
          </m:e>
        </m:d>
        <m:r>
          <w:rPr>
            <w:rFonts w:ascii="Cambria Math" w:hAnsi="Cambria Math"/>
            <w:sz w:val="22"/>
            <w:szCs w:val="22"/>
          </w:rPr>
          <m:t>=(c-dw)/k=0.4</m:t>
        </m:r>
      </m:oMath>
      <w:r w:rsidR="00AB618F" w:rsidRPr="001C003C">
        <w:t>,</w:t>
      </w:r>
      <w:r w:rsidR="009A0847">
        <w:t xml:space="preserve"> </w:t>
      </w:r>
      <w:r w:rsidR="0003460D" w:rsidRPr="001C003C">
        <w:t>so</w:t>
      </w:r>
      <w:r w:rsidR="009A0847">
        <w:t xml:space="preserve"> </w:t>
      </w:r>
      <w:r w:rsidR="0003460D" w:rsidRPr="001C003C">
        <w:t>that</w:t>
      </w:r>
      <w:r w:rsidR="009A0847">
        <w:t xml:space="preserve"> </w:t>
      </w:r>
      <m:oMath>
        <m:r>
          <w:rPr>
            <w:rFonts w:ascii="Cambria Math" w:hAnsi="Cambria Math"/>
            <w:sz w:val="22"/>
            <w:szCs w:val="22"/>
          </w:rPr>
          <m:t>2</m:t>
        </m:r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&lt;n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0</m:t>
            </m:r>
          </m:sub>
        </m:sSub>
        <m:r>
          <w:rPr>
            <w:rFonts w:ascii="Cambria Math" w:hAnsi="Cambria Math"/>
            <w:sz w:val="22"/>
            <w:szCs w:val="22"/>
          </w:rPr>
          <m:t>&lt;3</m:t>
        </m:r>
      </m:oMath>
      <w:r w:rsidR="0003460D" w:rsidRPr="001C003C">
        <w:t>.</w:t>
      </w:r>
      <w:r w:rsidR="009A0847">
        <w:t xml:space="preserve"> </w:t>
      </w:r>
      <w:r w:rsidR="0003460D" w:rsidRPr="001C003C">
        <w:t>Thus,</w:t>
      </w:r>
      <w:r w:rsidR="009A0847">
        <w:t xml:space="preserve"> </w:t>
      </w:r>
      <w:r w:rsidR="0003460D" w:rsidRPr="001C003C">
        <w:t>the</w:t>
      </w:r>
      <w:r w:rsidR="009A0847">
        <w:t xml:space="preserve"> </w:t>
      </w:r>
      <w:r w:rsidR="0003460D" w:rsidRPr="001C003C">
        <w:t>condition</w:t>
      </w:r>
      <w:r w:rsidR="009A0847">
        <w:t xml:space="preserve"> </w:t>
      </w:r>
      <w:r w:rsidR="0003460D" w:rsidRPr="001C003C">
        <w:t>from</w:t>
      </w:r>
      <w:r w:rsidR="009A0847">
        <w:t xml:space="preserve"> </w:t>
      </w:r>
      <w:r w:rsidR="00AB618F" w:rsidRPr="001C003C">
        <w:t>C</w:t>
      </w:r>
      <w:r w:rsidR="0003460D" w:rsidRPr="001C003C">
        <w:t>orollary</w:t>
      </w:r>
      <w:r w:rsidR="009A0847">
        <w:t xml:space="preserve"> </w:t>
      </w:r>
      <w:r w:rsidR="0003460D" w:rsidRPr="001C003C">
        <w:t>1,</w:t>
      </w:r>
      <w:r w:rsidR="009A0847">
        <w:t xml:space="preserve"> </w:t>
      </w:r>
      <w:r w:rsidR="003256AE">
        <w:t>i.e.</w:t>
      </w:r>
      <w:r w:rsidR="009A0847">
        <w:t xml:space="preserve"> </w:t>
      </w:r>
      <m:oMath>
        <m:r>
          <w:rPr>
            <w:rFonts w:ascii="Cambria Math" w:hAnsi="Cambria Math"/>
            <w:sz w:val="22"/>
            <w:szCs w:val="22"/>
          </w:rPr>
          <m:t>1&lt;</m:t>
        </m:r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n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0</m:t>
            </m:r>
          </m:sub>
        </m:sSub>
        <m:r>
          <w:rPr>
            <w:rFonts w:ascii="Cambria Math" w:hAnsi="Cambria Math"/>
            <w:sz w:val="22"/>
            <w:szCs w:val="22"/>
          </w:rPr>
          <m:t>&lt;</m:t>
        </m:r>
        <m:sSub>
          <m:sSubPr>
            <m:ctrlPr>
              <w:rPr>
                <w:rFonts w:ascii="Cambria Math" w:hAnsi="Cambria Math"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N</m:t>
            </m:r>
          </m:e>
          <m:sub>
            <m:acc>
              <m:accPr>
                <m:chr m:val="̅"/>
                <m:ctrlPr>
                  <w:rPr>
                    <w:rFonts w:ascii="Cambria Math" w:hAnsi="Cambria Math"/>
                    <w:sz w:val="22"/>
                    <w:szCs w:val="22"/>
                  </w:rPr>
                </m:ctrlPr>
              </m:acc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L</m:t>
                </m:r>
              </m:e>
            </m:acc>
          </m:sub>
        </m:sSub>
      </m:oMath>
      <w:r w:rsidR="0003460D" w:rsidRPr="001C003C">
        <w:t>,</w:t>
      </w:r>
      <w:r w:rsidR="009A0847">
        <w:t xml:space="preserve"> </w:t>
      </w:r>
      <w:r w:rsidR="0003460D" w:rsidRPr="001C003C">
        <w:t>is</w:t>
      </w:r>
      <w:r w:rsidR="009A0847">
        <w:t xml:space="preserve"> </w:t>
      </w:r>
      <w:r w:rsidR="0003460D" w:rsidRPr="001C003C">
        <w:t>satisfied</w:t>
      </w:r>
      <w:r w:rsidR="009A0847">
        <w:t xml:space="preserve"> </w:t>
      </w:r>
      <w:r w:rsidR="0003460D" w:rsidRPr="001C003C">
        <w:t>and</w:t>
      </w:r>
      <w:r w:rsidR="009A0847">
        <w:t xml:space="preserve"> </w:t>
      </w:r>
      <w:r w:rsidR="0003460D" w:rsidRPr="001C003C">
        <w:t>both</w:t>
      </w:r>
      <w:r w:rsidR="009A0847">
        <w:t xml:space="preserve"> </w:t>
      </w:r>
      <m:oMath>
        <m:r>
          <m:rPr>
            <m:sty m:val="bi"/>
          </m:rPr>
          <w:rPr>
            <w:rFonts w:ascii="Cambria Math" w:hAnsi="Cambria Math"/>
            <w:sz w:val="22"/>
            <w:szCs w:val="22"/>
          </w:rPr>
          <m:t>NoSt</m:t>
        </m:r>
      </m:oMath>
      <w:r w:rsidR="009A0847">
        <w:t xml:space="preserve"> </w:t>
      </w:r>
      <w:r w:rsidR="0003460D" w:rsidRPr="001C003C">
        <w:t>and</w:t>
      </w:r>
      <w:r w:rsidR="009A0847">
        <w:t xml:space="preserve"> </w:t>
      </w:r>
      <m:oMath>
        <m:r>
          <m:rPr>
            <m:sty m:val="bi"/>
          </m:rPr>
          <w:rPr>
            <w:rFonts w:ascii="Cambria Math" w:hAnsi="Cambria Math"/>
            <w:sz w:val="22"/>
            <w:szCs w:val="22"/>
          </w:rPr>
          <m:t>St</m:t>
        </m:r>
      </m:oMath>
      <w:r w:rsidR="009A0847">
        <w:t xml:space="preserve"> </w:t>
      </w:r>
      <w:r w:rsidR="00293A60">
        <w:t>are</w:t>
      </w:r>
      <w:r w:rsidR="009A0847">
        <w:t xml:space="preserve"> </w:t>
      </w:r>
      <w:r w:rsidR="0003460D" w:rsidRPr="001C003C">
        <w:t>equilibria.</w:t>
      </w:r>
      <w:r w:rsidR="009A0847">
        <w:t xml:space="preserve"> </w:t>
      </w:r>
    </w:p>
    <w:p w14:paraId="3FB9207F" w14:textId="77777777" w:rsidR="00183EDE" w:rsidRPr="00183EDE" w:rsidRDefault="00183EDE" w:rsidP="00183EDE">
      <w:pPr>
        <w:pStyle w:val="Olivier1"/>
        <w:widowControl w:val="0"/>
        <w:spacing w:after="0"/>
        <w:rPr>
          <w:sz w:val="8"/>
          <w:szCs w:val="8"/>
        </w:rPr>
      </w:pPr>
    </w:p>
    <w:tbl>
      <w:tblPr>
        <w:tblStyle w:val="TableGrid"/>
        <w:tblW w:w="94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25"/>
        <w:gridCol w:w="1890"/>
        <w:gridCol w:w="609"/>
        <w:gridCol w:w="1473"/>
        <w:gridCol w:w="1416"/>
        <w:gridCol w:w="1274"/>
        <w:gridCol w:w="1253"/>
      </w:tblGrid>
      <w:tr w:rsidR="00183EDE" w14:paraId="640B729E" w14:textId="77777777" w:rsidTr="00183EDE">
        <w:tc>
          <w:tcPr>
            <w:tcW w:w="944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F195C5" w14:textId="77777777" w:rsidR="00183EDE" w:rsidRDefault="00183EDE" w:rsidP="00183EDE">
            <w:pPr>
              <w:pStyle w:val="Olivier1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A78A0">
              <w:rPr>
                <w:b/>
                <w:szCs w:val="24"/>
              </w:rPr>
              <w:t>Table</w:t>
            </w:r>
            <w:r>
              <w:rPr>
                <w:b/>
                <w:szCs w:val="24"/>
              </w:rPr>
              <w:t xml:space="preserve"> 1</w:t>
            </w:r>
            <w:r w:rsidRPr="005A78A0">
              <w:rPr>
                <w:b/>
                <w:szCs w:val="24"/>
              </w:rPr>
              <w:t>:</w:t>
            </w:r>
            <w:r>
              <w:rPr>
                <w:b/>
                <w:szCs w:val="24"/>
              </w:rPr>
              <w:t xml:space="preserve"> </w:t>
            </w:r>
            <w:r w:rsidRPr="005A78A0">
              <w:rPr>
                <w:b/>
                <w:szCs w:val="24"/>
              </w:rPr>
              <w:t>Profits</w:t>
            </w:r>
            <w:r>
              <w:rPr>
                <w:b/>
                <w:szCs w:val="24"/>
              </w:rPr>
              <w:t xml:space="preserve"> </w:t>
            </w:r>
            <w:r w:rsidRPr="005A78A0">
              <w:rPr>
                <w:b/>
                <w:szCs w:val="24"/>
              </w:rPr>
              <w:t>and</w:t>
            </w:r>
            <w:r>
              <w:rPr>
                <w:b/>
                <w:szCs w:val="24"/>
              </w:rPr>
              <w:t xml:space="preserve"> </w:t>
            </w:r>
            <w:r w:rsidRPr="005A78A0">
              <w:rPr>
                <w:b/>
                <w:szCs w:val="24"/>
              </w:rPr>
              <w:t>Total</w:t>
            </w:r>
            <w:r>
              <w:rPr>
                <w:b/>
                <w:szCs w:val="24"/>
              </w:rPr>
              <w:t xml:space="preserve"> </w:t>
            </w:r>
            <w:r w:rsidRPr="005A78A0">
              <w:rPr>
                <w:b/>
                <w:szCs w:val="24"/>
              </w:rPr>
              <w:t>Surplus</w:t>
            </w:r>
            <w:r>
              <w:rPr>
                <w:b/>
                <w:szCs w:val="24"/>
              </w:rPr>
              <w:t xml:space="preserve"> </w:t>
            </w:r>
            <w:r w:rsidRPr="005A78A0">
              <w:rPr>
                <w:b/>
                <w:szCs w:val="24"/>
              </w:rPr>
              <w:t>in</w:t>
            </w:r>
            <w:r>
              <w:rPr>
                <w:b/>
                <w:szCs w:val="24"/>
              </w:rPr>
              <w:t xml:space="preserve"> </w:t>
            </w:r>
            <w:r w:rsidRPr="005A78A0">
              <w:rPr>
                <w:b/>
                <w:szCs w:val="24"/>
              </w:rPr>
              <w:t>Each</w:t>
            </w:r>
            <w:r>
              <w:rPr>
                <w:b/>
                <w:szCs w:val="24"/>
              </w:rPr>
              <w:t xml:space="preserve"> </w:t>
            </w:r>
            <w:r w:rsidRPr="005A78A0">
              <w:rPr>
                <w:b/>
                <w:szCs w:val="24"/>
              </w:rPr>
              <w:t>Treatment</w:t>
            </w:r>
          </w:p>
        </w:tc>
      </w:tr>
      <w:tr w:rsidR="00183EDE" w14:paraId="043D8417" w14:textId="77777777" w:rsidTr="00183EDE"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2638FF40" w14:textId="77777777" w:rsidR="00183EDE" w:rsidRPr="00A37C91" w:rsidRDefault="00183EDE" w:rsidP="00183EDE">
            <w:pPr>
              <w:pStyle w:val="Olivier1"/>
              <w:spacing w:after="0" w:line="240" w:lineRule="auto"/>
              <w:jc w:val="center"/>
              <w:rPr>
                <w:rFonts w:ascii="Times" w:hAnsi="Times"/>
                <w:sz w:val="22"/>
                <w:szCs w:val="22"/>
              </w:rPr>
            </w:pPr>
            <w:r w:rsidRPr="00A37C91">
              <w:rPr>
                <w:rFonts w:ascii="Times" w:hAnsi="Times"/>
                <w:sz w:val="22"/>
                <w:szCs w:val="22"/>
              </w:rPr>
              <w:t>Treatment</w:t>
            </w:r>
          </w:p>
        </w:tc>
        <w:tc>
          <w:tcPr>
            <w:tcW w:w="249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3A50AA5" w14:textId="77777777" w:rsidR="00183EDE" w:rsidRPr="00A37C91" w:rsidRDefault="00183EDE" w:rsidP="00183EDE">
            <w:pPr>
              <w:pStyle w:val="Olivier1"/>
              <w:spacing w:after="0" w:line="240" w:lineRule="auto"/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4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965853" w14:textId="77777777" w:rsidR="00183EDE" w:rsidRPr="00A37C91" w:rsidRDefault="00183EDE" w:rsidP="00183EDE">
            <w:pPr>
              <w:pStyle w:val="Olivier1"/>
              <w:spacing w:after="0" w:line="240" w:lineRule="auto"/>
              <w:jc w:val="center"/>
              <w:rPr>
                <w:rFonts w:ascii="Times" w:hAnsi="Times"/>
                <w:sz w:val="22"/>
                <w:szCs w:val="22"/>
              </w:rPr>
            </w:pPr>
            <w:r w:rsidRPr="00A37C91">
              <w:rPr>
                <w:rFonts w:ascii="Times" w:hAnsi="Times"/>
                <w:sz w:val="22"/>
                <w:szCs w:val="22"/>
              </w:rPr>
              <w:t>Illiquid</w:t>
            </w:r>
            <w:r>
              <w:rPr>
                <w:rFonts w:ascii="Times" w:hAnsi="Times"/>
                <w:sz w:val="22"/>
                <w:szCs w:val="22"/>
              </w:rPr>
              <w:t xml:space="preserve"> </w:t>
            </w:r>
            <w:r w:rsidRPr="00A37C91">
              <w:rPr>
                <w:rFonts w:ascii="Times" w:hAnsi="Times"/>
                <w:sz w:val="22"/>
                <w:szCs w:val="22"/>
              </w:rPr>
              <w:t>Bank’s</w:t>
            </w:r>
            <w:r>
              <w:rPr>
                <w:rFonts w:ascii="Times" w:hAnsi="Times"/>
                <w:sz w:val="22"/>
                <w:szCs w:val="22"/>
              </w:rPr>
              <w:t xml:space="preserve"> </w:t>
            </w:r>
            <w:r w:rsidRPr="00A37C91">
              <w:rPr>
                <w:rFonts w:ascii="Times" w:hAnsi="Times"/>
                <w:sz w:val="22"/>
                <w:szCs w:val="22"/>
              </w:rPr>
              <w:t>Profit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BC72FB6" w14:textId="77777777" w:rsidR="00183EDE" w:rsidRPr="00A37C91" w:rsidRDefault="00183EDE" w:rsidP="00183EDE">
            <w:pPr>
              <w:pStyle w:val="Olivier1"/>
              <w:spacing w:after="0" w:line="240" w:lineRule="auto"/>
              <w:jc w:val="center"/>
              <w:rPr>
                <w:rFonts w:ascii="Times" w:hAnsi="Times"/>
                <w:sz w:val="22"/>
                <w:szCs w:val="22"/>
              </w:rPr>
            </w:pPr>
            <w:r w:rsidRPr="00A37C91">
              <w:rPr>
                <w:rFonts w:ascii="Times" w:hAnsi="Times"/>
                <w:sz w:val="22"/>
                <w:szCs w:val="22"/>
              </w:rPr>
              <w:t>Liquid</w:t>
            </w:r>
            <w:r>
              <w:rPr>
                <w:rFonts w:ascii="Times" w:hAnsi="Times"/>
                <w:sz w:val="22"/>
                <w:szCs w:val="22"/>
              </w:rPr>
              <w:t xml:space="preserve"> </w:t>
            </w:r>
            <w:r w:rsidRPr="00A37C91">
              <w:rPr>
                <w:rFonts w:ascii="Times" w:hAnsi="Times"/>
                <w:sz w:val="22"/>
                <w:szCs w:val="22"/>
              </w:rPr>
              <w:t>Bank’s</w:t>
            </w:r>
            <w:r>
              <w:rPr>
                <w:rFonts w:ascii="Times" w:hAnsi="Times"/>
                <w:sz w:val="22"/>
                <w:szCs w:val="22"/>
              </w:rPr>
              <w:t xml:space="preserve"> </w:t>
            </w:r>
            <w:r w:rsidRPr="00A37C91">
              <w:rPr>
                <w:rFonts w:ascii="Times" w:hAnsi="Times"/>
                <w:sz w:val="22"/>
                <w:szCs w:val="22"/>
              </w:rPr>
              <w:t>Profit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37E1E81" w14:textId="77777777" w:rsidR="00183EDE" w:rsidRPr="00A37C91" w:rsidRDefault="00183EDE" w:rsidP="00183EDE">
            <w:pPr>
              <w:pStyle w:val="Olivier1"/>
              <w:spacing w:after="0" w:line="240" w:lineRule="auto"/>
              <w:jc w:val="center"/>
              <w:rPr>
                <w:rFonts w:ascii="Times" w:hAnsi="Times"/>
                <w:sz w:val="22"/>
                <w:szCs w:val="22"/>
              </w:rPr>
            </w:pPr>
            <w:r w:rsidRPr="00A37C91">
              <w:rPr>
                <w:rFonts w:ascii="Times" w:hAnsi="Times"/>
                <w:sz w:val="22"/>
                <w:szCs w:val="22"/>
              </w:rPr>
              <w:t>Investor’s</w:t>
            </w:r>
            <w:r>
              <w:rPr>
                <w:rFonts w:ascii="Times" w:hAnsi="Times"/>
                <w:sz w:val="22"/>
                <w:szCs w:val="22"/>
              </w:rPr>
              <w:t xml:space="preserve"> </w:t>
            </w:r>
            <w:r w:rsidRPr="00A37C91">
              <w:rPr>
                <w:rFonts w:ascii="Times" w:hAnsi="Times"/>
                <w:sz w:val="22"/>
                <w:szCs w:val="22"/>
              </w:rPr>
              <w:t>Profit</w:t>
            </w:r>
          </w:p>
        </w:tc>
        <w:tc>
          <w:tcPr>
            <w:tcW w:w="12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64F5FB" w14:textId="77777777" w:rsidR="00183EDE" w:rsidRPr="00A37C91" w:rsidRDefault="00183EDE" w:rsidP="00183EDE">
            <w:pPr>
              <w:pStyle w:val="Olivier1"/>
              <w:spacing w:after="0" w:line="240" w:lineRule="auto"/>
              <w:jc w:val="center"/>
              <w:rPr>
                <w:rFonts w:ascii="Times" w:hAnsi="Times"/>
                <w:sz w:val="22"/>
                <w:szCs w:val="22"/>
              </w:rPr>
            </w:pPr>
            <w:r w:rsidRPr="00A37C91">
              <w:rPr>
                <w:rFonts w:ascii="Times" w:hAnsi="Times"/>
                <w:sz w:val="22"/>
                <w:szCs w:val="22"/>
              </w:rPr>
              <w:t>Total</w:t>
            </w:r>
            <w:r>
              <w:rPr>
                <w:rFonts w:ascii="Times" w:hAnsi="Times"/>
                <w:sz w:val="22"/>
                <w:szCs w:val="22"/>
              </w:rPr>
              <w:t xml:space="preserve"> </w:t>
            </w:r>
            <w:r w:rsidRPr="00A37C91">
              <w:rPr>
                <w:rFonts w:ascii="Times" w:hAnsi="Times"/>
                <w:sz w:val="22"/>
                <w:szCs w:val="22"/>
              </w:rPr>
              <w:t>Surplus</w:t>
            </w:r>
          </w:p>
        </w:tc>
      </w:tr>
      <w:tr w:rsidR="00183EDE" w14:paraId="3C7AD5A6" w14:textId="77777777" w:rsidTr="00183EDE">
        <w:tc>
          <w:tcPr>
            <w:tcW w:w="15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7011B08" w14:textId="77777777" w:rsidR="00183EDE" w:rsidRPr="00A37C91" w:rsidRDefault="00183EDE" w:rsidP="00183EDE">
            <w:pPr>
              <w:pStyle w:val="Olivier1"/>
              <w:spacing w:after="0" w:line="240" w:lineRule="auto"/>
              <w:jc w:val="center"/>
              <w:rPr>
                <w:rFonts w:ascii="Times" w:hAnsi="Times"/>
                <w:sz w:val="22"/>
                <w:szCs w:val="22"/>
              </w:rPr>
            </w:pPr>
            <w:r w:rsidRPr="00A37C91">
              <w:rPr>
                <w:rFonts w:ascii="Times" w:hAnsi="Times"/>
                <w:sz w:val="22"/>
                <w:szCs w:val="22"/>
              </w:rPr>
              <w:t>Control</w:t>
            </w:r>
          </w:p>
        </w:tc>
        <w:tc>
          <w:tcPr>
            <w:tcW w:w="189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76CFFC" w14:textId="77777777" w:rsidR="00183EDE" w:rsidRPr="00A37C91" w:rsidRDefault="00183EDE" w:rsidP="00183EDE">
            <w:pPr>
              <w:pStyle w:val="Olivier1"/>
              <w:spacing w:after="0" w:line="240" w:lineRule="auto"/>
              <w:jc w:val="center"/>
              <w:rPr>
                <w:rFonts w:ascii="Times" w:hAnsi="Times"/>
                <w:sz w:val="22"/>
                <w:szCs w:val="22"/>
              </w:rPr>
            </w:pPr>
            <w:r w:rsidRPr="00A37C91">
              <w:rPr>
                <w:rFonts w:ascii="Times" w:hAnsi="Times"/>
                <w:sz w:val="22"/>
                <w:szCs w:val="22"/>
              </w:rPr>
              <w:t>Expectation</w:t>
            </w:r>
            <w:r>
              <w:rPr>
                <w:rFonts w:ascii="Times" w:hAnsi="Times"/>
                <w:sz w:val="22"/>
                <w:szCs w:val="22"/>
              </w:rPr>
              <w:t xml:space="preserve"> </w:t>
            </w:r>
            <w:r w:rsidRPr="00A37C91">
              <w:rPr>
                <w:rFonts w:ascii="Times" w:hAnsi="Times"/>
                <w:sz w:val="22"/>
                <w:szCs w:val="22"/>
              </w:rPr>
              <w:t>under</w:t>
            </w:r>
          </w:p>
        </w:tc>
        <w:tc>
          <w:tcPr>
            <w:tcW w:w="6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15B45D" w14:textId="77777777" w:rsidR="00183EDE" w:rsidRPr="00A37C91" w:rsidRDefault="00183EDE" w:rsidP="00183EDE">
            <w:pPr>
              <w:pStyle w:val="Olivier1"/>
              <w:spacing w:after="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NoSt</m:t>
                </m:r>
              </m:oMath>
            </m:oMathPara>
          </w:p>
        </w:tc>
        <w:tc>
          <w:tcPr>
            <w:tcW w:w="147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B52802" w14:textId="77777777" w:rsidR="00183EDE" w:rsidRPr="00F402D2" w:rsidRDefault="00183EDE" w:rsidP="00183EDE">
            <w:pPr>
              <w:pStyle w:val="Olivier1"/>
              <w:spacing w:after="0" w:line="240" w:lineRule="auto"/>
              <w:jc w:val="center"/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F402D2">
              <w:rPr>
                <w:rFonts w:ascii="Times" w:hAnsi="Times"/>
                <w:color w:val="000000" w:themeColor="text1"/>
                <w:sz w:val="22"/>
                <w:szCs w:val="22"/>
              </w:rPr>
              <w:t>14.8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CC8E80" w14:textId="77777777" w:rsidR="00183EDE" w:rsidRPr="00F402D2" w:rsidRDefault="00183EDE" w:rsidP="00183EDE">
            <w:pPr>
              <w:pStyle w:val="Olivier1"/>
              <w:spacing w:after="0" w:line="240" w:lineRule="auto"/>
              <w:jc w:val="center"/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F402D2">
              <w:rPr>
                <w:rFonts w:ascii="Times" w:hAnsi="Times"/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8379B4" w14:textId="77777777" w:rsidR="00183EDE" w:rsidRPr="00F402D2" w:rsidRDefault="00183EDE" w:rsidP="00183EDE">
            <w:pPr>
              <w:pStyle w:val="Olivier1"/>
              <w:spacing w:after="0" w:line="240" w:lineRule="auto"/>
              <w:jc w:val="center"/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F402D2">
              <w:rPr>
                <w:rFonts w:ascii="Times" w:hAnsi="Times"/>
                <w:color w:val="000000" w:themeColor="text1"/>
                <w:sz w:val="22"/>
                <w:szCs w:val="22"/>
              </w:rPr>
              <w:t>69.2</w:t>
            </w:r>
          </w:p>
        </w:tc>
        <w:tc>
          <w:tcPr>
            <w:tcW w:w="125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8E0A084" w14:textId="77777777" w:rsidR="00183EDE" w:rsidRPr="00F402D2" w:rsidRDefault="00183EDE" w:rsidP="00183EDE">
            <w:pPr>
              <w:pStyle w:val="Olivier1"/>
              <w:spacing w:after="0" w:line="240" w:lineRule="auto"/>
              <w:jc w:val="center"/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F402D2">
              <w:rPr>
                <w:rFonts w:ascii="Times" w:hAnsi="Times"/>
                <w:color w:val="000000" w:themeColor="text1"/>
                <w:sz w:val="22"/>
                <w:szCs w:val="22"/>
              </w:rPr>
              <w:t>101.6</w:t>
            </w:r>
          </w:p>
        </w:tc>
      </w:tr>
      <w:tr w:rsidR="00183EDE" w14:paraId="377ECD85" w14:textId="77777777" w:rsidTr="00183EDE">
        <w:tc>
          <w:tcPr>
            <w:tcW w:w="152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F631825" w14:textId="77777777" w:rsidR="00183EDE" w:rsidRPr="00A37C91" w:rsidRDefault="00183EDE" w:rsidP="00183EDE">
            <w:pPr>
              <w:pStyle w:val="Olivier1"/>
              <w:spacing w:after="0" w:line="240" w:lineRule="auto"/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A2314A" w14:textId="77777777" w:rsidR="00183EDE" w:rsidRPr="00A37C91" w:rsidRDefault="00183EDE" w:rsidP="00183EDE">
            <w:pPr>
              <w:pStyle w:val="Olivier1"/>
              <w:spacing w:after="0" w:line="240" w:lineRule="auto"/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49A24D" w14:textId="77777777" w:rsidR="00183EDE" w:rsidRPr="00A37C91" w:rsidRDefault="00183EDE" w:rsidP="00183EDE">
            <w:pPr>
              <w:pStyle w:val="Olivier1"/>
              <w:spacing w:after="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St</m:t>
                </m:r>
              </m:oMath>
            </m:oMathPara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E42336" w14:textId="77777777" w:rsidR="00183EDE" w:rsidRPr="00F402D2" w:rsidRDefault="00183EDE" w:rsidP="00183EDE">
            <w:pPr>
              <w:pStyle w:val="Olivier1"/>
              <w:spacing w:after="0" w:line="240" w:lineRule="auto"/>
              <w:jc w:val="center"/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F402D2">
              <w:rPr>
                <w:rFonts w:ascii="Times" w:hAnsi="Times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27B425" w14:textId="77777777" w:rsidR="00183EDE" w:rsidRPr="00F402D2" w:rsidRDefault="00183EDE" w:rsidP="00183EDE">
            <w:pPr>
              <w:pStyle w:val="Olivier1"/>
              <w:spacing w:after="0" w:line="240" w:lineRule="auto"/>
              <w:jc w:val="center"/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F402D2">
              <w:rPr>
                <w:rFonts w:ascii="Times" w:hAnsi="Times"/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36CE01" w14:textId="77777777" w:rsidR="00183EDE" w:rsidRPr="00F402D2" w:rsidRDefault="00183EDE" w:rsidP="00183EDE">
            <w:pPr>
              <w:pStyle w:val="Olivier1"/>
              <w:spacing w:after="0" w:line="240" w:lineRule="auto"/>
              <w:jc w:val="center"/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F402D2">
              <w:rPr>
                <w:rFonts w:ascii="Times" w:hAnsi="Times"/>
                <w:color w:val="000000" w:themeColor="text1"/>
                <w:sz w:val="22"/>
                <w:szCs w:val="22"/>
              </w:rPr>
              <w:t>66.7</w:t>
            </w:r>
          </w:p>
        </w:tc>
        <w:tc>
          <w:tcPr>
            <w:tcW w:w="125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D89B8AE" w14:textId="77777777" w:rsidR="00183EDE" w:rsidRPr="00F402D2" w:rsidRDefault="00183EDE" w:rsidP="00183EDE">
            <w:pPr>
              <w:pStyle w:val="Olivier1"/>
              <w:spacing w:after="0" w:line="240" w:lineRule="auto"/>
              <w:jc w:val="center"/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F402D2">
              <w:rPr>
                <w:rFonts w:ascii="Times" w:hAnsi="Times"/>
                <w:color w:val="000000" w:themeColor="text1"/>
                <w:sz w:val="22"/>
                <w:szCs w:val="22"/>
              </w:rPr>
              <w:t>96.7</w:t>
            </w:r>
          </w:p>
        </w:tc>
      </w:tr>
      <w:tr w:rsidR="00183EDE" w14:paraId="352368E1" w14:textId="77777777" w:rsidTr="00183EDE">
        <w:tc>
          <w:tcPr>
            <w:tcW w:w="152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69F26C9" w14:textId="77777777" w:rsidR="00183EDE" w:rsidRPr="00A37C91" w:rsidRDefault="00183EDE" w:rsidP="00183EDE">
            <w:pPr>
              <w:pStyle w:val="Olivier1"/>
              <w:spacing w:after="0" w:line="240" w:lineRule="auto"/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499" w:type="dxa"/>
            <w:gridSpan w:val="2"/>
            <w:tcBorders>
              <w:bottom w:val="single" w:sz="12" w:space="0" w:color="auto"/>
            </w:tcBorders>
            <w:vAlign w:val="center"/>
          </w:tcPr>
          <w:p w14:paraId="729F9AB9" w14:textId="77777777" w:rsidR="00183EDE" w:rsidRPr="00A37C91" w:rsidRDefault="00183EDE" w:rsidP="00183EDE">
            <w:pPr>
              <w:pStyle w:val="Olivier1"/>
              <w:spacing w:after="0" w:line="240" w:lineRule="auto"/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Observed in Experiment</w:t>
            </w:r>
            <w:r w:rsidRPr="00D02875">
              <w:rPr>
                <w:sz w:val="19"/>
                <w:szCs w:val="19"/>
                <w:vertAlign w:val="superscript"/>
              </w:rPr>
              <w:t>†</w:t>
            </w:r>
          </w:p>
        </w:tc>
        <w:tc>
          <w:tcPr>
            <w:tcW w:w="1473" w:type="dxa"/>
            <w:tcBorders>
              <w:bottom w:val="single" w:sz="12" w:space="0" w:color="auto"/>
            </w:tcBorders>
            <w:vAlign w:val="center"/>
          </w:tcPr>
          <w:p w14:paraId="6FFFA3C4" w14:textId="77777777" w:rsidR="00183EDE" w:rsidRPr="00F402D2" w:rsidRDefault="00183EDE" w:rsidP="00183EDE">
            <w:pPr>
              <w:pStyle w:val="Olivier1"/>
              <w:spacing w:after="0" w:line="240" w:lineRule="auto"/>
              <w:jc w:val="center"/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F402D2">
              <w:rPr>
                <w:rFonts w:ascii="Times" w:hAnsi="Times"/>
                <w:color w:val="000000" w:themeColor="text1"/>
                <w:sz w:val="22"/>
                <w:szCs w:val="22"/>
              </w:rPr>
              <w:t>1.7 (2.0)</w:t>
            </w:r>
          </w:p>
        </w:tc>
        <w:tc>
          <w:tcPr>
            <w:tcW w:w="1416" w:type="dxa"/>
            <w:tcBorders>
              <w:bottom w:val="single" w:sz="12" w:space="0" w:color="auto"/>
            </w:tcBorders>
            <w:vAlign w:val="center"/>
          </w:tcPr>
          <w:p w14:paraId="3D3A7A15" w14:textId="77777777" w:rsidR="00183EDE" w:rsidRPr="00F402D2" w:rsidRDefault="00183EDE" w:rsidP="00183EDE">
            <w:pPr>
              <w:pStyle w:val="Olivier1"/>
              <w:spacing w:after="0" w:line="240" w:lineRule="auto"/>
              <w:jc w:val="center"/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F402D2">
              <w:rPr>
                <w:rFonts w:ascii="Times" w:hAnsi="Times"/>
                <w:color w:val="000000" w:themeColor="text1"/>
                <w:sz w:val="22"/>
                <w:szCs w:val="22"/>
              </w:rPr>
              <w:t>43.1 (2.9)</w:t>
            </w:r>
          </w:p>
        </w:tc>
        <w:tc>
          <w:tcPr>
            <w:tcW w:w="1274" w:type="dxa"/>
            <w:tcBorders>
              <w:bottom w:val="single" w:sz="12" w:space="0" w:color="auto"/>
            </w:tcBorders>
            <w:vAlign w:val="center"/>
          </w:tcPr>
          <w:p w14:paraId="076A566B" w14:textId="77777777" w:rsidR="00183EDE" w:rsidRPr="00F402D2" w:rsidRDefault="00183EDE" w:rsidP="00183EDE">
            <w:pPr>
              <w:pStyle w:val="Olivier1"/>
              <w:spacing w:after="0" w:line="240" w:lineRule="auto"/>
              <w:jc w:val="center"/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F402D2">
              <w:rPr>
                <w:rFonts w:ascii="Times" w:hAnsi="Times"/>
                <w:color w:val="000000" w:themeColor="text1"/>
                <w:sz w:val="22"/>
                <w:szCs w:val="22"/>
              </w:rPr>
              <w:t>63.5 (7.9)</w:t>
            </w:r>
          </w:p>
        </w:tc>
        <w:tc>
          <w:tcPr>
            <w:tcW w:w="125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581F1BC" w14:textId="77777777" w:rsidR="00183EDE" w:rsidRPr="00F402D2" w:rsidRDefault="00183EDE" w:rsidP="00183EDE">
            <w:pPr>
              <w:pStyle w:val="Olivier1"/>
              <w:spacing w:after="0" w:line="240" w:lineRule="auto"/>
              <w:jc w:val="center"/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F402D2">
              <w:rPr>
                <w:rFonts w:ascii="Times" w:hAnsi="Times"/>
                <w:color w:val="000000" w:themeColor="text1"/>
                <w:sz w:val="22"/>
                <w:szCs w:val="22"/>
              </w:rPr>
              <w:t>85.1 (12.3)</w:t>
            </w:r>
          </w:p>
        </w:tc>
      </w:tr>
      <w:tr w:rsidR="00183EDE" w14:paraId="719D6364" w14:textId="77777777" w:rsidTr="00183EDE">
        <w:tc>
          <w:tcPr>
            <w:tcW w:w="15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A7B4054" w14:textId="77777777" w:rsidR="00183EDE" w:rsidRPr="00A37C91" w:rsidRDefault="00183EDE" w:rsidP="00183EDE">
            <w:pPr>
              <w:pStyle w:val="Olivier1"/>
              <w:spacing w:after="0" w:line="240" w:lineRule="auto"/>
              <w:jc w:val="center"/>
              <w:rPr>
                <w:sz w:val="22"/>
                <w:szCs w:val="22"/>
              </w:rPr>
            </w:pPr>
            <w:r w:rsidRPr="00A37C91">
              <w:rPr>
                <w:sz w:val="22"/>
                <w:szCs w:val="22"/>
              </w:rPr>
              <w:t>Low</w:t>
            </w:r>
            <w:r>
              <w:rPr>
                <w:sz w:val="22"/>
                <w:szCs w:val="22"/>
              </w:rPr>
              <w:t xml:space="preserve"> </w:t>
            </w:r>
            <w:r w:rsidRPr="00A37C91">
              <w:rPr>
                <w:sz w:val="22"/>
                <w:szCs w:val="22"/>
              </w:rPr>
              <w:t>DW</w:t>
            </w:r>
            <w:r>
              <w:rPr>
                <w:sz w:val="22"/>
                <w:szCs w:val="22"/>
              </w:rPr>
              <w:t xml:space="preserve"> </w:t>
            </w:r>
            <w:r w:rsidRPr="00A37C91">
              <w:rPr>
                <w:sz w:val="22"/>
                <w:szCs w:val="22"/>
              </w:rPr>
              <w:t>Cost</w:t>
            </w:r>
          </w:p>
        </w:tc>
        <w:tc>
          <w:tcPr>
            <w:tcW w:w="189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5FA005" w14:textId="77777777" w:rsidR="00183EDE" w:rsidRPr="00A37C91" w:rsidRDefault="00183EDE" w:rsidP="00183EDE">
            <w:pPr>
              <w:pStyle w:val="Olivier1"/>
              <w:spacing w:after="0" w:line="240" w:lineRule="auto"/>
              <w:jc w:val="center"/>
              <w:rPr>
                <w:sz w:val="22"/>
                <w:szCs w:val="22"/>
              </w:rPr>
            </w:pPr>
            <w:r w:rsidRPr="00A37C91">
              <w:rPr>
                <w:rFonts w:ascii="Times" w:hAnsi="Times"/>
                <w:sz w:val="22"/>
                <w:szCs w:val="22"/>
              </w:rPr>
              <w:t>Expectation</w:t>
            </w:r>
            <w:r>
              <w:rPr>
                <w:rFonts w:ascii="Times" w:hAnsi="Times"/>
                <w:sz w:val="22"/>
                <w:szCs w:val="22"/>
              </w:rPr>
              <w:t xml:space="preserve"> </w:t>
            </w:r>
            <w:r w:rsidRPr="00A37C91">
              <w:rPr>
                <w:rFonts w:ascii="Times" w:hAnsi="Times"/>
                <w:sz w:val="22"/>
                <w:szCs w:val="22"/>
              </w:rPr>
              <w:t>under</w:t>
            </w:r>
          </w:p>
        </w:tc>
        <w:tc>
          <w:tcPr>
            <w:tcW w:w="6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8AC0EC" w14:textId="77777777" w:rsidR="00183EDE" w:rsidRPr="00A37C91" w:rsidRDefault="00183EDE" w:rsidP="00183EDE">
            <w:pPr>
              <w:pStyle w:val="Olivier1"/>
              <w:spacing w:after="0" w:line="240" w:lineRule="auto"/>
              <w:jc w:val="center"/>
              <w:rPr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NoSt</m:t>
                </m:r>
              </m:oMath>
            </m:oMathPara>
          </w:p>
        </w:tc>
        <w:tc>
          <w:tcPr>
            <w:tcW w:w="147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180728" w14:textId="77777777" w:rsidR="00183EDE" w:rsidRPr="00F402D2" w:rsidRDefault="00183EDE" w:rsidP="00183EDE">
            <w:pPr>
              <w:pStyle w:val="Olivier1"/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F402D2">
              <w:rPr>
                <w:color w:val="000000" w:themeColor="text1"/>
                <w:sz w:val="22"/>
                <w:szCs w:val="22"/>
              </w:rPr>
              <w:t>24.8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D7792D" w14:textId="77777777" w:rsidR="00183EDE" w:rsidRPr="00F402D2" w:rsidRDefault="00183EDE" w:rsidP="00183EDE">
            <w:pPr>
              <w:pStyle w:val="Olivier1"/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F402D2">
              <w:rPr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507FB2" w14:textId="77777777" w:rsidR="00183EDE" w:rsidRPr="00F402D2" w:rsidRDefault="00183EDE" w:rsidP="00183EDE">
            <w:pPr>
              <w:pStyle w:val="Olivier1"/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F402D2">
              <w:rPr>
                <w:rFonts w:ascii="Times" w:hAnsi="Times"/>
                <w:color w:val="000000" w:themeColor="text1"/>
                <w:sz w:val="22"/>
                <w:szCs w:val="22"/>
              </w:rPr>
              <w:t>69.2</w:t>
            </w:r>
          </w:p>
        </w:tc>
        <w:tc>
          <w:tcPr>
            <w:tcW w:w="125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E3FD362" w14:textId="77777777" w:rsidR="00183EDE" w:rsidRPr="00F402D2" w:rsidRDefault="00183EDE" w:rsidP="00183EDE">
            <w:pPr>
              <w:pStyle w:val="Olivier1"/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F402D2">
              <w:rPr>
                <w:color w:val="000000" w:themeColor="text1"/>
                <w:sz w:val="22"/>
                <w:szCs w:val="22"/>
              </w:rPr>
              <w:t>106.6</w:t>
            </w:r>
          </w:p>
        </w:tc>
      </w:tr>
      <w:tr w:rsidR="00183EDE" w14:paraId="05F8470B" w14:textId="77777777" w:rsidTr="00183EDE">
        <w:tc>
          <w:tcPr>
            <w:tcW w:w="152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DFAD8DB" w14:textId="77777777" w:rsidR="00183EDE" w:rsidRPr="00A37C91" w:rsidRDefault="00183EDE" w:rsidP="00183EDE">
            <w:pPr>
              <w:pStyle w:val="Olivier1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5E2831" w14:textId="77777777" w:rsidR="00183EDE" w:rsidRPr="00A37C91" w:rsidRDefault="00183EDE" w:rsidP="00183EDE">
            <w:pPr>
              <w:pStyle w:val="Olivier1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38C973" w14:textId="77777777" w:rsidR="00183EDE" w:rsidRPr="00A37C91" w:rsidRDefault="00183EDE" w:rsidP="00183EDE">
            <w:pPr>
              <w:pStyle w:val="Olivier1"/>
              <w:spacing w:after="0" w:line="240" w:lineRule="auto"/>
              <w:jc w:val="center"/>
              <w:rPr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St</m:t>
                </m:r>
              </m:oMath>
            </m:oMathPara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951EF7" w14:textId="77777777" w:rsidR="00183EDE" w:rsidRPr="00F402D2" w:rsidRDefault="00183EDE" w:rsidP="00183EDE">
            <w:pPr>
              <w:pStyle w:val="Olivier1"/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F402D2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D1A991" w14:textId="77777777" w:rsidR="00183EDE" w:rsidRPr="00F402D2" w:rsidRDefault="00183EDE" w:rsidP="00183EDE">
            <w:pPr>
              <w:pStyle w:val="Olivier1"/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F402D2">
              <w:rPr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631696" w14:textId="77777777" w:rsidR="00183EDE" w:rsidRPr="00F402D2" w:rsidRDefault="00183EDE" w:rsidP="00183EDE">
            <w:pPr>
              <w:pStyle w:val="Olivier1"/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F402D2">
              <w:rPr>
                <w:color w:val="000000" w:themeColor="text1"/>
                <w:sz w:val="22"/>
                <w:szCs w:val="22"/>
              </w:rPr>
              <w:t>66.7</w:t>
            </w:r>
          </w:p>
        </w:tc>
        <w:tc>
          <w:tcPr>
            <w:tcW w:w="125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4665C86" w14:textId="77777777" w:rsidR="00183EDE" w:rsidRPr="00F402D2" w:rsidRDefault="00183EDE" w:rsidP="00183EDE">
            <w:pPr>
              <w:pStyle w:val="Olivier1"/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F402D2">
              <w:rPr>
                <w:color w:val="000000" w:themeColor="text1"/>
                <w:sz w:val="22"/>
                <w:szCs w:val="22"/>
              </w:rPr>
              <w:t>96.7</w:t>
            </w:r>
          </w:p>
        </w:tc>
      </w:tr>
      <w:tr w:rsidR="00183EDE" w14:paraId="3D196F33" w14:textId="77777777" w:rsidTr="00183EDE">
        <w:tc>
          <w:tcPr>
            <w:tcW w:w="152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0CA139D" w14:textId="77777777" w:rsidR="00183EDE" w:rsidRPr="00A37C91" w:rsidRDefault="00183EDE" w:rsidP="00183EDE">
            <w:pPr>
              <w:pStyle w:val="Olivier1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99" w:type="dxa"/>
            <w:gridSpan w:val="2"/>
            <w:tcBorders>
              <w:bottom w:val="single" w:sz="12" w:space="0" w:color="auto"/>
            </w:tcBorders>
            <w:vAlign w:val="center"/>
          </w:tcPr>
          <w:p w14:paraId="035F44BB" w14:textId="77777777" w:rsidR="00183EDE" w:rsidRPr="00A37C91" w:rsidRDefault="00183EDE" w:rsidP="00183EDE">
            <w:pPr>
              <w:pStyle w:val="Olivier1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Observed in Experiment</w:t>
            </w:r>
          </w:p>
        </w:tc>
        <w:tc>
          <w:tcPr>
            <w:tcW w:w="1473" w:type="dxa"/>
            <w:tcBorders>
              <w:bottom w:val="single" w:sz="12" w:space="0" w:color="auto"/>
            </w:tcBorders>
            <w:vAlign w:val="center"/>
          </w:tcPr>
          <w:p w14:paraId="78DC737A" w14:textId="77777777" w:rsidR="00183EDE" w:rsidRPr="00F402D2" w:rsidRDefault="00183EDE" w:rsidP="00183EDE">
            <w:pPr>
              <w:pStyle w:val="Olivier1"/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F402D2">
              <w:rPr>
                <w:color w:val="000000" w:themeColor="text1"/>
                <w:sz w:val="22"/>
                <w:szCs w:val="22"/>
              </w:rPr>
              <w:t>6.4 (6.5)</w:t>
            </w:r>
          </w:p>
        </w:tc>
        <w:tc>
          <w:tcPr>
            <w:tcW w:w="1416" w:type="dxa"/>
            <w:tcBorders>
              <w:bottom w:val="single" w:sz="12" w:space="0" w:color="auto"/>
            </w:tcBorders>
            <w:vAlign w:val="center"/>
          </w:tcPr>
          <w:p w14:paraId="3C46FC57" w14:textId="77777777" w:rsidR="00183EDE" w:rsidRPr="00F402D2" w:rsidRDefault="00183EDE" w:rsidP="00183EDE">
            <w:pPr>
              <w:pStyle w:val="Olivier1"/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F402D2">
              <w:rPr>
                <w:color w:val="000000" w:themeColor="text1"/>
                <w:sz w:val="22"/>
                <w:szCs w:val="22"/>
              </w:rPr>
              <w:t>40.0 (4.6)</w:t>
            </w:r>
          </w:p>
        </w:tc>
        <w:tc>
          <w:tcPr>
            <w:tcW w:w="1274" w:type="dxa"/>
            <w:tcBorders>
              <w:bottom w:val="single" w:sz="12" w:space="0" w:color="auto"/>
            </w:tcBorders>
            <w:vAlign w:val="center"/>
          </w:tcPr>
          <w:p w14:paraId="0A4B7A8A" w14:textId="77777777" w:rsidR="00183EDE" w:rsidRPr="00F402D2" w:rsidRDefault="00183EDE" w:rsidP="00183EDE">
            <w:pPr>
              <w:pStyle w:val="Olivier1"/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F402D2">
              <w:rPr>
                <w:color w:val="000000" w:themeColor="text1"/>
                <w:sz w:val="22"/>
                <w:szCs w:val="22"/>
              </w:rPr>
              <w:t>61.9 (4.9)</w:t>
            </w:r>
          </w:p>
        </w:tc>
        <w:tc>
          <w:tcPr>
            <w:tcW w:w="125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CA8A6F3" w14:textId="77777777" w:rsidR="00183EDE" w:rsidRPr="00F402D2" w:rsidRDefault="00183EDE" w:rsidP="00183EDE">
            <w:pPr>
              <w:pStyle w:val="Olivier1"/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F402D2">
              <w:rPr>
                <w:color w:val="000000" w:themeColor="text1"/>
                <w:sz w:val="22"/>
                <w:szCs w:val="22"/>
              </w:rPr>
              <w:t>84.7 (8.2)</w:t>
            </w:r>
          </w:p>
        </w:tc>
      </w:tr>
      <w:tr w:rsidR="00183EDE" w14:paraId="7B97A5B3" w14:textId="77777777" w:rsidTr="00183EDE">
        <w:trPr>
          <w:trHeight w:val="341"/>
        </w:trPr>
        <w:tc>
          <w:tcPr>
            <w:tcW w:w="152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3CBD6D7" w14:textId="77777777" w:rsidR="00183EDE" w:rsidRPr="00A37C91" w:rsidRDefault="00183EDE" w:rsidP="00183EDE">
            <w:pPr>
              <w:pStyle w:val="Olivier1"/>
              <w:spacing w:after="0" w:line="240" w:lineRule="auto"/>
              <w:jc w:val="center"/>
              <w:rPr>
                <w:sz w:val="22"/>
                <w:szCs w:val="22"/>
              </w:rPr>
            </w:pPr>
            <w:r w:rsidRPr="00A37C91">
              <w:rPr>
                <w:sz w:val="22"/>
                <w:szCs w:val="22"/>
              </w:rPr>
              <w:t>Random</w:t>
            </w:r>
            <w:r>
              <w:rPr>
                <w:sz w:val="22"/>
                <w:szCs w:val="22"/>
              </w:rPr>
              <w:t xml:space="preserve"> </w:t>
            </w:r>
            <w:r w:rsidRPr="00A37C91">
              <w:rPr>
                <w:sz w:val="22"/>
                <w:szCs w:val="22"/>
              </w:rPr>
              <w:t>Borrowing</w:t>
            </w:r>
          </w:p>
        </w:tc>
        <w:tc>
          <w:tcPr>
            <w:tcW w:w="2499" w:type="dxa"/>
            <w:gridSpan w:val="2"/>
            <w:tcBorders>
              <w:top w:val="single" w:sz="12" w:space="0" w:color="auto"/>
            </w:tcBorders>
            <w:vAlign w:val="center"/>
          </w:tcPr>
          <w:p w14:paraId="0DFDAB62" w14:textId="77777777" w:rsidR="00183EDE" w:rsidRPr="00A37C91" w:rsidRDefault="00183EDE" w:rsidP="00183EDE">
            <w:pPr>
              <w:pStyle w:val="Olivier1"/>
              <w:spacing w:after="0" w:line="240" w:lineRule="auto"/>
              <w:jc w:val="center"/>
              <w:rPr>
                <w:sz w:val="22"/>
                <w:szCs w:val="22"/>
              </w:rPr>
            </w:pPr>
            <w:r w:rsidRPr="00A37C91">
              <w:rPr>
                <w:rFonts w:ascii="Times" w:hAnsi="Times"/>
                <w:sz w:val="22"/>
                <w:szCs w:val="22"/>
              </w:rPr>
              <w:t>Expectation</w:t>
            </w:r>
            <w:r>
              <w:rPr>
                <w:rFonts w:ascii="Times" w:hAnsi="Times"/>
                <w:sz w:val="22"/>
                <w:szCs w:val="22"/>
              </w:rPr>
              <w:t xml:space="preserve"> </w:t>
            </w:r>
            <w:r w:rsidRPr="00A37C91">
              <w:rPr>
                <w:rFonts w:ascii="Times" w:hAnsi="Times"/>
                <w:sz w:val="22"/>
                <w:szCs w:val="22"/>
              </w:rPr>
              <w:t>under</w:t>
            </w:r>
            <w:r>
              <w:rPr>
                <w:rFonts w:ascii="Times" w:hAnsi="Times"/>
                <w:sz w:val="20"/>
                <w:szCs w:val="20"/>
              </w:rPr>
              <w:t xml:space="preserve">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 xml:space="preserve">   </m:t>
              </m:r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</w:rPr>
                <m:t>NoSt</m:t>
              </m:r>
            </m:oMath>
          </w:p>
        </w:tc>
        <w:tc>
          <w:tcPr>
            <w:tcW w:w="1473" w:type="dxa"/>
            <w:tcBorders>
              <w:top w:val="single" w:sz="12" w:space="0" w:color="auto"/>
            </w:tcBorders>
            <w:vAlign w:val="center"/>
          </w:tcPr>
          <w:p w14:paraId="57A487B2" w14:textId="77777777" w:rsidR="00183EDE" w:rsidRPr="00F402D2" w:rsidRDefault="00183EDE" w:rsidP="00183EDE">
            <w:pPr>
              <w:pStyle w:val="Olivier1"/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F402D2">
              <w:rPr>
                <w:color w:val="000000" w:themeColor="text1"/>
                <w:sz w:val="22"/>
                <w:szCs w:val="22"/>
              </w:rPr>
              <w:t>16.4</w:t>
            </w:r>
          </w:p>
        </w:tc>
        <w:tc>
          <w:tcPr>
            <w:tcW w:w="1416" w:type="dxa"/>
            <w:tcBorders>
              <w:top w:val="single" w:sz="12" w:space="0" w:color="auto"/>
            </w:tcBorders>
            <w:vAlign w:val="center"/>
          </w:tcPr>
          <w:p w14:paraId="5DF6A13D" w14:textId="77777777" w:rsidR="00183EDE" w:rsidRPr="00F402D2" w:rsidRDefault="00183EDE" w:rsidP="00183EDE">
            <w:pPr>
              <w:pStyle w:val="Olivier1"/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F402D2">
              <w:rPr>
                <w:color w:val="000000" w:themeColor="text1"/>
                <w:sz w:val="22"/>
                <w:szCs w:val="22"/>
              </w:rPr>
              <w:t>44.1</w:t>
            </w:r>
          </w:p>
        </w:tc>
        <w:tc>
          <w:tcPr>
            <w:tcW w:w="1274" w:type="dxa"/>
            <w:tcBorders>
              <w:top w:val="single" w:sz="12" w:space="0" w:color="auto"/>
            </w:tcBorders>
            <w:vAlign w:val="center"/>
          </w:tcPr>
          <w:p w14:paraId="59947860" w14:textId="52BB2F4A" w:rsidR="00183EDE" w:rsidRPr="00F402D2" w:rsidRDefault="00183EDE" w:rsidP="00B27237">
            <w:pPr>
              <w:pStyle w:val="Olivier1"/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</w:t>
            </w:r>
            <w:r w:rsidR="00B27237">
              <w:rPr>
                <w:color w:val="000000" w:themeColor="text1"/>
                <w:sz w:val="22"/>
                <w:szCs w:val="22"/>
              </w:rPr>
              <w:t>8</w:t>
            </w:r>
            <w:r>
              <w:rPr>
                <w:color w:val="000000" w:themeColor="text1"/>
                <w:sz w:val="22"/>
                <w:szCs w:val="22"/>
              </w:rPr>
              <w:t>.7</w:t>
            </w:r>
          </w:p>
        </w:tc>
        <w:tc>
          <w:tcPr>
            <w:tcW w:w="125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FDAE533" w14:textId="3AEE81CF" w:rsidR="00183EDE" w:rsidRPr="00F402D2" w:rsidRDefault="00183EDE" w:rsidP="00B27237">
            <w:pPr>
              <w:pStyle w:val="Olivier1"/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F402D2">
              <w:rPr>
                <w:color w:val="000000" w:themeColor="text1"/>
                <w:sz w:val="22"/>
                <w:szCs w:val="22"/>
              </w:rPr>
              <w:t>9</w:t>
            </w:r>
            <w:r w:rsidR="00B27237">
              <w:rPr>
                <w:color w:val="000000" w:themeColor="text1"/>
                <w:sz w:val="22"/>
                <w:szCs w:val="22"/>
              </w:rPr>
              <w:t>9.0</w:t>
            </w:r>
          </w:p>
        </w:tc>
      </w:tr>
      <w:tr w:rsidR="00183EDE" w14:paraId="7EFFB1F0" w14:textId="77777777" w:rsidTr="00183EDE">
        <w:tc>
          <w:tcPr>
            <w:tcW w:w="152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3BCAB82" w14:textId="77777777" w:rsidR="00183EDE" w:rsidRPr="00A37C91" w:rsidRDefault="00183EDE" w:rsidP="00183EDE">
            <w:pPr>
              <w:pStyle w:val="Olivier1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99" w:type="dxa"/>
            <w:gridSpan w:val="2"/>
            <w:tcBorders>
              <w:bottom w:val="single" w:sz="12" w:space="0" w:color="auto"/>
            </w:tcBorders>
            <w:vAlign w:val="center"/>
          </w:tcPr>
          <w:p w14:paraId="780C47DB" w14:textId="77777777" w:rsidR="00183EDE" w:rsidRPr="00A37C91" w:rsidRDefault="00183EDE" w:rsidP="00183EDE">
            <w:pPr>
              <w:pStyle w:val="Olivier1"/>
              <w:spacing w:after="0" w:line="240" w:lineRule="auto"/>
              <w:jc w:val="center"/>
              <w:rPr>
                <w:sz w:val="22"/>
                <w:szCs w:val="22"/>
              </w:rPr>
            </w:pPr>
            <w:r w:rsidRPr="00A37C91">
              <w:rPr>
                <w:rFonts w:ascii="Times" w:hAnsi="Times"/>
                <w:sz w:val="22"/>
                <w:szCs w:val="22"/>
              </w:rPr>
              <w:t>Averag</w:t>
            </w:r>
            <w:r>
              <w:rPr>
                <w:rFonts w:ascii="Times" w:hAnsi="Times"/>
                <w:sz w:val="22"/>
                <w:szCs w:val="22"/>
              </w:rPr>
              <w:t>e in Experiment</w:t>
            </w:r>
            <w:r w:rsidRPr="00D02875">
              <w:rPr>
                <w:sz w:val="19"/>
                <w:szCs w:val="19"/>
                <w:vertAlign w:val="superscript"/>
              </w:rPr>
              <w:t>†</w:t>
            </w:r>
          </w:p>
        </w:tc>
        <w:tc>
          <w:tcPr>
            <w:tcW w:w="1473" w:type="dxa"/>
            <w:tcBorders>
              <w:bottom w:val="single" w:sz="12" w:space="0" w:color="auto"/>
            </w:tcBorders>
            <w:vAlign w:val="center"/>
          </w:tcPr>
          <w:p w14:paraId="0A2D8E27" w14:textId="77777777" w:rsidR="00183EDE" w:rsidRPr="00F402D2" w:rsidRDefault="00183EDE" w:rsidP="00183EDE">
            <w:pPr>
              <w:pStyle w:val="Olivier1"/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F402D2">
              <w:rPr>
                <w:color w:val="000000" w:themeColor="text1"/>
                <w:sz w:val="22"/>
                <w:szCs w:val="22"/>
              </w:rPr>
              <w:t>14.1</w:t>
            </w:r>
            <w:r w:rsidRPr="00F402D2">
              <w:rPr>
                <w:color w:val="000000" w:themeColor="text1"/>
                <w:sz w:val="22"/>
                <w:szCs w:val="22"/>
                <w:vertAlign w:val="superscript"/>
              </w:rPr>
              <w:t>**</w:t>
            </w:r>
            <w:r w:rsidRPr="00F402D2">
              <w:rPr>
                <w:color w:val="000000" w:themeColor="text1"/>
                <w:sz w:val="22"/>
                <w:szCs w:val="22"/>
              </w:rPr>
              <w:t xml:space="preserve"> (2.9)</w:t>
            </w:r>
          </w:p>
        </w:tc>
        <w:tc>
          <w:tcPr>
            <w:tcW w:w="1416" w:type="dxa"/>
            <w:tcBorders>
              <w:bottom w:val="single" w:sz="12" w:space="0" w:color="auto"/>
            </w:tcBorders>
            <w:vAlign w:val="center"/>
          </w:tcPr>
          <w:p w14:paraId="10B32FBC" w14:textId="77777777" w:rsidR="00183EDE" w:rsidRPr="00F402D2" w:rsidRDefault="00183EDE" w:rsidP="00183EDE">
            <w:pPr>
              <w:pStyle w:val="Olivier1"/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F402D2">
              <w:rPr>
                <w:color w:val="000000" w:themeColor="text1"/>
                <w:sz w:val="22"/>
                <w:szCs w:val="22"/>
              </w:rPr>
              <w:t>36.7 (4.0)</w:t>
            </w:r>
          </w:p>
        </w:tc>
        <w:tc>
          <w:tcPr>
            <w:tcW w:w="1274" w:type="dxa"/>
            <w:tcBorders>
              <w:bottom w:val="single" w:sz="12" w:space="0" w:color="auto"/>
            </w:tcBorders>
            <w:vAlign w:val="center"/>
          </w:tcPr>
          <w:p w14:paraId="453AF04D" w14:textId="77777777" w:rsidR="00183EDE" w:rsidRPr="00F402D2" w:rsidRDefault="00183EDE" w:rsidP="00183EDE">
            <w:pPr>
              <w:pStyle w:val="Olivier1"/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F402D2">
              <w:rPr>
                <w:color w:val="000000" w:themeColor="text1"/>
                <w:sz w:val="22"/>
                <w:szCs w:val="22"/>
              </w:rPr>
              <w:t>61.9 (5.1)</w:t>
            </w:r>
          </w:p>
        </w:tc>
        <w:tc>
          <w:tcPr>
            <w:tcW w:w="125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1218BE0" w14:textId="77777777" w:rsidR="00183EDE" w:rsidRPr="00F402D2" w:rsidRDefault="00183EDE" w:rsidP="00183EDE">
            <w:pPr>
              <w:pStyle w:val="Olivier1"/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F402D2">
              <w:rPr>
                <w:color w:val="000000" w:themeColor="text1"/>
                <w:sz w:val="22"/>
                <w:szCs w:val="22"/>
              </w:rPr>
              <w:t>86.9 (5.0)</w:t>
            </w:r>
          </w:p>
        </w:tc>
      </w:tr>
      <w:tr w:rsidR="00183EDE" w14:paraId="5DC4AEC9" w14:textId="77777777" w:rsidTr="00183EDE">
        <w:tc>
          <w:tcPr>
            <w:tcW w:w="15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25A52C7" w14:textId="77777777" w:rsidR="00183EDE" w:rsidRPr="00A37C91" w:rsidRDefault="00183EDE" w:rsidP="00183EDE">
            <w:pPr>
              <w:pStyle w:val="Olivier1"/>
              <w:spacing w:after="0" w:line="240" w:lineRule="auto"/>
              <w:jc w:val="center"/>
              <w:rPr>
                <w:sz w:val="22"/>
                <w:szCs w:val="22"/>
              </w:rPr>
            </w:pPr>
            <w:r w:rsidRPr="00A37C91">
              <w:rPr>
                <w:sz w:val="22"/>
                <w:szCs w:val="22"/>
              </w:rPr>
              <w:t>Low</w:t>
            </w:r>
            <w:r>
              <w:rPr>
                <w:sz w:val="22"/>
                <w:szCs w:val="22"/>
              </w:rPr>
              <w:t xml:space="preserve"> </w:t>
            </w:r>
            <w:r w:rsidRPr="00A37C91">
              <w:rPr>
                <w:sz w:val="22"/>
                <w:szCs w:val="22"/>
              </w:rPr>
              <w:t>Detection</w:t>
            </w:r>
            <w:r>
              <w:rPr>
                <w:sz w:val="22"/>
                <w:szCs w:val="22"/>
              </w:rPr>
              <w:t xml:space="preserve"> </w:t>
            </w:r>
            <w:r w:rsidRPr="00A37C91">
              <w:rPr>
                <w:sz w:val="22"/>
                <w:szCs w:val="22"/>
              </w:rPr>
              <w:t>Probability</w:t>
            </w:r>
          </w:p>
        </w:tc>
        <w:tc>
          <w:tcPr>
            <w:tcW w:w="189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2674C8" w14:textId="77777777" w:rsidR="00183EDE" w:rsidRPr="00A37C91" w:rsidRDefault="00183EDE" w:rsidP="00183EDE">
            <w:pPr>
              <w:pStyle w:val="Olivier1"/>
              <w:spacing w:after="0" w:line="240" w:lineRule="auto"/>
              <w:jc w:val="center"/>
              <w:rPr>
                <w:sz w:val="22"/>
                <w:szCs w:val="22"/>
              </w:rPr>
            </w:pPr>
            <w:r w:rsidRPr="00A37C91">
              <w:rPr>
                <w:rFonts w:ascii="Times" w:hAnsi="Times"/>
                <w:sz w:val="22"/>
                <w:szCs w:val="22"/>
              </w:rPr>
              <w:t>Expectation</w:t>
            </w:r>
            <w:r>
              <w:rPr>
                <w:rFonts w:ascii="Times" w:hAnsi="Times"/>
                <w:sz w:val="22"/>
                <w:szCs w:val="22"/>
              </w:rPr>
              <w:t xml:space="preserve"> </w:t>
            </w:r>
            <w:r w:rsidRPr="00A37C91">
              <w:rPr>
                <w:rFonts w:ascii="Times" w:hAnsi="Times"/>
                <w:sz w:val="22"/>
                <w:szCs w:val="22"/>
              </w:rPr>
              <w:t>under</w:t>
            </w:r>
          </w:p>
        </w:tc>
        <w:tc>
          <w:tcPr>
            <w:tcW w:w="6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5B0A5A" w14:textId="77777777" w:rsidR="00183EDE" w:rsidRPr="00A37C91" w:rsidRDefault="00183EDE" w:rsidP="00183EDE">
            <w:pPr>
              <w:pStyle w:val="Olivier1"/>
              <w:spacing w:after="0" w:line="240" w:lineRule="auto"/>
              <w:jc w:val="center"/>
              <w:rPr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NoSt</m:t>
                </m:r>
              </m:oMath>
            </m:oMathPara>
          </w:p>
        </w:tc>
        <w:tc>
          <w:tcPr>
            <w:tcW w:w="147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A8F58A" w14:textId="77777777" w:rsidR="00183EDE" w:rsidRPr="00F402D2" w:rsidRDefault="00183EDE" w:rsidP="00183EDE">
            <w:pPr>
              <w:pStyle w:val="Olivier1"/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F402D2">
              <w:rPr>
                <w:color w:val="000000" w:themeColor="text1"/>
                <w:sz w:val="22"/>
                <w:szCs w:val="22"/>
              </w:rPr>
              <w:t>17.1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E0769E" w14:textId="77777777" w:rsidR="00183EDE" w:rsidRPr="00F402D2" w:rsidRDefault="00183EDE" w:rsidP="00183EDE">
            <w:pPr>
              <w:pStyle w:val="Olivier1"/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F402D2">
              <w:rPr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3349D0" w14:textId="77777777" w:rsidR="00183EDE" w:rsidRPr="00F402D2" w:rsidRDefault="00183EDE" w:rsidP="00183EDE">
            <w:pPr>
              <w:pStyle w:val="Olivier1"/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F402D2">
              <w:rPr>
                <w:color w:val="000000" w:themeColor="text1"/>
                <w:sz w:val="22"/>
                <w:szCs w:val="22"/>
              </w:rPr>
              <w:t>68.8</w:t>
            </w:r>
          </w:p>
        </w:tc>
        <w:tc>
          <w:tcPr>
            <w:tcW w:w="125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BA3962A" w14:textId="77777777" w:rsidR="00183EDE" w:rsidRPr="00F402D2" w:rsidRDefault="00183EDE" w:rsidP="00183EDE">
            <w:pPr>
              <w:pStyle w:val="Olivier1"/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F402D2">
              <w:rPr>
                <w:color w:val="000000" w:themeColor="text1"/>
                <w:sz w:val="22"/>
                <w:szCs w:val="22"/>
              </w:rPr>
              <w:t>102.3</w:t>
            </w:r>
          </w:p>
        </w:tc>
      </w:tr>
      <w:tr w:rsidR="00183EDE" w14:paraId="5C3B66A1" w14:textId="77777777" w:rsidTr="00183EDE">
        <w:tc>
          <w:tcPr>
            <w:tcW w:w="152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D723394" w14:textId="77777777" w:rsidR="00183EDE" w:rsidRPr="00A37C91" w:rsidRDefault="00183EDE" w:rsidP="00183EDE">
            <w:pPr>
              <w:pStyle w:val="Olivier1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319773" w14:textId="77777777" w:rsidR="00183EDE" w:rsidRPr="00A37C91" w:rsidRDefault="00183EDE" w:rsidP="00183EDE">
            <w:pPr>
              <w:pStyle w:val="Olivier1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8BD2B8" w14:textId="77777777" w:rsidR="00183EDE" w:rsidRPr="00A37C91" w:rsidRDefault="00183EDE" w:rsidP="00183EDE">
            <w:pPr>
              <w:pStyle w:val="Olivier1"/>
              <w:spacing w:after="0" w:line="240" w:lineRule="auto"/>
              <w:jc w:val="center"/>
              <w:rPr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St</m:t>
                </m:r>
              </m:oMath>
            </m:oMathPara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1FC2AD" w14:textId="77777777" w:rsidR="00183EDE" w:rsidRPr="00F402D2" w:rsidRDefault="00183EDE" w:rsidP="00183EDE">
            <w:pPr>
              <w:pStyle w:val="Olivier1"/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F402D2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7C2004" w14:textId="77777777" w:rsidR="00183EDE" w:rsidRPr="00F402D2" w:rsidRDefault="00183EDE" w:rsidP="00183EDE">
            <w:pPr>
              <w:pStyle w:val="Olivier1"/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F402D2">
              <w:rPr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E529FF" w14:textId="77777777" w:rsidR="00183EDE" w:rsidRPr="00F402D2" w:rsidRDefault="00183EDE" w:rsidP="00183EDE">
            <w:pPr>
              <w:pStyle w:val="Olivier1"/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F402D2">
              <w:rPr>
                <w:color w:val="000000" w:themeColor="text1"/>
                <w:sz w:val="22"/>
                <w:szCs w:val="22"/>
              </w:rPr>
              <w:t>66.7</w:t>
            </w:r>
          </w:p>
        </w:tc>
        <w:tc>
          <w:tcPr>
            <w:tcW w:w="125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C88EEBB" w14:textId="77777777" w:rsidR="00183EDE" w:rsidRPr="00F402D2" w:rsidRDefault="00183EDE" w:rsidP="00183EDE">
            <w:pPr>
              <w:pStyle w:val="Olivier1"/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F402D2">
              <w:rPr>
                <w:color w:val="000000" w:themeColor="text1"/>
                <w:sz w:val="22"/>
                <w:szCs w:val="22"/>
              </w:rPr>
              <w:t>96.7</w:t>
            </w:r>
          </w:p>
        </w:tc>
      </w:tr>
      <w:tr w:rsidR="00183EDE" w14:paraId="594EFB15" w14:textId="77777777" w:rsidTr="00183EDE">
        <w:tc>
          <w:tcPr>
            <w:tcW w:w="152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DDD2180" w14:textId="77777777" w:rsidR="00183EDE" w:rsidRPr="00A37C91" w:rsidRDefault="00183EDE" w:rsidP="00183EDE">
            <w:pPr>
              <w:pStyle w:val="Olivier1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99" w:type="dxa"/>
            <w:gridSpan w:val="2"/>
            <w:tcBorders>
              <w:bottom w:val="single" w:sz="12" w:space="0" w:color="auto"/>
            </w:tcBorders>
            <w:vAlign w:val="center"/>
          </w:tcPr>
          <w:p w14:paraId="575B24BC" w14:textId="77777777" w:rsidR="00183EDE" w:rsidRPr="00A37C91" w:rsidRDefault="00183EDE" w:rsidP="00183EDE">
            <w:pPr>
              <w:pStyle w:val="Olivier1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Observed in Experiment</w:t>
            </w:r>
            <w:r w:rsidRPr="00D02875">
              <w:rPr>
                <w:sz w:val="19"/>
                <w:szCs w:val="19"/>
                <w:vertAlign w:val="superscript"/>
              </w:rPr>
              <w:t>†</w:t>
            </w:r>
          </w:p>
        </w:tc>
        <w:tc>
          <w:tcPr>
            <w:tcW w:w="1473" w:type="dxa"/>
            <w:tcBorders>
              <w:bottom w:val="single" w:sz="12" w:space="0" w:color="auto"/>
            </w:tcBorders>
            <w:vAlign w:val="center"/>
          </w:tcPr>
          <w:p w14:paraId="5E9D163D" w14:textId="77777777" w:rsidR="00183EDE" w:rsidRPr="00F402D2" w:rsidRDefault="00183EDE" w:rsidP="00183EDE">
            <w:pPr>
              <w:pStyle w:val="Olivier1"/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F402D2">
              <w:rPr>
                <w:color w:val="000000" w:themeColor="text1"/>
                <w:sz w:val="22"/>
                <w:szCs w:val="22"/>
              </w:rPr>
              <w:t>2.7 (6.1)</w:t>
            </w:r>
          </w:p>
        </w:tc>
        <w:tc>
          <w:tcPr>
            <w:tcW w:w="1416" w:type="dxa"/>
            <w:tcBorders>
              <w:bottom w:val="single" w:sz="12" w:space="0" w:color="auto"/>
            </w:tcBorders>
            <w:vAlign w:val="center"/>
          </w:tcPr>
          <w:p w14:paraId="4B6B091C" w14:textId="77777777" w:rsidR="00183EDE" w:rsidRPr="00F402D2" w:rsidRDefault="00183EDE" w:rsidP="00183EDE">
            <w:pPr>
              <w:pStyle w:val="Olivier1"/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F402D2">
              <w:rPr>
                <w:color w:val="000000" w:themeColor="text1"/>
                <w:sz w:val="22"/>
                <w:szCs w:val="22"/>
              </w:rPr>
              <w:t>40.9 (2.0)</w:t>
            </w:r>
          </w:p>
        </w:tc>
        <w:tc>
          <w:tcPr>
            <w:tcW w:w="1274" w:type="dxa"/>
            <w:tcBorders>
              <w:bottom w:val="single" w:sz="12" w:space="0" w:color="auto"/>
            </w:tcBorders>
            <w:vAlign w:val="center"/>
          </w:tcPr>
          <w:p w14:paraId="6449670A" w14:textId="77777777" w:rsidR="00183EDE" w:rsidRPr="00F402D2" w:rsidRDefault="00183EDE" w:rsidP="00183EDE">
            <w:pPr>
              <w:pStyle w:val="Olivier1"/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F402D2">
              <w:rPr>
                <w:color w:val="000000" w:themeColor="text1"/>
                <w:sz w:val="22"/>
                <w:szCs w:val="22"/>
              </w:rPr>
              <w:t>61.4 (2.8)</w:t>
            </w:r>
          </w:p>
        </w:tc>
        <w:tc>
          <w:tcPr>
            <w:tcW w:w="125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F02CBBD" w14:textId="77777777" w:rsidR="00183EDE" w:rsidRPr="00F402D2" w:rsidRDefault="00183EDE" w:rsidP="00183EDE">
            <w:pPr>
              <w:pStyle w:val="Olivier1"/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F402D2">
              <w:rPr>
                <w:color w:val="000000" w:themeColor="text1"/>
                <w:sz w:val="22"/>
                <w:szCs w:val="22"/>
              </w:rPr>
              <w:t>82.6 (6.6)</w:t>
            </w:r>
          </w:p>
        </w:tc>
      </w:tr>
    </w:tbl>
    <w:p w14:paraId="46034459" w14:textId="51B48585" w:rsidR="00183EDE" w:rsidRPr="00D02875" w:rsidRDefault="00183EDE" w:rsidP="00183EDE">
      <w:pPr>
        <w:pStyle w:val="Olivier1"/>
        <w:spacing w:after="0" w:line="240" w:lineRule="auto"/>
        <w:ind w:right="212"/>
        <w:rPr>
          <w:sz w:val="19"/>
          <w:szCs w:val="19"/>
        </w:rPr>
      </w:pPr>
      <w:r w:rsidRPr="00D02875">
        <w:rPr>
          <w:sz w:val="19"/>
          <w:szCs w:val="19"/>
          <w:vertAlign w:val="superscript"/>
        </w:rPr>
        <w:t>†</w:t>
      </w:r>
      <w:r w:rsidRPr="00D02875">
        <w:rPr>
          <w:sz w:val="19"/>
          <w:szCs w:val="19"/>
        </w:rPr>
        <w:t>Treatment</w:t>
      </w:r>
      <w:r>
        <w:rPr>
          <w:sz w:val="19"/>
          <w:szCs w:val="19"/>
        </w:rPr>
        <w:t xml:space="preserve"> </w:t>
      </w:r>
      <w:r w:rsidRPr="00D02875">
        <w:rPr>
          <w:sz w:val="19"/>
          <w:szCs w:val="19"/>
        </w:rPr>
        <w:t>average</w:t>
      </w:r>
      <w:r>
        <w:rPr>
          <w:sz w:val="19"/>
          <w:szCs w:val="19"/>
        </w:rPr>
        <w:t xml:space="preserve"> </w:t>
      </w:r>
      <w:r w:rsidRPr="00D02875">
        <w:rPr>
          <w:sz w:val="19"/>
          <w:szCs w:val="19"/>
        </w:rPr>
        <w:t>calcula</w:t>
      </w:r>
      <w:r>
        <w:rPr>
          <w:sz w:val="19"/>
          <w:szCs w:val="19"/>
        </w:rPr>
        <w:t xml:space="preserve">ted over the last 10 rounds of </w:t>
      </w:r>
      <w:r w:rsidRPr="00D02875">
        <w:rPr>
          <w:sz w:val="19"/>
          <w:szCs w:val="19"/>
        </w:rPr>
        <w:t>each</w:t>
      </w:r>
      <w:r>
        <w:rPr>
          <w:sz w:val="19"/>
          <w:szCs w:val="19"/>
        </w:rPr>
        <w:t xml:space="preserve"> </w:t>
      </w:r>
      <w:r w:rsidRPr="00D02875">
        <w:rPr>
          <w:sz w:val="19"/>
          <w:szCs w:val="19"/>
        </w:rPr>
        <w:t>session.</w:t>
      </w:r>
      <w:r>
        <w:rPr>
          <w:sz w:val="19"/>
          <w:szCs w:val="19"/>
        </w:rPr>
        <w:t xml:space="preserve"> </w:t>
      </w:r>
      <w:r w:rsidRPr="00D02875">
        <w:rPr>
          <w:sz w:val="19"/>
          <w:szCs w:val="19"/>
        </w:rPr>
        <w:t>Numbers</w:t>
      </w:r>
      <w:r>
        <w:rPr>
          <w:sz w:val="19"/>
          <w:szCs w:val="19"/>
        </w:rPr>
        <w:t xml:space="preserve"> </w:t>
      </w:r>
      <w:r w:rsidRPr="00D02875">
        <w:rPr>
          <w:sz w:val="19"/>
          <w:szCs w:val="19"/>
        </w:rPr>
        <w:t>in</w:t>
      </w:r>
      <w:r>
        <w:rPr>
          <w:sz w:val="19"/>
          <w:szCs w:val="19"/>
        </w:rPr>
        <w:t xml:space="preserve"> </w:t>
      </w:r>
      <w:r w:rsidRPr="00D02875">
        <w:rPr>
          <w:sz w:val="19"/>
          <w:szCs w:val="19"/>
        </w:rPr>
        <w:t>parenthesis</w:t>
      </w:r>
      <w:r>
        <w:rPr>
          <w:sz w:val="19"/>
          <w:szCs w:val="19"/>
        </w:rPr>
        <w:t xml:space="preserve"> </w:t>
      </w:r>
      <w:r w:rsidRPr="00D02875">
        <w:rPr>
          <w:sz w:val="19"/>
          <w:szCs w:val="19"/>
        </w:rPr>
        <w:t>refer</w:t>
      </w:r>
      <w:r>
        <w:rPr>
          <w:sz w:val="19"/>
          <w:szCs w:val="19"/>
        </w:rPr>
        <w:t xml:space="preserve"> </w:t>
      </w:r>
      <w:r w:rsidRPr="00D02875">
        <w:rPr>
          <w:sz w:val="19"/>
          <w:szCs w:val="19"/>
        </w:rPr>
        <w:t>to</w:t>
      </w:r>
      <w:r>
        <w:rPr>
          <w:sz w:val="19"/>
          <w:szCs w:val="19"/>
        </w:rPr>
        <w:t xml:space="preserve"> </w:t>
      </w:r>
      <w:r w:rsidRPr="00D02875">
        <w:rPr>
          <w:sz w:val="19"/>
          <w:szCs w:val="19"/>
        </w:rPr>
        <w:t>the</w:t>
      </w:r>
      <w:r>
        <w:rPr>
          <w:sz w:val="19"/>
          <w:szCs w:val="19"/>
        </w:rPr>
        <w:t xml:space="preserve"> </w:t>
      </w:r>
      <w:r w:rsidRPr="00D02875">
        <w:rPr>
          <w:sz w:val="19"/>
          <w:szCs w:val="19"/>
        </w:rPr>
        <w:t>standard</w:t>
      </w:r>
      <w:r>
        <w:rPr>
          <w:sz w:val="19"/>
          <w:szCs w:val="19"/>
        </w:rPr>
        <w:t xml:space="preserve"> </w:t>
      </w:r>
      <w:r w:rsidRPr="00D02875">
        <w:rPr>
          <w:sz w:val="19"/>
          <w:szCs w:val="19"/>
        </w:rPr>
        <w:t>devia</w:t>
      </w:r>
      <w:r>
        <w:rPr>
          <w:sz w:val="19"/>
          <w:szCs w:val="19"/>
        </w:rPr>
        <w:t>-</w:t>
      </w:r>
      <w:r w:rsidRPr="00D02875">
        <w:rPr>
          <w:sz w:val="19"/>
          <w:szCs w:val="19"/>
        </w:rPr>
        <w:t>tion</w:t>
      </w:r>
      <w:r>
        <w:rPr>
          <w:sz w:val="19"/>
          <w:szCs w:val="19"/>
        </w:rPr>
        <w:t xml:space="preserve"> </w:t>
      </w:r>
      <w:r w:rsidRPr="00D02875">
        <w:rPr>
          <w:sz w:val="19"/>
          <w:szCs w:val="19"/>
        </w:rPr>
        <w:t>of</w:t>
      </w:r>
      <w:r>
        <w:rPr>
          <w:sz w:val="19"/>
          <w:szCs w:val="19"/>
        </w:rPr>
        <w:t xml:space="preserve"> </w:t>
      </w:r>
      <w:r w:rsidRPr="00D02875">
        <w:rPr>
          <w:sz w:val="19"/>
          <w:szCs w:val="19"/>
        </w:rPr>
        <w:t>session</w:t>
      </w:r>
      <w:r>
        <w:rPr>
          <w:sz w:val="19"/>
          <w:szCs w:val="19"/>
        </w:rPr>
        <w:t xml:space="preserve"> </w:t>
      </w:r>
      <w:r w:rsidRPr="00D02875">
        <w:rPr>
          <w:sz w:val="19"/>
          <w:szCs w:val="19"/>
        </w:rPr>
        <w:t>averages.</w:t>
      </w:r>
      <w:r>
        <w:rPr>
          <w:sz w:val="19"/>
          <w:szCs w:val="19"/>
        </w:rPr>
        <w:t xml:space="preserve"> </w:t>
      </w:r>
      <w:r w:rsidRPr="00D02875">
        <w:rPr>
          <w:sz w:val="19"/>
          <w:szCs w:val="19"/>
          <w:vertAlign w:val="superscript"/>
        </w:rPr>
        <w:t>**</w:t>
      </w:r>
      <w:r>
        <w:rPr>
          <w:sz w:val="19"/>
          <w:szCs w:val="19"/>
        </w:rPr>
        <w:t xml:space="preserve"> </w:t>
      </w:r>
      <w:r w:rsidRPr="00D02875">
        <w:rPr>
          <w:sz w:val="19"/>
          <w:szCs w:val="19"/>
        </w:rPr>
        <w:t>indicates</w:t>
      </w:r>
      <w:r>
        <w:rPr>
          <w:sz w:val="19"/>
          <w:szCs w:val="19"/>
        </w:rPr>
        <w:t xml:space="preserve"> </w:t>
      </w:r>
      <w:r w:rsidRPr="00D02875">
        <w:rPr>
          <w:sz w:val="19"/>
          <w:szCs w:val="19"/>
        </w:rPr>
        <w:t>a</w:t>
      </w:r>
      <w:r>
        <w:rPr>
          <w:sz w:val="19"/>
          <w:szCs w:val="19"/>
        </w:rPr>
        <w:t xml:space="preserve"> </w:t>
      </w:r>
      <w:r w:rsidRPr="00D02875">
        <w:rPr>
          <w:sz w:val="19"/>
          <w:szCs w:val="19"/>
        </w:rPr>
        <w:t>treatment</w:t>
      </w:r>
      <w:r>
        <w:rPr>
          <w:sz w:val="19"/>
          <w:szCs w:val="19"/>
        </w:rPr>
        <w:t xml:space="preserve"> </w:t>
      </w:r>
      <w:r w:rsidRPr="00D02875">
        <w:rPr>
          <w:sz w:val="19"/>
          <w:szCs w:val="19"/>
        </w:rPr>
        <w:t>effect</w:t>
      </w:r>
      <w:r>
        <w:rPr>
          <w:sz w:val="19"/>
          <w:szCs w:val="19"/>
        </w:rPr>
        <w:t xml:space="preserve"> that is </w:t>
      </w:r>
      <w:r w:rsidRPr="00D02875">
        <w:rPr>
          <w:sz w:val="19"/>
          <w:szCs w:val="19"/>
        </w:rPr>
        <w:t>significant</w:t>
      </w:r>
      <w:r>
        <w:rPr>
          <w:sz w:val="19"/>
          <w:szCs w:val="19"/>
        </w:rPr>
        <w:t xml:space="preserve"> </w:t>
      </w:r>
      <w:r w:rsidRPr="00D02875">
        <w:rPr>
          <w:sz w:val="19"/>
          <w:szCs w:val="19"/>
        </w:rPr>
        <w:t>at</w:t>
      </w:r>
      <w:r>
        <w:rPr>
          <w:sz w:val="19"/>
          <w:szCs w:val="19"/>
        </w:rPr>
        <w:t xml:space="preserve"> </w:t>
      </w:r>
      <w:r w:rsidRPr="00D02875">
        <w:rPr>
          <w:sz w:val="19"/>
          <w:szCs w:val="19"/>
        </w:rPr>
        <w:t>the</w:t>
      </w:r>
      <w:r>
        <w:rPr>
          <w:sz w:val="19"/>
          <w:szCs w:val="19"/>
        </w:rPr>
        <w:t xml:space="preserve"> </w:t>
      </w:r>
      <w:r w:rsidRPr="00D02875">
        <w:rPr>
          <w:sz w:val="19"/>
          <w:szCs w:val="19"/>
        </w:rPr>
        <w:t>5%</w:t>
      </w:r>
      <w:r>
        <w:rPr>
          <w:sz w:val="19"/>
          <w:szCs w:val="19"/>
        </w:rPr>
        <w:t xml:space="preserve"> </w:t>
      </w:r>
      <w:r w:rsidRPr="00D02875">
        <w:rPr>
          <w:sz w:val="19"/>
          <w:szCs w:val="19"/>
        </w:rPr>
        <w:t>level</w:t>
      </w:r>
      <w:r>
        <w:rPr>
          <w:sz w:val="19"/>
          <w:szCs w:val="19"/>
        </w:rPr>
        <w:t xml:space="preserve"> </w:t>
      </w:r>
      <w:r w:rsidRPr="00D02875">
        <w:rPr>
          <w:sz w:val="19"/>
          <w:szCs w:val="19"/>
        </w:rPr>
        <w:t>compared</w:t>
      </w:r>
      <w:r>
        <w:rPr>
          <w:sz w:val="19"/>
          <w:szCs w:val="19"/>
        </w:rPr>
        <w:t xml:space="preserve"> </w:t>
      </w:r>
      <w:r w:rsidRPr="00D02875">
        <w:rPr>
          <w:sz w:val="19"/>
          <w:szCs w:val="19"/>
        </w:rPr>
        <w:t>to</w:t>
      </w:r>
      <w:r>
        <w:rPr>
          <w:sz w:val="19"/>
          <w:szCs w:val="19"/>
        </w:rPr>
        <w:t xml:space="preserve"> </w:t>
      </w:r>
      <w:r w:rsidRPr="00D02875">
        <w:rPr>
          <w:sz w:val="19"/>
          <w:szCs w:val="19"/>
        </w:rPr>
        <w:t>the</w:t>
      </w:r>
      <w:r>
        <w:rPr>
          <w:sz w:val="19"/>
          <w:szCs w:val="19"/>
        </w:rPr>
        <w:t xml:space="preserve"> </w:t>
      </w:r>
      <w:r w:rsidRPr="00D02875">
        <w:rPr>
          <w:sz w:val="19"/>
          <w:szCs w:val="19"/>
        </w:rPr>
        <w:t>control</w:t>
      </w:r>
      <w:r>
        <w:rPr>
          <w:sz w:val="19"/>
          <w:szCs w:val="19"/>
        </w:rPr>
        <w:t xml:space="preserve"> </w:t>
      </w:r>
      <w:r w:rsidRPr="00D02875">
        <w:rPr>
          <w:sz w:val="19"/>
          <w:szCs w:val="19"/>
        </w:rPr>
        <w:t>treatment.</w:t>
      </w:r>
    </w:p>
    <w:p w14:paraId="6A7FB6BB" w14:textId="5853B418" w:rsidR="00CF1197" w:rsidRPr="00B80E59" w:rsidRDefault="00CF1197" w:rsidP="00183EDE">
      <w:pPr>
        <w:pStyle w:val="Olivier1"/>
        <w:widowControl w:val="0"/>
        <w:spacing w:after="0"/>
        <w:ind w:firstLine="360"/>
        <w:rPr>
          <w:sz w:val="8"/>
          <w:szCs w:val="8"/>
        </w:rPr>
      </w:pPr>
    </w:p>
    <w:p w14:paraId="6925A4A5" w14:textId="2AE90162" w:rsidR="007C21B2" w:rsidRPr="00D02875" w:rsidRDefault="005A78A0" w:rsidP="00183EDE">
      <w:pPr>
        <w:pStyle w:val="Olivier1"/>
        <w:widowControl w:val="0"/>
        <w:ind w:firstLine="360"/>
        <w:rPr>
          <w:sz w:val="19"/>
          <w:szCs w:val="19"/>
        </w:rPr>
      </w:pPr>
      <w:r w:rsidRPr="00B80E59">
        <w:t>We</w:t>
      </w:r>
      <w:r w:rsidR="009A0847">
        <w:t xml:space="preserve"> </w:t>
      </w:r>
      <w:r w:rsidRPr="00B80E59">
        <w:t>report</w:t>
      </w:r>
      <w:r w:rsidR="009A0847">
        <w:t xml:space="preserve"> </w:t>
      </w:r>
      <w:r w:rsidRPr="00B80E59">
        <w:t>in</w:t>
      </w:r>
      <w:r w:rsidR="009A0847">
        <w:t xml:space="preserve"> </w:t>
      </w:r>
      <w:r w:rsidRPr="00B80E59">
        <w:t>Table</w:t>
      </w:r>
      <w:r w:rsidR="009A0847">
        <w:t xml:space="preserve"> </w:t>
      </w:r>
      <w:r w:rsidR="00F72D79">
        <w:t>1</w:t>
      </w:r>
      <w:r w:rsidR="009A0847">
        <w:t xml:space="preserve"> </w:t>
      </w:r>
      <w:r w:rsidRPr="00B80E59">
        <w:t>equilibrium</w:t>
      </w:r>
      <w:r w:rsidR="009A0847">
        <w:t xml:space="preserve"> </w:t>
      </w:r>
      <w:r w:rsidR="005A1479" w:rsidRPr="00B80E59">
        <w:t>expected</w:t>
      </w:r>
      <w:r w:rsidR="009A0847">
        <w:t xml:space="preserve"> </w:t>
      </w:r>
      <w:r w:rsidR="005A1479" w:rsidRPr="00B80E59">
        <w:t>profits</w:t>
      </w:r>
      <w:r w:rsidR="009A0847">
        <w:t xml:space="preserve"> </w:t>
      </w:r>
      <w:r w:rsidRPr="00B80E59">
        <w:t>and</w:t>
      </w:r>
      <w:r w:rsidR="009A0847">
        <w:t xml:space="preserve"> </w:t>
      </w:r>
      <w:r w:rsidRPr="00B80E59">
        <w:t>total</w:t>
      </w:r>
      <w:r w:rsidR="009A0847">
        <w:t xml:space="preserve"> </w:t>
      </w:r>
      <w:r w:rsidRPr="00B80E59">
        <w:t>surplus</w:t>
      </w:r>
      <w:r w:rsidR="009A0847">
        <w:t xml:space="preserve"> </w:t>
      </w:r>
      <w:r w:rsidR="00CE5E01" w:rsidRPr="00B80E59">
        <w:t>under</w:t>
      </w:r>
      <w:r w:rsidR="009A0847">
        <w:t xml:space="preserve"> </w:t>
      </w:r>
      <w:r w:rsidR="00CE5E01" w:rsidRPr="00B80E59">
        <w:t>our</w:t>
      </w:r>
      <w:r w:rsidR="009A0847">
        <w:t xml:space="preserve"> </w:t>
      </w:r>
      <w:r w:rsidR="00CE5E01" w:rsidRPr="00B80E59">
        <w:t>parameter</w:t>
      </w:r>
      <w:r w:rsidR="009A0847">
        <w:t xml:space="preserve"> </w:t>
      </w:r>
      <w:r w:rsidR="00CE5E01" w:rsidRPr="00B80E59">
        <w:t>selection</w:t>
      </w:r>
      <w:r w:rsidR="004936DB">
        <w:t>s</w:t>
      </w:r>
      <w:r w:rsidR="00CE5E01" w:rsidRPr="00B80E59">
        <w:t>.</w:t>
      </w:r>
      <w:r w:rsidR="009A0847">
        <w:t xml:space="preserve"> </w:t>
      </w:r>
      <w:r w:rsidR="00CE5E01" w:rsidRPr="00B80E59">
        <w:t>In</w:t>
      </w:r>
      <w:r w:rsidR="009A0847">
        <w:t xml:space="preserve"> </w:t>
      </w:r>
      <w:r w:rsidR="00CE5E01" w:rsidRPr="00B80E59">
        <w:t>the</w:t>
      </w:r>
      <w:r w:rsidR="009A0847">
        <w:t xml:space="preserve"> </w:t>
      </w:r>
      <w:r w:rsidR="00CE5E01" w:rsidRPr="00B80E59">
        <w:t>control</w:t>
      </w:r>
      <w:r w:rsidR="009A0847">
        <w:t xml:space="preserve"> </w:t>
      </w:r>
      <w:r w:rsidR="00CE5E01" w:rsidRPr="00B80E59">
        <w:t>treatment,</w:t>
      </w:r>
      <w:r w:rsidR="009A0847">
        <w:t xml:space="preserve"> </w:t>
      </w:r>
      <w:r w:rsidR="00CE5E01" w:rsidRPr="00B80E59">
        <w:t>c</w:t>
      </w:r>
      <w:r w:rsidR="005A1479" w:rsidRPr="00B80E59">
        <w:t>oordination</w:t>
      </w:r>
      <w:r w:rsidR="009A0847">
        <w:t xml:space="preserve"> </w:t>
      </w:r>
      <w:r w:rsidR="005A1479" w:rsidRPr="00B80E59">
        <w:t>on</w:t>
      </w:r>
      <w:r w:rsidR="009A0847">
        <w:t xml:space="preserve"> </w:t>
      </w:r>
      <w:r w:rsidR="005A1479" w:rsidRPr="00B80E59">
        <w:t>the</w:t>
      </w:r>
      <w:r w:rsidR="009A0847">
        <w:t xml:space="preserve"> </w:t>
      </w:r>
      <w:r w:rsidR="006B7701" w:rsidRPr="00B80E59">
        <w:t>stigma-free</w:t>
      </w:r>
      <w:r w:rsidR="009A0847">
        <w:t xml:space="preserve"> </w:t>
      </w:r>
      <w:r w:rsidR="005A1479" w:rsidRPr="00B80E59">
        <w:t>equilibrium</w:t>
      </w:r>
      <w:r w:rsidR="009A0847">
        <w:t xml:space="preserve"> </w:t>
      </w:r>
      <m:oMath>
        <m:r>
          <m:rPr>
            <m:sty m:val="bi"/>
          </m:rPr>
          <w:rPr>
            <w:rFonts w:ascii="Cambria Math" w:hAnsi="Cambria Math"/>
            <w:sz w:val="22"/>
            <w:szCs w:val="22"/>
          </w:rPr>
          <m:t>NoSt</m:t>
        </m:r>
      </m:oMath>
      <w:r w:rsidR="009A0847">
        <w:rPr>
          <w:szCs w:val="24"/>
        </w:rPr>
        <w:t xml:space="preserve"> </w:t>
      </w:r>
      <w:r w:rsidR="00CE5E01" w:rsidRPr="00B80E59">
        <w:rPr>
          <w:szCs w:val="24"/>
        </w:rPr>
        <w:t>instead</w:t>
      </w:r>
      <w:r w:rsidR="009A0847">
        <w:rPr>
          <w:szCs w:val="24"/>
        </w:rPr>
        <w:t xml:space="preserve"> </w:t>
      </w:r>
      <w:r w:rsidR="00CE5E01" w:rsidRPr="00B80E59">
        <w:rPr>
          <w:szCs w:val="24"/>
        </w:rPr>
        <w:t>of</w:t>
      </w:r>
      <w:r w:rsidR="009A0847">
        <w:rPr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2"/>
            <w:szCs w:val="22"/>
          </w:rPr>
          <m:t>St</m:t>
        </m:r>
      </m:oMath>
      <w:r w:rsidR="009A0847">
        <w:rPr>
          <w:b/>
          <w:sz w:val="22"/>
          <w:szCs w:val="22"/>
        </w:rPr>
        <w:t xml:space="preserve"> </w:t>
      </w:r>
      <w:r w:rsidR="005A1479" w:rsidRPr="00B80E59">
        <w:t>leaves</w:t>
      </w:r>
      <w:r w:rsidR="009A0847">
        <w:t xml:space="preserve"> </w:t>
      </w:r>
      <w:r w:rsidR="005A1479" w:rsidRPr="00B80E59">
        <w:t>liquid</w:t>
      </w:r>
      <w:r w:rsidR="009A0847">
        <w:t xml:space="preserve"> </w:t>
      </w:r>
      <w:r w:rsidR="005A1479" w:rsidRPr="00B80E59">
        <w:t>bank</w:t>
      </w:r>
      <w:r w:rsidR="00CE5E01" w:rsidRPr="00B80E59">
        <w:t>s</w:t>
      </w:r>
      <w:r w:rsidR="009A0847">
        <w:t xml:space="preserve"> </w:t>
      </w:r>
      <w:r w:rsidR="005A1479" w:rsidRPr="00B80E59">
        <w:t>unaffected,</w:t>
      </w:r>
      <w:r w:rsidR="009A0847">
        <w:t xml:space="preserve"> </w:t>
      </w:r>
      <w:r w:rsidR="005A1479" w:rsidRPr="00B80E59">
        <w:t>it</w:t>
      </w:r>
      <w:r w:rsidR="009A0847">
        <w:t xml:space="preserve"> </w:t>
      </w:r>
      <w:r w:rsidRPr="00B80E59">
        <w:t>benefits</w:t>
      </w:r>
      <w:r w:rsidR="009A0847">
        <w:t xml:space="preserve"> </w:t>
      </w:r>
      <w:r w:rsidR="005A1479" w:rsidRPr="00B80E59">
        <w:t>investors</w:t>
      </w:r>
      <w:r w:rsidR="009A0847">
        <w:t xml:space="preserve"> </w:t>
      </w:r>
      <w:r w:rsidRPr="00B80E59">
        <w:t>slightly</w:t>
      </w:r>
      <w:r w:rsidR="009A0847">
        <w:t xml:space="preserve"> </w:t>
      </w:r>
      <w:r w:rsidRPr="00B80E59">
        <w:t>and</w:t>
      </w:r>
      <w:r w:rsidR="009A0847">
        <w:t xml:space="preserve"> </w:t>
      </w:r>
      <w:r w:rsidRPr="00B80E59">
        <w:t>it</w:t>
      </w:r>
      <w:r w:rsidR="009A0847">
        <w:t xml:space="preserve"> </w:t>
      </w:r>
      <w:r w:rsidRPr="00B80E59">
        <w:t>increases</w:t>
      </w:r>
      <w:r w:rsidR="009A0847">
        <w:t xml:space="preserve"> </w:t>
      </w:r>
      <w:r w:rsidR="005A1479" w:rsidRPr="00B80E59">
        <w:t>illiquid</w:t>
      </w:r>
      <w:r w:rsidR="009A0847">
        <w:t xml:space="preserve"> </w:t>
      </w:r>
      <w:r w:rsidR="005A1479" w:rsidRPr="00B80E59">
        <w:t>banks</w:t>
      </w:r>
      <w:r w:rsidR="009A0847">
        <w:t xml:space="preserve"> </w:t>
      </w:r>
      <w:r w:rsidR="005A1479" w:rsidRPr="00B80E59">
        <w:t>expected</w:t>
      </w:r>
      <w:r w:rsidR="009A0847">
        <w:t xml:space="preserve"> </w:t>
      </w:r>
      <w:r w:rsidR="00B80E59" w:rsidRPr="00B80E59">
        <w:lastRenderedPageBreak/>
        <w:t>profits</w:t>
      </w:r>
      <w:r w:rsidR="009A0847">
        <w:t xml:space="preserve"> </w:t>
      </w:r>
      <w:r w:rsidR="009F37EB">
        <w:t>by</w:t>
      </w:r>
      <w:r w:rsidR="009A0847">
        <w:t xml:space="preserve"> </w:t>
      </w:r>
      <w:r w:rsidR="00E01B03">
        <w:t>about</w:t>
      </w:r>
      <w:r w:rsidR="009A0847">
        <w:t xml:space="preserve"> </w:t>
      </w:r>
      <w:r w:rsidR="009F37EB">
        <w:t>50</w:t>
      </w:r>
      <w:r w:rsidR="005A1479" w:rsidRPr="00B80E59">
        <w:t>%.</w:t>
      </w:r>
      <w:r w:rsidR="009A0847">
        <w:t xml:space="preserve"> </w:t>
      </w:r>
      <w:r w:rsidR="00CE5E01" w:rsidRPr="00B80E59">
        <w:t>Nevertheless,</w:t>
      </w:r>
      <w:r w:rsidR="009A0847">
        <w:t xml:space="preserve"> </w:t>
      </w:r>
      <w:r w:rsidR="00CE5E01" w:rsidRPr="00B80E59">
        <w:t>observe</w:t>
      </w:r>
      <w:r w:rsidR="009A0847">
        <w:t xml:space="preserve"> </w:t>
      </w:r>
      <w:r w:rsidR="00CE5E01" w:rsidRPr="00B80E59">
        <w:t>that</w:t>
      </w:r>
      <w:r w:rsidR="009A0847">
        <w:t xml:space="preserve"> </w:t>
      </w:r>
      <w:r w:rsidR="00CE5E01" w:rsidRPr="00B80E59">
        <w:t>it</w:t>
      </w:r>
      <w:r w:rsidR="009A0847">
        <w:t xml:space="preserve"> </w:t>
      </w:r>
      <w:r w:rsidR="00CE5E01" w:rsidRPr="00B80E59">
        <w:t>is</w:t>
      </w:r>
      <w:r w:rsidR="009A0847">
        <w:t xml:space="preserve"> </w:t>
      </w:r>
      <w:r w:rsidR="00CE5E01" w:rsidRPr="00B80E59">
        <w:t>a</w:t>
      </w:r>
      <w:r w:rsidR="009A0847">
        <w:t xml:space="preserve"> </w:t>
      </w:r>
      <w:r w:rsidR="00CE5E01" w:rsidRPr="00B80E59">
        <w:t>best</w:t>
      </w:r>
      <w:r w:rsidR="009A0847">
        <w:t xml:space="preserve"> </w:t>
      </w:r>
      <w:r w:rsidR="00CE5E01" w:rsidRPr="00B80E59">
        <w:t>response</w:t>
      </w:r>
      <w:r w:rsidR="009A0847">
        <w:t xml:space="preserve"> </w:t>
      </w:r>
      <w:r w:rsidR="00CE5E01" w:rsidRPr="00B80E59">
        <w:t>for</w:t>
      </w:r>
      <w:r w:rsidR="009A0847">
        <w:t xml:space="preserve"> </w:t>
      </w:r>
      <w:r w:rsidR="00CE5E01" w:rsidRPr="00B80E59">
        <w:t>a</w:t>
      </w:r>
      <w:r w:rsidR="009A0847">
        <w:t xml:space="preserve"> </w:t>
      </w:r>
      <w:r w:rsidR="00CE5E01" w:rsidRPr="00B80E59">
        <w:t>bank</w:t>
      </w:r>
      <w:r w:rsidR="009A0847">
        <w:t xml:space="preserve"> </w:t>
      </w:r>
      <w:r w:rsidR="00CE5E01" w:rsidRPr="00B80E59">
        <w:t>to</w:t>
      </w:r>
      <w:r w:rsidR="009A0847">
        <w:t xml:space="preserve"> </w:t>
      </w:r>
      <w:r w:rsidR="00CE5E01" w:rsidRPr="00B80E59">
        <w:t>borrow</w:t>
      </w:r>
      <w:r w:rsidR="009A0847">
        <w:t xml:space="preserve"> </w:t>
      </w:r>
      <w:r w:rsidR="00CE5E01" w:rsidRPr="00B80E59">
        <w:t>at</w:t>
      </w:r>
      <w:r w:rsidR="009A0847">
        <w:t xml:space="preserve"> </w:t>
      </w:r>
      <w:r w:rsidR="00CE5E01" w:rsidRPr="00B80E59">
        <w:t>the</w:t>
      </w:r>
      <w:r w:rsidR="009A0847">
        <w:t xml:space="preserve"> </w:t>
      </w:r>
      <w:r w:rsidR="00CE5E01" w:rsidRPr="00B80E59">
        <w:t>DW</w:t>
      </w:r>
      <w:r w:rsidR="009A0847">
        <w:t xml:space="preserve"> </w:t>
      </w:r>
      <w:r w:rsidR="00CE5E01" w:rsidRPr="00B80E59">
        <w:t>only</w:t>
      </w:r>
      <w:r w:rsidR="009A0847">
        <w:t xml:space="preserve"> </w:t>
      </w:r>
      <w:r w:rsidR="00CE5E01" w:rsidRPr="00B80E59">
        <w:t>when</w:t>
      </w:r>
      <w:r w:rsidR="009A0847">
        <w:t xml:space="preserve"> </w:t>
      </w:r>
      <w:r w:rsidR="00CE5E01" w:rsidRPr="00B80E59">
        <w:t>there</w:t>
      </w:r>
      <w:r w:rsidR="009A0847">
        <w:t xml:space="preserve"> </w:t>
      </w:r>
      <w:r w:rsidR="00CE5E01" w:rsidRPr="00B80E59">
        <w:t>are</w:t>
      </w:r>
      <w:r w:rsidR="009A0847">
        <w:t xml:space="preserve"> </w:t>
      </w:r>
      <w:r w:rsidR="00CE5E01" w:rsidRPr="00B80E59">
        <w:t>at</w:t>
      </w:r>
      <w:r w:rsidR="009A0847">
        <w:t xml:space="preserve"> </w:t>
      </w:r>
      <w:r w:rsidR="00CE5E01" w:rsidRPr="00B80E59">
        <w:t>least</w:t>
      </w:r>
      <w:r w:rsidR="009A0847">
        <w:t xml:space="preserve"> </w:t>
      </w:r>
      <w:r w:rsidR="00CE5E01" w:rsidRPr="00B80E59">
        <w:t>two</w:t>
      </w:r>
      <w:r w:rsidR="009A0847">
        <w:t xml:space="preserve"> </w:t>
      </w:r>
      <w:r w:rsidR="00CE5E01" w:rsidRPr="00B80E59">
        <w:t>other</w:t>
      </w:r>
      <w:r w:rsidR="009A0847">
        <w:t xml:space="preserve"> </w:t>
      </w:r>
      <w:r w:rsidR="00CE5E01" w:rsidRPr="00B80E59">
        <w:t>DW</w:t>
      </w:r>
      <w:r w:rsidR="009A0847">
        <w:t xml:space="preserve"> </w:t>
      </w:r>
      <w:r w:rsidR="00CE5E01" w:rsidRPr="00B80E59">
        <w:t>borrowers</w:t>
      </w:r>
      <w:r w:rsidR="009A0847">
        <w:t xml:space="preserve"> </w:t>
      </w:r>
      <w:r w:rsidR="00B80E59" w:rsidRPr="00B80E59">
        <w:t>(i.e.</w:t>
      </w:r>
      <w:r w:rsidR="009A0847"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n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0</m:t>
            </m:r>
          </m:sub>
        </m:sSub>
        <m:r>
          <w:rPr>
            <w:rFonts w:ascii="Cambria Math" w:hAnsi="Cambria Math"/>
            <w:sz w:val="22"/>
            <w:szCs w:val="22"/>
          </w:rPr>
          <m:t>&gt;2</m:t>
        </m:r>
      </m:oMath>
      <w:r w:rsidR="00B80E59" w:rsidRPr="00B80E59">
        <w:t>)</w:t>
      </w:r>
      <w:r w:rsidR="00CE5E01" w:rsidRPr="00B80E59">
        <w:t>.</w:t>
      </w:r>
      <w:r w:rsidR="009A0847">
        <w:t xml:space="preserve"> </w:t>
      </w:r>
      <w:r w:rsidR="00CE5E01" w:rsidRPr="00B80E59">
        <w:t>Thus,</w:t>
      </w:r>
      <w:r w:rsidR="009A0847">
        <w:t xml:space="preserve"> </w:t>
      </w:r>
      <w:r w:rsidR="00CE5E01" w:rsidRPr="00B80E59">
        <w:t>despite</w:t>
      </w:r>
      <w:r w:rsidR="009A0847">
        <w:t xml:space="preserve"> </w:t>
      </w:r>
      <w:r w:rsidR="005D39CB" w:rsidRPr="00B80E59">
        <w:t>substantial</w:t>
      </w:r>
      <w:r w:rsidR="009A0847">
        <w:t xml:space="preserve"> </w:t>
      </w:r>
      <w:r w:rsidR="00CE5E01" w:rsidRPr="00B80E59">
        <w:t>financial</w:t>
      </w:r>
      <w:r w:rsidR="009A0847">
        <w:t xml:space="preserve"> </w:t>
      </w:r>
      <w:r w:rsidR="00CE5E01" w:rsidRPr="00B80E59">
        <w:t>incentives</w:t>
      </w:r>
      <w:r w:rsidR="00B80E59" w:rsidRPr="00B80E59">
        <w:t>,</w:t>
      </w:r>
      <w:r w:rsidR="009A0847">
        <w:t xml:space="preserve"> </w:t>
      </w:r>
      <w:r w:rsidR="00183EDE">
        <w:t>subjects</w:t>
      </w:r>
      <w:r w:rsidR="009A0847">
        <w:t xml:space="preserve"> </w:t>
      </w:r>
      <w:r w:rsidR="00B80E59" w:rsidRPr="00B80E59">
        <w:t>may</w:t>
      </w:r>
      <w:r w:rsidR="009A0847">
        <w:t xml:space="preserve"> </w:t>
      </w:r>
      <w:r w:rsidR="00B80E59" w:rsidRPr="00B80E59">
        <w:t>find</w:t>
      </w:r>
      <w:r w:rsidR="009A0847">
        <w:t xml:space="preserve"> </w:t>
      </w:r>
      <w:r w:rsidR="00B80E59" w:rsidRPr="00B80E59">
        <w:t>it</w:t>
      </w:r>
      <w:r w:rsidR="009A0847">
        <w:t xml:space="preserve"> </w:t>
      </w:r>
      <w:r w:rsidR="00B80E59" w:rsidRPr="00B80E59">
        <w:t>difficult</w:t>
      </w:r>
      <w:r w:rsidR="009A0847">
        <w:t xml:space="preserve"> </w:t>
      </w:r>
      <w:r w:rsidR="00B80E59" w:rsidRPr="00B80E59">
        <w:t>to</w:t>
      </w:r>
      <w:r w:rsidR="009A0847">
        <w:t xml:space="preserve"> </w:t>
      </w:r>
      <w:r w:rsidR="00CE5E01" w:rsidRPr="00B80E59">
        <w:t>coordinat</w:t>
      </w:r>
      <w:r w:rsidR="00B80E59" w:rsidRPr="00B80E59">
        <w:t>e</w:t>
      </w:r>
      <w:r w:rsidR="009A0847">
        <w:t xml:space="preserve"> </w:t>
      </w:r>
      <w:r w:rsidR="00CE5E01" w:rsidRPr="00B80E59">
        <w:t>on</w:t>
      </w:r>
      <w:r w:rsidR="009A0847">
        <w:t xml:space="preserve"> </w:t>
      </w:r>
      <m:oMath>
        <m:r>
          <m:rPr>
            <m:sty m:val="bi"/>
          </m:rPr>
          <w:rPr>
            <w:rFonts w:ascii="Cambria Math" w:hAnsi="Cambria Math"/>
            <w:sz w:val="22"/>
            <w:szCs w:val="22"/>
          </w:rPr>
          <m:t>NoSt</m:t>
        </m:r>
      </m:oMath>
      <w:r w:rsidR="009A0847">
        <w:t xml:space="preserve"> </w:t>
      </w:r>
      <w:r w:rsidR="00CE5E01" w:rsidRPr="00B80E59">
        <w:t>in</w:t>
      </w:r>
      <w:r w:rsidR="009A0847">
        <w:t xml:space="preserve"> </w:t>
      </w:r>
      <w:r w:rsidR="00CE5E01" w:rsidRPr="00B80E59">
        <w:t>the</w:t>
      </w:r>
      <w:r w:rsidR="009A0847">
        <w:t xml:space="preserve"> </w:t>
      </w:r>
      <w:r w:rsidR="00CE5E01" w:rsidRPr="00B80E59">
        <w:t>control</w:t>
      </w:r>
      <w:r w:rsidR="009A0847">
        <w:t xml:space="preserve"> </w:t>
      </w:r>
      <w:r w:rsidR="00CE5E01" w:rsidRPr="00B80E59">
        <w:t>treatment.</w:t>
      </w:r>
    </w:p>
    <w:p w14:paraId="3182F61E" w14:textId="2ECC6CD5" w:rsidR="0016157E" w:rsidRPr="007C55A6" w:rsidRDefault="00000AB7" w:rsidP="002E7B16">
      <w:pPr>
        <w:pStyle w:val="Heading3"/>
      </w:pPr>
      <w:r>
        <w:t>The</w:t>
      </w:r>
      <w:r w:rsidR="009A0847">
        <w:t xml:space="preserve"> </w:t>
      </w:r>
      <w:r>
        <w:t>Low</w:t>
      </w:r>
      <w:r w:rsidR="009A0847">
        <w:t xml:space="preserve"> </w:t>
      </w:r>
      <w:r>
        <w:t>DW</w:t>
      </w:r>
      <w:r w:rsidR="009A0847">
        <w:t xml:space="preserve"> </w:t>
      </w:r>
      <w:r>
        <w:t>Cost</w:t>
      </w:r>
      <w:r w:rsidR="009A0847">
        <w:t xml:space="preserve"> </w:t>
      </w:r>
      <w:r>
        <w:t>treatment</w:t>
      </w:r>
    </w:p>
    <w:p w14:paraId="1392F618" w14:textId="0C3C6CEC" w:rsidR="00E01B03" w:rsidRDefault="009F37EB" w:rsidP="00B27237">
      <w:pPr>
        <w:pStyle w:val="Olivier1"/>
        <w:widowControl w:val="0"/>
        <w:spacing w:after="0"/>
      </w:pPr>
      <w:r>
        <w:t>As</w:t>
      </w:r>
      <w:r w:rsidR="009A0847">
        <w:t xml:space="preserve"> </w:t>
      </w:r>
      <w:r>
        <w:t>indicated</w:t>
      </w:r>
      <w:r w:rsidR="009A0847">
        <w:t xml:space="preserve"> </w:t>
      </w:r>
      <w:r>
        <w:t>in</w:t>
      </w:r>
      <w:r w:rsidR="009A0847">
        <w:t xml:space="preserve"> </w:t>
      </w:r>
      <w:r>
        <w:t>Table</w:t>
      </w:r>
      <w:r w:rsidR="009A0847">
        <w:t xml:space="preserve"> </w:t>
      </w:r>
      <w:r>
        <w:t>2,</w:t>
      </w:r>
      <w:r w:rsidR="009A0847">
        <w:t xml:space="preserve"> </w:t>
      </w:r>
      <w:r>
        <w:t>t</w:t>
      </w:r>
      <w:r w:rsidR="00AB618F" w:rsidRPr="001C003C">
        <w:t>he</w:t>
      </w:r>
      <w:r w:rsidR="009A0847">
        <w:t xml:space="preserve"> </w:t>
      </w:r>
      <w:r w:rsidR="0016157E" w:rsidRPr="001C003C">
        <w:rPr>
          <w:i/>
        </w:rPr>
        <w:t>Low</w:t>
      </w:r>
      <w:r w:rsidR="009A0847">
        <w:rPr>
          <w:i/>
        </w:rPr>
        <w:t xml:space="preserve"> </w:t>
      </w:r>
      <w:r w:rsidR="0016157E" w:rsidRPr="001C003C">
        <w:rPr>
          <w:i/>
        </w:rPr>
        <w:t>DW</w:t>
      </w:r>
      <w:r w:rsidR="009A0847">
        <w:rPr>
          <w:i/>
        </w:rPr>
        <w:t xml:space="preserve"> </w:t>
      </w:r>
      <w:r w:rsidR="0016157E" w:rsidRPr="001C003C">
        <w:rPr>
          <w:i/>
        </w:rPr>
        <w:t>Cost</w:t>
      </w:r>
      <w:r w:rsidR="009A0847">
        <w:t xml:space="preserve"> </w:t>
      </w:r>
      <w:r w:rsidR="0016157E" w:rsidRPr="001C003C">
        <w:t>treatment</w:t>
      </w:r>
      <w:r w:rsidR="009A0847">
        <w:t xml:space="preserve"> </w:t>
      </w:r>
      <w:r w:rsidR="0016157E" w:rsidRPr="001C003C">
        <w:t>has</w:t>
      </w:r>
      <w:r w:rsidR="009A0847">
        <w:t xml:space="preserve"> </w:t>
      </w:r>
      <w:r w:rsidR="0016157E" w:rsidRPr="001C003C">
        <w:t>the</w:t>
      </w:r>
      <w:r w:rsidR="009A0847">
        <w:t xml:space="preserve"> </w:t>
      </w:r>
      <w:r w:rsidR="0016157E" w:rsidRPr="001C003C">
        <w:t>same</w:t>
      </w:r>
      <w:r w:rsidR="009A0847">
        <w:t xml:space="preserve"> </w:t>
      </w:r>
      <w:r w:rsidR="0016157E" w:rsidRPr="001C003C">
        <w:t>parameter</w:t>
      </w:r>
      <w:r w:rsidR="009A0847">
        <w:t xml:space="preserve"> </w:t>
      </w:r>
      <w:r w:rsidR="0016157E" w:rsidRPr="001C003C">
        <w:t>value</w:t>
      </w:r>
      <w:r w:rsidR="00AB618F" w:rsidRPr="001C003C">
        <w:t>s</w:t>
      </w:r>
      <w:r w:rsidR="009A0847">
        <w:t xml:space="preserve"> </w:t>
      </w:r>
      <w:r w:rsidR="00AB618F" w:rsidRPr="001C003C">
        <w:t>as</w:t>
      </w:r>
      <w:r w:rsidR="009A0847">
        <w:t xml:space="preserve"> </w:t>
      </w:r>
      <w:r w:rsidR="00AB618F" w:rsidRPr="001C003C">
        <w:t>the</w:t>
      </w:r>
      <w:r w:rsidR="009A0847">
        <w:t xml:space="preserve"> </w:t>
      </w:r>
      <w:r w:rsidR="00AB618F" w:rsidRPr="001C003C">
        <w:t>control</w:t>
      </w:r>
      <w:r w:rsidR="009A0847">
        <w:t xml:space="preserve"> </w:t>
      </w:r>
      <w:r w:rsidR="00AB618F" w:rsidRPr="001C003C">
        <w:t>treatment</w:t>
      </w:r>
      <w:r w:rsidR="009A0847">
        <w:t xml:space="preserve"> </w:t>
      </w:r>
      <w:r w:rsidR="0016157E" w:rsidRPr="001C003C">
        <w:t>except</w:t>
      </w:r>
      <w:r w:rsidR="009A0847">
        <w:t xml:space="preserve"> </w:t>
      </w:r>
      <w:r w:rsidR="0016157E" w:rsidRPr="001C003C">
        <w:t>for</w:t>
      </w:r>
      <w:r w:rsidR="009A0847">
        <w:t xml:space="preserve"> </w:t>
      </w:r>
      <w:r w:rsidR="0016157E" w:rsidRPr="001C003C">
        <w:t>the</w:t>
      </w:r>
      <w:r w:rsidR="009A0847">
        <w:t xml:space="preserve"> </w:t>
      </w:r>
      <w:r w:rsidR="0016157E" w:rsidRPr="001C003C">
        <w:t>DW</w:t>
      </w:r>
      <w:r w:rsidR="009A0847">
        <w:t xml:space="preserve"> </w:t>
      </w:r>
      <w:r w:rsidR="0016157E" w:rsidRPr="001C003C">
        <w:t>rate</w:t>
      </w:r>
      <w:r w:rsidR="009A0847">
        <w:t xml:space="preserve"> </w:t>
      </w:r>
      <w:r w:rsidR="0016157E" w:rsidRPr="001C003C">
        <w:t>which</w:t>
      </w:r>
      <w:r w:rsidR="009A0847">
        <w:t xml:space="preserve"> </w:t>
      </w:r>
      <w:r w:rsidR="0016157E" w:rsidRPr="001C003C">
        <w:t>is</w:t>
      </w:r>
      <w:r w:rsidR="009A0847">
        <w:t xml:space="preserve"> </w:t>
      </w:r>
      <w:r w:rsidR="004936DB">
        <w:t>reduced</w:t>
      </w:r>
      <w:r w:rsidR="009A0847">
        <w:t xml:space="preserve"> </w:t>
      </w:r>
      <w:r w:rsidR="004936DB">
        <w:t>by</w:t>
      </w:r>
      <w:r w:rsidR="009A0847">
        <w:t xml:space="preserve"> </w:t>
      </w:r>
      <w:r w:rsidR="004936DB">
        <w:t>half</w:t>
      </w:r>
      <w:r w:rsidR="0016157E" w:rsidRPr="001C003C">
        <w:t>,</w:t>
      </w:r>
      <w:r w:rsidR="009A0847">
        <w:t xml:space="preserve"> </w:t>
      </w:r>
      <w:r w:rsidR="0016157E" w:rsidRPr="001C003C">
        <w:t>from</w:t>
      </w:r>
      <w:r w:rsidR="009A0847">
        <w:t xml:space="preserve"> </w:t>
      </w:r>
      <w:r>
        <w:t>20</w:t>
      </w:r>
      <w:r w:rsidR="009A0847">
        <w:t xml:space="preserve"> </w:t>
      </w:r>
      <w:r>
        <w:t>to</w:t>
      </w:r>
      <w:r w:rsidR="009A0847">
        <w:t xml:space="preserve"> </w:t>
      </w:r>
      <w:r>
        <w:t>10</w:t>
      </w:r>
      <w:r w:rsidR="0016157E" w:rsidRPr="001C003C">
        <w:t>.</w:t>
      </w:r>
      <w:r w:rsidR="009A0847">
        <w:t xml:space="preserve"> </w:t>
      </w:r>
      <w:r w:rsidR="003256AE">
        <w:t>Because</w:t>
      </w:r>
      <w:r w:rsidR="009A0847">
        <w:t xml:space="preserve"> </w:t>
      </w:r>
      <w:r w:rsidR="00AB618F" w:rsidRPr="001C003C">
        <w:t>the</w:t>
      </w:r>
      <w:r w:rsidR="009A0847">
        <w:t xml:space="preserve"> </w:t>
      </w:r>
      <w:r w:rsidR="00AB618F" w:rsidRPr="001C003C">
        <w:t>threshold</w:t>
      </w:r>
      <w:r w:rsidR="009A0847">
        <w:t xml:space="preserve"> </w:t>
      </w:r>
      <w:r w:rsidR="00AB618F" w:rsidRPr="001C003C">
        <w:t>probability</w:t>
      </w:r>
      <w:r w:rsidR="009A0847">
        <w:t xml:space="preserve"> </w:t>
      </w:r>
      <w:r w:rsidR="003256AE">
        <w:t>is</w:t>
      </w:r>
      <w:r w:rsidR="009A0847">
        <w:t xml:space="preserve"> </w:t>
      </w:r>
      <m:oMath>
        <m:r>
          <w:rPr>
            <w:rFonts w:ascii="Cambria Math" w:hAnsi="Cambria Math"/>
            <w:sz w:val="22"/>
            <w:szCs w:val="22"/>
          </w:rPr>
          <m:t>θ</m:t>
        </m:r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2"/>
                    <w:szCs w:val="22"/>
                  </w:rPr>
                  <m:t>0</m:t>
                </m:r>
              </m:sub>
            </m:sSub>
          </m:e>
        </m:d>
        <m:r>
          <w:rPr>
            <w:rFonts w:ascii="Cambria Math" w:hAnsi="Cambria Math"/>
            <w:sz w:val="22"/>
            <w:szCs w:val="22"/>
          </w:rPr>
          <m:t>=0.6</m:t>
        </m:r>
      </m:oMath>
      <w:r w:rsidR="003256AE">
        <w:rPr>
          <w:sz w:val="22"/>
          <w:szCs w:val="22"/>
        </w:rPr>
        <w:t>,</w:t>
      </w:r>
      <w:r w:rsidR="009A0847">
        <w:rPr>
          <w:sz w:val="22"/>
          <w:szCs w:val="22"/>
        </w:rPr>
        <w:t xml:space="preserve"> </w:t>
      </w:r>
      <w:r w:rsidR="003256AE" w:rsidRPr="001C003C">
        <w:t>we</w:t>
      </w:r>
      <w:r w:rsidR="009A0847">
        <w:t xml:space="preserve"> </w:t>
      </w:r>
      <w:r w:rsidR="003256AE" w:rsidRPr="001C003C">
        <w:t>now</w:t>
      </w:r>
      <w:r w:rsidR="009A0847">
        <w:t xml:space="preserve"> </w:t>
      </w:r>
      <w:r w:rsidR="003256AE" w:rsidRPr="001C003C">
        <w:t>have</w:t>
      </w:r>
      <w:r w:rsidR="009A0847">
        <w:t xml:space="preserve"> </w:t>
      </w:r>
      <m:oMath>
        <m:r>
          <w:rPr>
            <w:rFonts w:ascii="Cambria Math" w:hAnsi="Cambria Math"/>
            <w:sz w:val="22"/>
            <w:szCs w:val="22"/>
          </w:rPr>
          <m:t>1</m:t>
        </m:r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&lt;n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0</m:t>
            </m:r>
          </m:sub>
        </m:sSub>
        <m:r>
          <w:rPr>
            <w:rFonts w:ascii="Cambria Math" w:hAnsi="Cambria Math"/>
            <w:sz w:val="22"/>
            <w:szCs w:val="22"/>
          </w:rPr>
          <m:t>&lt;2</m:t>
        </m:r>
      </m:oMath>
      <w:r w:rsidR="0016157E" w:rsidRPr="001C003C">
        <w:t>.</w:t>
      </w:r>
      <w:r w:rsidR="009A0847">
        <w:t xml:space="preserve"> </w:t>
      </w:r>
      <w:r>
        <w:t>Thus</w:t>
      </w:r>
      <w:r w:rsidR="00083861" w:rsidRPr="00B80E59">
        <w:t>,</w:t>
      </w:r>
      <w:r w:rsidR="009A0847">
        <w:t xml:space="preserve"> </w:t>
      </w:r>
      <w:r w:rsidR="00083861" w:rsidRPr="00B80E59">
        <w:t>it</w:t>
      </w:r>
      <w:r w:rsidR="009A0847">
        <w:t xml:space="preserve"> </w:t>
      </w:r>
      <w:r w:rsidR="00083861" w:rsidRPr="00B80E59">
        <w:t>is</w:t>
      </w:r>
      <w:r w:rsidR="009A0847">
        <w:t xml:space="preserve"> </w:t>
      </w:r>
      <w:r w:rsidR="00083861" w:rsidRPr="00B80E59">
        <w:t>a</w:t>
      </w:r>
      <w:r w:rsidR="009A0847">
        <w:t xml:space="preserve"> </w:t>
      </w:r>
      <w:r w:rsidR="00083861" w:rsidRPr="00B80E59">
        <w:t>best</w:t>
      </w:r>
      <w:r w:rsidR="009A0847">
        <w:t xml:space="preserve"> </w:t>
      </w:r>
      <w:r w:rsidR="00083861" w:rsidRPr="00B80E59">
        <w:t>response</w:t>
      </w:r>
      <w:r w:rsidR="009A0847">
        <w:t xml:space="preserve"> </w:t>
      </w:r>
      <w:r w:rsidR="00083861" w:rsidRPr="00B80E59">
        <w:t>for</w:t>
      </w:r>
      <w:r w:rsidR="009A0847">
        <w:t xml:space="preserve"> </w:t>
      </w:r>
      <w:r w:rsidR="00083861" w:rsidRPr="00B80E59">
        <w:t>a</w:t>
      </w:r>
      <w:r w:rsidR="009A0847">
        <w:t xml:space="preserve"> </w:t>
      </w:r>
      <w:r w:rsidR="00083861" w:rsidRPr="00B80E59">
        <w:t>bank</w:t>
      </w:r>
      <w:r w:rsidR="009A0847">
        <w:t xml:space="preserve"> </w:t>
      </w:r>
      <w:r w:rsidR="00083861" w:rsidRPr="00B80E59">
        <w:t>to</w:t>
      </w:r>
      <w:r w:rsidR="009A0847">
        <w:t xml:space="preserve"> </w:t>
      </w:r>
      <w:r w:rsidR="00083861" w:rsidRPr="00B80E59">
        <w:t>borrow</w:t>
      </w:r>
      <w:r w:rsidR="009A0847">
        <w:t xml:space="preserve"> </w:t>
      </w:r>
      <w:r w:rsidR="00083861" w:rsidRPr="00B80E59">
        <w:t>at</w:t>
      </w:r>
      <w:r w:rsidR="009A0847">
        <w:t xml:space="preserve"> </w:t>
      </w:r>
      <w:r w:rsidR="00083861" w:rsidRPr="00B80E59">
        <w:t>the</w:t>
      </w:r>
      <w:r w:rsidR="009A0847">
        <w:t xml:space="preserve"> </w:t>
      </w:r>
      <w:r w:rsidR="00083861" w:rsidRPr="00B80E59">
        <w:t>DW</w:t>
      </w:r>
      <w:r w:rsidR="009A0847">
        <w:t xml:space="preserve"> </w:t>
      </w:r>
      <w:r w:rsidR="00083861" w:rsidRPr="00B80E59">
        <w:t>if</w:t>
      </w:r>
      <w:r w:rsidR="009A0847">
        <w:t xml:space="preserve"> </w:t>
      </w:r>
      <w:r w:rsidR="00083861" w:rsidRPr="00B80E59">
        <w:t>there</w:t>
      </w:r>
      <w:r w:rsidR="009A0847">
        <w:t xml:space="preserve"> </w:t>
      </w:r>
      <w:r w:rsidR="00083861" w:rsidRPr="00B80E59">
        <w:t>is</w:t>
      </w:r>
      <w:r w:rsidR="009A0847">
        <w:t xml:space="preserve"> </w:t>
      </w:r>
      <w:r w:rsidR="00083861" w:rsidRPr="00B80E59">
        <w:t>at</w:t>
      </w:r>
      <w:r w:rsidR="009A0847">
        <w:t xml:space="preserve"> </w:t>
      </w:r>
      <w:r w:rsidR="00083861" w:rsidRPr="00B80E59">
        <w:t>least</w:t>
      </w:r>
      <w:r w:rsidR="009A0847">
        <w:t xml:space="preserve"> </w:t>
      </w:r>
      <w:r w:rsidR="00083861" w:rsidRPr="00B80E59">
        <w:t>one</w:t>
      </w:r>
      <w:r w:rsidR="009A0847">
        <w:t xml:space="preserve"> </w:t>
      </w:r>
      <w:r w:rsidR="00083861" w:rsidRPr="00B80E59">
        <w:t>other</w:t>
      </w:r>
      <w:r w:rsidR="009A0847">
        <w:t xml:space="preserve"> </w:t>
      </w:r>
      <w:r w:rsidR="00083861" w:rsidRPr="00B80E59">
        <w:t>DW</w:t>
      </w:r>
      <w:r w:rsidR="009A0847">
        <w:t xml:space="preserve"> </w:t>
      </w:r>
      <w:r w:rsidR="00083861" w:rsidRPr="00B80E59">
        <w:t>borrower.</w:t>
      </w:r>
      <w:r w:rsidR="009A0847">
        <w:t xml:space="preserve"> </w:t>
      </w:r>
      <w:r w:rsidR="00083861" w:rsidRPr="00B80E59">
        <w:t>Further,</w:t>
      </w:r>
      <w:r w:rsidR="009A0847">
        <w:t xml:space="preserve"> </w:t>
      </w:r>
      <w:r w:rsidR="005D39CB" w:rsidRPr="00B80E59">
        <w:t>as</w:t>
      </w:r>
      <w:r w:rsidR="009A0847">
        <w:t xml:space="preserve"> </w:t>
      </w:r>
      <w:r w:rsidR="005D39CB" w:rsidRPr="00B80E59">
        <w:t>indicated</w:t>
      </w:r>
      <w:r w:rsidR="009A0847">
        <w:t xml:space="preserve"> </w:t>
      </w:r>
      <w:r w:rsidR="005D39CB" w:rsidRPr="00B80E59">
        <w:t>in</w:t>
      </w:r>
      <w:r w:rsidR="009A0847">
        <w:t xml:space="preserve"> </w:t>
      </w:r>
      <w:r w:rsidR="005D39CB" w:rsidRPr="00B80E59">
        <w:t>Table</w:t>
      </w:r>
      <w:r w:rsidR="009A0847">
        <w:t xml:space="preserve"> </w:t>
      </w:r>
      <w:r w:rsidR="005D39CB" w:rsidRPr="00B80E59">
        <w:t>1</w:t>
      </w:r>
      <w:r w:rsidR="00F947D0" w:rsidRPr="00B80E59">
        <w:t>,</w:t>
      </w:r>
      <w:r w:rsidR="009A0847">
        <w:t xml:space="preserve"> </w:t>
      </w:r>
      <w:r w:rsidR="005D39CB" w:rsidRPr="00B80E59">
        <w:t>illiquid</w:t>
      </w:r>
      <w:r w:rsidR="009A0847">
        <w:t xml:space="preserve"> </w:t>
      </w:r>
      <w:r w:rsidR="005D39CB" w:rsidRPr="00B80E59">
        <w:t>banks</w:t>
      </w:r>
      <w:r w:rsidR="00B80E59" w:rsidRPr="00B80E59">
        <w:t>’</w:t>
      </w:r>
      <w:r w:rsidR="009A0847">
        <w:t xml:space="preserve"> </w:t>
      </w:r>
      <w:r w:rsidR="00B80E59" w:rsidRPr="00B80E59">
        <w:t>incentives</w:t>
      </w:r>
      <w:r w:rsidR="009A0847">
        <w:t xml:space="preserve"> </w:t>
      </w:r>
      <w:r w:rsidR="00B80E59" w:rsidRPr="00B80E59">
        <w:t>to</w:t>
      </w:r>
      <w:r w:rsidR="009A0847">
        <w:t xml:space="preserve"> </w:t>
      </w:r>
      <w:r w:rsidR="00B80E59" w:rsidRPr="00B80E59">
        <w:t>coordinate</w:t>
      </w:r>
      <w:r w:rsidR="009A0847">
        <w:t xml:space="preserve"> </w:t>
      </w:r>
      <w:r w:rsidR="00B80E59" w:rsidRPr="00B80E59">
        <w:t>on</w:t>
      </w:r>
      <w:r w:rsidR="009A0847">
        <w:t xml:space="preserve"> </w:t>
      </w:r>
      <m:oMath>
        <m:r>
          <m:rPr>
            <m:sty m:val="bi"/>
          </m:rPr>
          <w:rPr>
            <w:rFonts w:ascii="Cambria Math" w:hAnsi="Cambria Math"/>
            <w:sz w:val="22"/>
            <w:szCs w:val="22"/>
          </w:rPr>
          <m:t>NoSt</m:t>
        </m:r>
      </m:oMath>
      <w:r w:rsidR="009A0847">
        <w:rPr>
          <w:szCs w:val="24"/>
        </w:rPr>
        <w:t xml:space="preserve"> </w:t>
      </w:r>
      <w:r w:rsidR="004936DB">
        <w:rPr>
          <w:szCs w:val="24"/>
        </w:rPr>
        <w:t>increase</w:t>
      </w:r>
      <w:r w:rsidR="00D02875">
        <w:rPr>
          <w:szCs w:val="24"/>
        </w:rPr>
        <w:t>s</w:t>
      </w:r>
      <w:r w:rsidR="009A0847">
        <w:rPr>
          <w:szCs w:val="24"/>
        </w:rPr>
        <w:t xml:space="preserve"> </w:t>
      </w:r>
      <w:r w:rsidR="00083861" w:rsidRPr="00B80E59">
        <w:t>from</w:t>
      </w:r>
      <w:r w:rsidR="009A0847">
        <w:t xml:space="preserve"> </w:t>
      </w:r>
      <w:r>
        <w:t>14.8</w:t>
      </w:r>
      <w:r w:rsidR="009A0847">
        <w:t xml:space="preserve"> </w:t>
      </w:r>
      <w:r w:rsidR="00083861" w:rsidRPr="00B80E59">
        <w:t>in</w:t>
      </w:r>
      <w:r w:rsidR="009A0847">
        <w:t xml:space="preserve"> </w:t>
      </w:r>
      <w:r w:rsidR="00083861" w:rsidRPr="00B80E59">
        <w:t>the</w:t>
      </w:r>
      <w:r w:rsidR="009A0847">
        <w:t xml:space="preserve"> </w:t>
      </w:r>
      <w:r w:rsidR="00083861" w:rsidRPr="00B80E59">
        <w:t>control</w:t>
      </w:r>
      <w:r w:rsidR="009A0847">
        <w:t xml:space="preserve"> </w:t>
      </w:r>
      <w:r w:rsidR="00083861" w:rsidRPr="00B80E59">
        <w:t>treatment</w:t>
      </w:r>
      <w:r w:rsidR="009A0847">
        <w:t xml:space="preserve"> </w:t>
      </w:r>
      <w:r w:rsidR="00083861" w:rsidRPr="00B80E59">
        <w:t>to</w:t>
      </w:r>
      <w:r w:rsidR="009A0847">
        <w:t xml:space="preserve"> </w:t>
      </w:r>
      <w:r>
        <w:t>24.8</w:t>
      </w:r>
      <w:r w:rsidR="009A0847">
        <w:t xml:space="preserve"> </w:t>
      </w:r>
      <w:r w:rsidR="00B80E59" w:rsidRPr="00B80E59">
        <w:t>in</w:t>
      </w:r>
      <w:r w:rsidR="009A0847">
        <w:t xml:space="preserve"> </w:t>
      </w:r>
      <w:r w:rsidR="00B80E59" w:rsidRPr="00B80E59">
        <w:t>the</w:t>
      </w:r>
      <w:r w:rsidR="009A0847">
        <w:t xml:space="preserve"> </w:t>
      </w:r>
      <w:r w:rsidR="00B80E59" w:rsidRPr="00B80E59">
        <w:t>low</w:t>
      </w:r>
      <w:r w:rsidR="009A0847">
        <w:t xml:space="preserve"> </w:t>
      </w:r>
      <w:r w:rsidR="00B80E59" w:rsidRPr="00B80E59">
        <w:t>DW</w:t>
      </w:r>
      <w:r w:rsidR="009A0847">
        <w:t xml:space="preserve"> </w:t>
      </w:r>
      <w:r w:rsidR="00B80E59" w:rsidRPr="00B80E59">
        <w:t>cost</w:t>
      </w:r>
      <w:r w:rsidR="009A0847">
        <w:t xml:space="preserve"> </w:t>
      </w:r>
      <w:r w:rsidR="00B80E59" w:rsidRPr="00B80E59">
        <w:t>treatment</w:t>
      </w:r>
      <w:r w:rsidR="00083861" w:rsidRPr="00B80E59">
        <w:t>.</w:t>
      </w:r>
      <w:r w:rsidR="009A0847">
        <w:t xml:space="preserve"> </w:t>
      </w:r>
      <w:r>
        <w:t>Hence</w:t>
      </w:r>
      <w:r w:rsidR="00F947D0" w:rsidRPr="00B80E59">
        <w:t>,</w:t>
      </w:r>
      <w:r w:rsidR="009A0847">
        <w:t xml:space="preserve"> </w:t>
      </w:r>
      <w:r w:rsidR="00F947D0" w:rsidRPr="00B80E59">
        <w:t>coordination</w:t>
      </w:r>
      <w:r w:rsidR="009A0847">
        <w:t xml:space="preserve"> </w:t>
      </w:r>
      <w:r w:rsidR="00F947D0" w:rsidRPr="00B80E59">
        <w:t>on</w:t>
      </w:r>
      <w:r w:rsidR="009A0847">
        <w:t xml:space="preserve"> </w:t>
      </w:r>
      <m:oMath>
        <m:r>
          <m:rPr>
            <m:sty m:val="bi"/>
          </m:rPr>
          <w:rPr>
            <w:rFonts w:ascii="Cambria Math" w:hAnsi="Cambria Math"/>
            <w:sz w:val="22"/>
            <w:szCs w:val="22"/>
          </w:rPr>
          <m:t>NoSt</m:t>
        </m:r>
      </m:oMath>
      <w:r w:rsidR="009A0847">
        <w:t xml:space="preserve"> </w:t>
      </w:r>
      <w:r w:rsidR="00F947D0" w:rsidRPr="00B80E59">
        <w:t>should</w:t>
      </w:r>
      <w:r w:rsidR="009A0847">
        <w:t xml:space="preserve"> </w:t>
      </w:r>
      <w:r w:rsidR="00F947D0" w:rsidRPr="00B80E59">
        <w:t>be</w:t>
      </w:r>
      <w:r w:rsidR="009A0847">
        <w:t xml:space="preserve"> </w:t>
      </w:r>
      <w:r w:rsidR="00F947D0" w:rsidRPr="00B80E59">
        <w:t>easier</w:t>
      </w:r>
      <w:r w:rsidR="009A0847">
        <w:t xml:space="preserve"> </w:t>
      </w:r>
      <w:r w:rsidR="00F947D0" w:rsidRPr="00B80E59">
        <w:t>than</w:t>
      </w:r>
      <w:r w:rsidR="009A0847">
        <w:t xml:space="preserve"> </w:t>
      </w:r>
      <w:r w:rsidR="00F947D0" w:rsidRPr="00B80E59">
        <w:t>in</w:t>
      </w:r>
      <w:r w:rsidR="009A0847">
        <w:t xml:space="preserve"> </w:t>
      </w:r>
      <w:r w:rsidR="00F947D0" w:rsidRPr="00B80E59">
        <w:t>the</w:t>
      </w:r>
      <w:r w:rsidR="009A0847">
        <w:t xml:space="preserve"> </w:t>
      </w:r>
      <w:r w:rsidR="00F947D0" w:rsidRPr="00B80E59">
        <w:t>control</w:t>
      </w:r>
      <w:r w:rsidR="009A0847">
        <w:t xml:space="preserve"> </w:t>
      </w:r>
      <w:r w:rsidR="00F947D0" w:rsidRPr="00B80E59">
        <w:t>treatment.</w:t>
      </w:r>
      <w:r w:rsidR="009A0847">
        <w:t xml:space="preserve"> </w:t>
      </w:r>
    </w:p>
    <w:p w14:paraId="23407814" w14:textId="77777777" w:rsidR="00B27237" w:rsidRPr="00B27237" w:rsidRDefault="00B27237" w:rsidP="00B27237">
      <w:pPr>
        <w:pStyle w:val="Olivier1"/>
        <w:widowControl w:val="0"/>
        <w:spacing w:after="0"/>
        <w:rPr>
          <w:sz w:val="8"/>
          <w:szCs w:val="8"/>
        </w:rPr>
      </w:pPr>
    </w:p>
    <w:tbl>
      <w:tblPr>
        <w:tblStyle w:val="TableGrid"/>
        <w:tblW w:w="9180" w:type="dxa"/>
        <w:tblInd w:w="85" w:type="dxa"/>
        <w:tblLook w:val="04A0" w:firstRow="1" w:lastRow="0" w:firstColumn="1" w:lastColumn="0" w:noHBand="0" w:noVBand="1"/>
      </w:tblPr>
      <w:tblGrid>
        <w:gridCol w:w="2496"/>
        <w:gridCol w:w="1274"/>
        <w:gridCol w:w="1170"/>
        <w:gridCol w:w="1260"/>
        <w:gridCol w:w="1170"/>
        <w:gridCol w:w="1810"/>
      </w:tblGrid>
      <w:tr w:rsidR="00E01B03" w14:paraId="4753E347" w14:textId="77777777" w:rsidTr="00AF520A">
        <w:tc>
          <w:tcPr>
            <w:tcW w:w="918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F7C52C" w14:textId="1C3A879F" w:rsidR="00E01B03" w:rsidRPr="001323EE" w:rsidRDefault="00E01B03" w:rsidP="00AF520A">
            <w:pPr>
              <w:pStyle w:val="Olivier1"/>
              <w:spacing w:after="0" w:line="240" w:lineRule="auto"/>
              <w:jc w:val="center"/>
              <w:rPr>
                <w:b/>
              </w:rPr>
            </w:pPr>
            <w:r w:rsidRPr="001323EE">
              <w:rPr>
                <w:b/>
                <w:szCs w:val="24"/>
              </w:rPr>
              <w:t>Table</w:t>
            </w:r>
            <w:r w:rsidR="009A0847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2</w:t>
            </w:r>
            <w:r w:rsidRPr="001323EE">
              <w:rPr>
                <w:b/>
                <w:szCs w:val="24"/>
              </w:rPr>
              <w:t>:</w:t>
            </w:r>
            <w:r w:rsidR="009A0847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Parameters</w:t>
            </w:r>
            <w:r w:rsidR="009A0847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in</w:t>
            </w:r>
            <w:r w:rsidR="009A0847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Each</w:t>
            </w:r>
            <w:r w:rsidR="009A0847">
              <w:rPr>
                <w:b/>
                <w:szCs w:val="24"/>
              </w:rPr>
              <w:t xml:space="preserve"> </w:t>
            </w:r>
            <w:r w:rsidRPr="001323EE">
              <w:rPr>
                <w:b/>
              </w:rPr>
              <w:t>Treatment</w:t>
            </w:r>
          </w:p>
        </w:tc>
      </w:tr>
      <w:tr w:rsidR="00E01B03" w14:paraId="06737EBD" w14:textId="77777777" w:rsidTr="00AF520A">
        <w:tc>
          <w:tcPr>
            <w:tcW w:w="2496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14:paraId="784300C4" w14:textId="77777777" w:rsidR="00E01B03" w:rsidRPr="00225ACC" w:rsidRDefault="00E01B03" w:rsidP="00AF520A">
            <w:pPr>
              <w:pStyle w:val="Olivier1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3704" w:type="dxa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14:paraId="547992CC" w14:textId="391A3451" w:rsidR="00E01B03" w:rsidRDefault="00E01B03" w:rsidP="00AF520A">
            <w:pPr>
              <w:pStyle w:val="Olivier1"/>
              <w:spacing w:after="0" w:line="240" w:lineRule="auto"/>
              <w:jc w:val="center"/>
              <w:rPr>
                <w:szCs w:val="24"/>
              </w:rPr>
            </w:pPr>
            <w:r w:rsidRPr="00225ACC">
              <w:rPr>
                <w:szCs w:val="24"/>
              </w:rPr>
              <w:t>Detection</w:t>
            </w:r>
            <w:r w:rsidR="009A0847">
              <w:rPr>
                <w:szCs w:val="24"/>
              </w:rPr>
              <w:t xml:space="preserve"> </w:t>
            </w:r>
            <w:r w:rsidRPr="00225ACC">
              <w:rPr>
                <w:szCs w:val="24"/>
              </w:rPr>
              <w:t>probability</w:t>
            </w:r>
            <w:r w:rsidR="009A0847">
              <w:rPr>
                <w:szCs w:val="24"/>
              </w:rPr>
              <w:t xml:space="preserve"> </w:t>
            </w:r>
            <w:r w:rsidRPr="00225ACC">
              <w:rPr>
                <w:szCs w:val="24"/>
              </w:rPr>
              <w:t>when</w:t>
            </w:r>
            <w:r w:rsidR="009A0847">
              <w:rPr>
                <w:szCs w:val="24"/>
              </w:rPr>
              <w:t xml:space="preserve"> </w:t>
            </w:r>
            <m:oMath>
              <m:r>
                <w:rPr>
                  <w:rFonts w:ascii="Cambria Math" w:hAnsi="Cambria Math"/>
                  <w:szCs w:val="24"/>
                </w:rPr>
                <m:t>n</m:t>
              </m:r>
            </m:oMath>
            <w:r w:rsidR="009A0847">
              <w:rPr>
                <w:szCs w:val="24"/>
              </w:rPr>
              <w:t xml:space="preserve"> </w:t>
            </w:r>
          </w:p>
          <w:p w14:paraId="3D816793" w14:textId="51CBA87D" w:rsidR="00E01B03" w:rsidRPr="00225ACC" w:rsidRDefault="00E01B03" w:rsidP="00AF520A">
            <w:pPr>
              <w:pStyle w:val="Olivier1"/>
              <w:spacing w:after="0" w:line="240" w:lineRule="auto"/>
              <w:jc w:val="center"/>
              <w:rPr>
                <w:szCs w:val="24"/>
              </w:rPr>
            </w:pPr>
            <w:r w:rsidRPr="00225ACC">
              <w:rPr>
                <w:szCs w:val="24"/>
              </w:rPr>
              <w:t>banks</w:t>
            </w:r>
            <w:r w:rsidR="009A0847">
              <w:rPr>
                <w:szCs w:val="24"/>
              </w:rPr>
              <w:t xml:space="preserve"> </w:t>
            </w:r>
            <w:r w:rsidRPr="00225ACC">
              <w:rPr>
                <w:szCs w:val="24"/>
              </w:rPr>
              <w:t>borrow</w:t>
            </w:r>
            <w:r w:rsidR="009A0847">
              <w:rPr>
                <w:szCs w:val="24"/>
              </w:rPr>
              <w:t xml:space="preserve"> </w:t>
            </w:r>
            <w:r w:rsidRPr="00225ACC">
              <w:rPr>
                <w:szCs w:val="24"/>
              </w:rPr>
              <w:t>voluntarily</w:t>
            </w:r>
            <w:r w:rsidR="009A0847">
              <w:rPr>
                <w:szCs w:val="24"/>
              </w:rPr>
              <w:t xml:space="preserve"> </w:t>
            </w:r>
            <w:r w:rsidRPr="00225ACC">
              <w:rPr>
                <w:szCs w:val="24"/>
              </w:rPr>
              <w:t>at</w:t>
            </w:r>
            <w:r w:rsidR="009A0847">
              <w:rPr>
                <w:szCs w:val="24"/>
              </w:rPr>
              <w:t xml:space="preserve"> </w:t>
            </w:r>
            <w:r w:rsidRPr="00225ACC">
              <w:rPr>
                <w:szCs w:val="24"/>
              </w:rPr>
              <w:t>DW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</w:tcBorders>
            <w:vAlign w:val="center"/>
          </w:tcPr>
          <w:p w14:paraId="286F3C5C" w14:textId="14E98BE7" w:rsidR="00E01B03" w:rsidRPr="00225ACC" w:rsidRDefault="00E01B03" w:rsidP="00AF520A">
            <w:pPr>
              <w:pStyle w:val="Olivier1"/>
              <w:spacing w:after="0" w:line="240" w:lineRule="auto"/>
              <w:jc w:val="center"/>
              <w:rPr>
                <w:szCs w:val="24"/>
              </w:rPr>
            </w:pPr>
            <w:r w:rsidRPr="00225ACC">
              <w:rPr>
                <w:szCs w:val="24"/>
              </w:rPr>
              <w:t>DW</w:t>
            </w:r>
            <w:r w:rsidR="009A0847">
              <w:rPr>
                <w:szCs w:val="24"/>
              </w:rPr>
              <w:t xml:space="preserve"> </w:t>
            </w:r>
            <w:r w:rsidRPr="00225ACC">
              <w:rPr>
                <w:szCs w:val="24"/>
              </w:rPr>
              <w:t>Cost</w:t>
            </w:r>
          </w:p>
        </w:tc>
        <w:tc>
          <w:tcPr>
            <w:tcW w:w="181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E6B539D" w14:textId="3F885FC0" w:rsidR="00E01B03" w:rsidRPr="00225ACC" w:rsidRDefault="00E01B03" w:rsidP="00AF520A">
            <w:pPr>
              <w:pStyle w:val="Olivier1"/>
              <w:spacing w:after="0" w:line="240" w:lineRule="auto"/>
              <w:jc w:val="center"/>
              <w:rPr>
                <w:szCs w:val="24"/>
              </w:rPr>
            </w:pPr>
            <w:r w:rsidRPr="00225ACC">
              <w:rPr>
                <w:szCs w:val="24"/>
              </w:rPr>
              <w:t>Random</w:t>
            </w:r>
            <w:r w:rsidR="009A0847">
              <w:rPr>
                <w:szCs w:val="24"/>
              </w:rPr>
              <w:t xml:space="preserve"> </w:t>
            </w:r>
            <w:r w:rsidRPr="00225ACC">
              <w:rPr>
                <w:szCs w:val="24"/>
              </w:rPr>
              <w:t>Borrowing</w:t>
            </w:r>
            <w:r w:rsidR="009A0847">
              <w:rPr>
                <w:szCs w:val="24"/>
              </w:rPr>
              <w:t xml:space="preserve"> </w:t>
            </w:r>
            <w:r w:rsidRPr="00225ACC">
              <w:rPr>
                <w:szCs w:val="24"/>
              </w:rPr>
              <w:t>Probability</w:t>
            </w:r>
          </w:p>
        </w:tc>
      </w:tr>
      <w:tr w:rsidR="00E01B03" w14:paraId="12E00A2A" w14:textId="77777777" w:rsidTr="00AF520A">
        <w:tc>
          <w:tcPr>
            <w:tcW w:w="2496" w:type="dxa"/>
            <w:tcBorders>
              <w:top w:val="nil"/>
              <w:left w:val="single" w:sz="12" w:space="0" w:color="auto"/>
            </w:tcBorders>
            <w:vAlign w:val="center"/>
          </w:tcPr>
          <w:p w14:paraId="17D1BDD4" w14:textId="77777777" w:rsidR="00E01B03" w:rsidRPr="00225ACC" w:rsidRDefault="00E01B03" w:rsidP="00AF520A">
            <w:pPr>
              <w:pStyle w:val="Olivier1"/>
              <w:spacing w:after="0" w:line="240" w:lineRule="auto"/>
              <w:jc w:val="center"/>
              <w:rPr>
                <w:szCs w:val="24"/>
              </w:rPr>
            </w:pPr>
            <w:r w:rsidRPr="00225ACC">
              <w:rPr>
                <w:szCs w:val="24"/>
              </w:rPr>
              <w:t>Treatment</w:t>
            </w:r>
          </w:p>
        </w:tc>
        <w:tc>
          <w:tcPr>
            <w:tcW w:w="1274" w:type="dxa"/>
            <w:tcBorders>
              <w:top w:val="nil"/>
              <w:bottom w:val="nil"/>
            </w:tcBorders>
            <w:vAlign w:val="center"/>
          </w:tcPr>
          <w:p w14:paraId="646C2516" w14:textId="77777777" w:rsidR="00E01B03" w:rsidRPr="00225ACC" w:rsidRDefault="00E01B03" w:rsidP="00AF520A">
            <w:pPr>
              <w:pStyle w:val="Olivier1"/>
              <w:spacing w:after="0" w:line="240" w:lineRule="auto"/>
              <w:jc w:val="center"/>
              <w:rPr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Cs w:val="24"/>
                  </w:rPr>
                  <m:t>n=1</m:t>
                </m:r>
              </m:oMath>
            </m:oMathPara>
          </w:p>
        </w:tc>
        <w:tc>
          <w:tcPr>
            <w:tcW w:w="1170" w:type="dxa"/>
            <w:tcBorders>
              <w:top w:val="nil"/>
              <w:bottom w:val="nil"/>
            </w:tcBorders>
            <w:vAlign w:val="center"/>
          </w:tcPr>
          <w:p w14:paraId="23D7AA3D" w14:textId="77777777" w:rsidR="00E01B03" w:rsidRPr="00225ACC" w:rsidRDefault="00E01B03" w:rsidP="00AF520A">
            <w:pPr>
              <w:pStyle w:val="Olivier1"/>
              <w:spacing w:after="0" w:line="240" w:lineRule="auto"/>
              <w:jc w:val="center"/>
              <w:rPr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Cs w:val="24"/>
                  </w:rPr>
                  <m:t>n=2</m:t>
                </m:r>
              </m:oMath>
            </m:oMathPara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14:paraId="23AAB98F" w14:textId="77777777" w:rsidR="00E01B03" w:rsidRPr="00225ACC" w:rsidRDefault="00E01B03" w:rsidP="00AF520A">
            <w:pPr>
              <w:pStyle w:val="Olivier1"/>
              <w:spacing w:after="0" w:line="240" w:lineRule="auto"/>
              <w:jc w:val="center"/>
              <w:rPr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Cs w:val="24"/>
                  </w:rPr>
                  <m:t>n≥3</m:t>
                </m:r>
              </m:oMath>
            </m:oMathPara>
          </w:p>
        </w:tc>
        <w:tc>
          <w:tcPr>
            <w:tcW w:w="1170" w:type="dxa"/>
            <w:vMerge/>
            <w:vAlign w:val="center"/>
          </w:tcPr>
          <w:p w14:paraId="679D5CCB" w14:textId="77777777" w:rsidR="00E01B03" w:rsidRPr="00225ACC" w:rsidRDefault="00E01B03" w:rsidP="00AF520A">
            <w:pPr>
              <w:pStyle w:val="Olivier1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10" w:type="dxa"/>
            <w:vMerge/>
            <w:tcBorders>
              <w:right w:val="single" w:sz="12" w:space="0" w:color="auto"/>
            </w:tcBorders>
            <w:vAlign w:val="center"/>
          </w:tcPr>
          <w:p w14:paraId="1AFDBA48" w14:textId="77777777" w:rsidR="00E01B03" w:rsidRPr="00225ACC" w:rsidRDefault="00E01B03" w:rsidP="00AF520A">
            <w:pPr>
              <w:pStyle w:val="Olivier1"/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E01B03" w14:paraId="69F87495" w14:textId="77777777" w:rsidTr="00AF520A">
        <w:tc>
          <w:tcPr>
            <w:tcW w:w="2496" w:type="dxa"/>
            <w:tcBorders>
              <w:left w:val="single" w:sz="12" w:space="0" w:color="auto"/>
            </w:tcBorders>
            <w:vAlign w:val="center"/>
          </w:tcPr>
          <w:p w14:paraId="37F2B4F7" w14:textId="77777777" w:rsidR="00E01B03" w:rsidRPr="00225ACC" w:rsidRDefault="00E01B03" w:rsidP="00AF520A">
            <w:pPr>
              <w:pStyle w:val="Olivier1"/>
              <w:spacing w:after="0" w:line="240" w:lineRule="auto"/>
              <w:jc w:val="center"/>
              <w:rPr>
                <w:szCs w:val="24"/>
              </w:rPr>
            </w:pPr>
            <w:r w:rsidRPr="00225ACC">
              <w:rPr>
                <w:szCs w:val="24"/>
              </w:rPr>
              <w:t>Control</w:t>
            </w:r>
          </w:p>
        </w:tc>
        <w:tc>
          <w:tcPr>
            <w:tcW w:w="1274" w:type="dxa"/>
            <w:vAlign w:val="center"/>
          </w:tcPr>
          <w:p w14:paraId="75153B0C" w14:textId="77777777" w:rsidR="00E01B03" w:rsidRPr="00225ACC" w:rsidRDefault="00E01B03" w:rsidP="00AF520A">
            <w:pPr>
              <w:pStyle w:val="Olivier1"/>
              <w:spacing w:after="0" w:line="240" w:lineRule="auto"/>
              <w:jc w:val="center"/>
              <w:rPr>
                <w:szCs w:val="24"/>
              </w:rPr>
            </w:pPr>
            <w:r w:rsidRPr="00225ACC">
              <w:rPr>
                <w:szCs w:val="24"/>
              </w:rPr>
              <w:t>0.75</w:t>
            </w:r>
          </w:p>
        </w:tc>
        <w:tc>
          <w:tcPr>
            <w:tcW w:w="1170" w:type="dxa"/>
            <w:vAlign w:val="center"/>
          </w:tcPr>
          <w:p w14:paraId="4A873AF6" w14:textId="3D3417AA" w:rsidR="00E01B03" w:rsidRPr="00225ACC" w:rsidRDefault="00E01B03" w:rsidP="00AF520A">
            <w:pPr>
              <w:pStyle w:val="Olivier1"/>
              <w:spacing w:after="0" w:line="240" w:lineRule="auto"/>
              <w:jc w:val="center"/>
              <w:rPr>
                <w:szCs w:val="24"/>
              </w:rPr>
            </w:pPr>
            <w:r w:rsidRPr="00225ACC">
              <w:rPr>
                <w:szCs w:val="24"/>
              </w:rPr>
              <w:t>0.5</w:t>
            </w:r>
            <w:r>
              <w:rPr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14:paraId="40EDD618" w14:textId="77777777" w:rsidR="00E01B03" w:rsidRPr="00225ACC" w:rsidRDefault="00E01B03" w:rsidP="00AF520A">
            <w:pPr>
              <w:pStyle w:val="Olivier1"/>
              <w:spacing w:after="0" w:line="240" w:lineRule="auto"/>
              <w:jc w:val="center"/>
              <w:rPr>
                <w:szCs w:val="24"/>
              </w:rPr>
            </w:pPr>
            <w:r w:rsidRPr="00225ACC">
              <w:rPr>
                <w:szCs w:val="24"/>
              </w:rPr>
              <w:t>0.25</w:t>
            </w:r>
          </w:p>
        </w:tc>
        <w:tc>
          <w:tcPr>
            <w:tcW w:w="1170" w:type="dxa"/>
            <w:vAlign w:val="center"/>
          </w:tcPr>
          <w:p w14:paraId="7F3B31AE" w14:textId="77777777" w:rsidR="00E01B03" w:rsidRPr="00225ACC" w:rsidRDefault="00E01B03" w:rsidP="00AF520A">
            <w:pPr>
              <w:pStyle w:val="Olivier1"/>
              <w:spacing w:after="0" w:line="240" w:lineRule="auto"/>
              <w:jc w:val="center"/>
              <w:rPr>
                <w:szCs w:val="24"/>
              </w:rPr>
            </w:pPr>
            <w:r w:rsidRPr="00225ACC">
              <w:rPr>
                <w:szCs w:val="24"/>
              </w:rPr>
              <w:t>20</w:t>
            </w:r>
          </w:p>
        </w:tc>
        <w:tc>
          <w:tcPr>
            <w:tcW w:w="1810" w:type="dxa"/>
            <w:tcBorders>
              <w:right w:val="single" w:sz="12" w:space="0" w:color="auto"/>
            </w:tcBorders>
            <w:vAlign w:val="center"/>
          </w:tcPr>
          <w:p w14:paraId="1CEDCDAF" w14:textId="77777777" w:rsidR="00E01B03" w:rsidRPr="00225ACC" w:rsidRDefault="00E01B03" w:rsidP="00AF520A">
            <w:pPr>
              <w:pStyle w:val="Olivier1"/>
              <w:spacing w:after="0" w:line="240" w:lineRule="auto"/>
              <w:jc w:val="center"/>
              <w:rPr>
                <w:szCs w:val="24"/>
              </w:rPr>
            </w:pPr>
            <w:r w:rsidRPr="00225ACC">
              <w:rPr>
                <w:szCs w:val="24"/>
              </w:rPr>
              <w:t>0</w:t>
            </w:r>
          </w:p>
        </w:tc>
      </w:tr>
      <w:tr w:rsidR="00E01B03" w14:paraId="36D071ED" w14:textId="77777777" w:rsidTr="00AF520A">
        <w:trPr>
          <w:trHeight w:val="224"/>
        </w:trPr>
        <w:tc>
          <w:tcPr>
            <w:tcW w:w="2496" w:type="dxa"/>
            <w:tcBorders>
              <w:left w:val="single" w:sz="12" w:space="0" w:color="auto"/>
            </w:tcBorders>
            <w:vAlign w:val="center"/>
          </w:tcPr>
          <w:p w14:paraId="7B9D794D" w14:textId="125AB071" w:rsidR="00E01B03" w:rsidRPr="00225ACC" w:rsidRDefault="00E01B03" w:rsidP="00AF520A">
            <w:pPr>
              <w:pStyle w:val="Olivier1"/>
              <w:spacing w:after="0" w:line="240" w:lineRule="auto"/>
              <w:jc w:val="center"/>
              <w:rPr>
                <w:szCs w:val="24"/>
              </w:rPr>
            </w:pPr>
            <w:r w:rsidRPr="00225ACC">
              <w:rPr>
                <w:szCs w:val="24"/>
              </w:rPr>
              <w:t>Low</w:t>
            </w:r>
            <w:r w:rsidR="009A0847">
              <w:rPr>
                <w:szCs w:val="24"/>
              </w:rPr>
              <w:t xml:space="preserve"> </w:t>
            </w:r>
            <w:r w:rsidRPr="00225ACC">
              <w:rPr>
                <w:szCs w:val="24"/>
              </w:rPr>
              <w:t>DW</w:t>
            </w:r>
            <w:r w:rsidR="009A0847">
              <w:rPr>
                <w:szCs w:val="24"/>
              </w:rPr>
              <w:t xml:space="preserve"> </w:t>
            </w:r>
            <w:r w:rsidRPr="00225ACC">
              <w:rPr>
                <w:szCs w:val="24"/>
              </w:rPr>
              <w:t>Cost</w:t>
            </w:r>
          </w:p>
        </w:tc>
        <w:tc>
          <w:tcPr>
            <w:tcW w:w="1274" w:type="dxa"/>
            <w:vAlign w:val="center"/>
          </w:tcPr>
          <w:p w14:paraId="634384DE" w14:textId="77777777" w:rsidR="00E01B03" w:rsidRPr="00225ACC" w:rsidRDefault="00E01B03" w:rsidP="00AF520A">
            <w:pPr>
              <w:pStyle w:val="Olivier1"/>
              <w:spacing w:after="0" w:line="240" w:lineRule="auto"/>
              <w:jc w:val="center"/>
              <w:rPr>
                <w:szCs w:val="24"/>
              </w:rPr>
            </w:pPr>
            <w:r w:rsidRPr="00225ACC">
              <w:rPr>
                <w:szCs w:val="24"/>
              </w:rPr>
              <w:t>0.75</w:t>
            </w:r>
          </w:p>
        </w:tc>
        <w:tc>
          <w:tcPr>
            <w:tcW w:w="1170" w:type="dxa"/>
            <w:vAlign w:val="center"/>
          </w:tcPr>
          <w:p w14:paraId="304D2944" w14:textId="127CB006" w:rsidR="00E01B03" w:rsidRPr="00225ACC" w:rsidRDefault="00E01B03" w:rsidP="00AF520A">
            <w:pPr>
              <w:pStyle w:val="Olivier1"/>
              <w:spacing w:after="0" w:line="240" w:lineRule="auto"/>
              <w:jc w:val="center"/>
              <w:rPr>
                <w:szCs w:val="24"/>
              </w:rPr>
            </w:pPr>
            <w:r w:rsidRPr="00225ACC">
              <w:rPr>
                <w:szCs w:val="24"/>
              </w:rPr>
              <w:t>0.5</w:t>
            </w:r>
            <w:r>
              <w:rPr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14:paraId="1B34EFC5" w14:textId="77777777" w:rsidR="00E01B03" w:rsidRPr="00225ACC" w:rsidRDefault="00E01B03" w:rsidP="00AF520A">
            <w:pPr>
              <w:pStyle w:val="Olivier1"/>
              <w:spacing w:after="0" w:line="240" w:lineRule="auto"/>
              <w:jc w:val="center"/>
              <w:rPr>
                <w:szCs w:val="24"/>
              </w:rPr>
            </w:pPr>
            <w:r w:rsidRPr="00225ACC">
              <w:rPr>
                <w:szCs w:val="24"/>
              </w:rPr>
              <w:t>0.25</w:t>
            </w:r>
          </w:p>
        </w:tc>
        <w:tc>
          <w:tcPr>
            <w:tcW w:w="1170" w:type="dxa"/>
            <w:vAlign w:val="center"/>
          </w:tcPr>
          <w:p w14:paraId="58DF18C7" w14:textId="77777777" w:rsidR="00E01B03" w:rsidRPr="00225ACC" w:rsidRDefault="00E01B03" w:rsidP="00AF520A">
            <w:pPr>
              <w:pStyle w:val="Olivier1"/>
              <w:spacing w:after="0" w:line="240" w:lineRule="auto"/>
              <w:jc w:val="center"/>
              <w:rPr>
                <w:szCs w:val="24"/>
              </w:rPr>
            </w:pPr>
            <w:r w:rsidRPr="00225ACC">
              <w:rPr>
                <w:szCs w:val="24"/>
              </w:rPr>
              <w:t>10</w:t>
            </w:r>
          </w:p>
        </w:tc>
        <w:tc>
          <w:tcPr>
            <w:tcW w:w="1810" w:type="dxa"/>
            <w:tcBorders>
              <w:right w:val="single" w:sz="12" w:space="0" w:color="auto"/>
            </w:tcBorders>
            <w:vAlign w:val="center"/>
          </w:tcPr>
          <w:p w14:paraId="01C67DB0" w14:textId="77777777" w:rsidR="00E01B03" w:rsidRPr="00225ACC" w:rsidRDefault="00E01B03" w:rsidP="00AF520A">
            <w:pPr>
              <w:pStyle w:val="Olivier1"/>
              <w:spacing w:after="0" w:line="240" w:lineRule="auto"/>
              <w:jc w:val="center"/>
              <w:rPr>
                <w:szCs w:val="24"/>
              </w:rPr>
            </w:pPr>
            <w:r w:rsidRPr="00225ACC">
              <w:rPr>
                <w:szCs w:val="24"/>
              </w:rPr>
              <w:t>0</w:t>
            </w:r>
          </w:p>
        </w:tc>
      </w:tr>
      <w:tr w:rsidR="00E01B03" w14:paraId="27F13B71" w14:textId="77777777" w:rsidTr="00AF520A">
        <w:tc>
          <w:tcPr>
            <w:tcW w:w="2496" w:type="dxa"/>
            <w:tcBorders>
              <w:left w:val="single" w:sz="12" w:space="0" w:color="auto"/>
            </w:tcBorders>
            <w:vAlign w:val="center"/>
          </w:tcPr>
          <w:p w14:paraId="75AF5249" w14:textId="088DD149" w:rsidR="00E01B03" w:rsidRPr="00225ACC" w:rsidRDefault="00E01B03" w:rsidP="00AF520A">
            <w:pPr>
              <w:pStyle w:val="Olivier1"/>
              <w:spacing w:after="0" w:line="240" w:lineRule="auto"/>
              <w:jc w:val="center"/>
              <w:rPr>
                <w:szCs w:val="24"/>
              </w:rPr>
            </w:pPr>
            <w:r w:rsidRPr="00225ACC">
              <w:rPr>
                <w:szCs w:val="24"/>
              </w:rPr>
              <w:t>Random</w:t>
            </w:r>
            <w:r w:rsidR="009A0847">
              <w:rPr>
                <w:szCs w:val="24"/>
              </w:rPr>
              <w:t xml:space="preserve"> </w:t>
            </w:r>
            <w:r w:rsidRPr="00225ACC">
              <w:rPr>
                <w:szCs w:val="24"/>
              </w:rPr>
              <w:t>Borrowing</w:t>
            </w:r>
          </w:p>
        </w:tc>
        <w:tc>
          <w:tcPr>
            <w:tcW w:w="1274" w:type="dxa"/>
            <w:vAlign w:val="center"/>
          </w:tcPr>
          <w:p w14:paraId="61F4AC69" w14:textId="2248F7D7" w:rsidR="00E01B03" w:rsidRPr="00225ACC" w:rsidRDefault="00E01B03" w:rsidP="00AF520A">
            <w:pPr>
              <w:pStyle w:val="Olivier1"/>
              <w:spacing w:after="0" w:line="240" w:lineRule="auto"/>
              <w:jc w:val="center"/>
              <w:rPr>
                <w:szCs w:val="24"/>
              </w:rPr>
            </w:pPr>
            <w:r w:rsidRPr="00225ACC">
              <w:rPr>
                <w:szCs w:val="24"/>
              </w:rPr>
              <w:t>0.5</w:t>
            </w:r>
            <w:r>
              <w:rPr>
                <w:szCs w:val="24"/>
              </w:rPr>
              <w:t>0</w:t>
            </w:r>
          </w:p>
        </w:tc>
        <w:tc>
          <w:tcPr>
            <w:tcW w:w="1170" w:type="dxa"/>
            <w:vAlign w:val="center"/>
          </w:tcPr>
          <w:p w14:paraId="02871596" w14:textId="77777777" w:rsidR="00E01B03" w:rsidRPr="00225ACC" w:rsidRDefault="00E01B03" w:rsidP="00AF520A">
            <w:pPr>
              <w:pStyle w:val="Olivier1"/>
              <w:spacing w:after="0" w:line="240" w:lineRule="auto"/>
              <w:jc w:val="center"/>
              <w:rPr>
                <w:szCs w:val="24"/>
              </w:rPr>
            </w:pPr>
            <w:r w:rsidRPr="00225ACC">
              <w:rPr>
                <w:szCs w:val="24"/>
              </w:rPr>
              <w:t>0.25</w:t>
            </w:r>
          </w:p>
        </w:tc>
        <w:tc>
          <w:tcPr>
            <w:tcW w:w="1260" w:type="dxa"/>
            <w:vAlign w:val="center"/>
          </w:tcPr>
          <w:p w14:paraId="1353BC04" w14:textId="77777777" w:rsidR="00E01B03" w:rsidRPr="00225ACC" w:rsidRDefault="00E01B03" w:rsidP="00AF520A">
            <w:pPr>
              <w:pStyle w:val="Olivier1"/>
              <w:spacing w:after="0" w:line="240" w:lineRule="auto"/>
              <w:jc w:val="center"/>
              <w:rPr>
                <w:szCs w:val="24"/>
              </w:rPr>
            </w:pPr>
            <w:r w:rsidRPr="00225ACC">
              <w:rPr>
                <w:szCs w:val="24"/>
              </w:rPr>
              <w:t>0.25</w:t>
            </w:r>
          </w:p>
        </w:tc>
        <w:tc>
          <w:tcPr>
            <w:tcW w:w="1170" w:type="dxa"/>
            <w:vAlign w:val="center"/>
          </w:tcPr>
          <w:p w14:paraId="0E60927E" w14:textId="77777777" w:rsidR="00E01B03" w:rsidRPr="00225ACC" w:rsidRDefault="00E01B03" w:rsidP="00AF520A">
            <w:pPr>
              <w:pStyle w:val="Olivier1"/>
              <w:spacing w:after="0" w:line="240" w:lineRule="auto"/>
              <w:jc w:val="center"/>
              <w:rPr>
                <w:szCs w:val="24"/>
              </w:rPr>
            </w:pPr>
            <w:r w:rsidRPr="00225ACC">
              <w:rPr>
                <w:szCs w:val="24"/>
              </w:rPr>
              <w:t>20</w:t>
            </w:r>
          </w:p>
        </w:tc>
        <w:tc>
          <w:tcPr>
            <w:tcW w:w="1810" w:type="dxa"/>
            <w:tcBorders>
              <w:right w:val="single" w:sz="12" w:space="0" w:color="auto"/>
            </w:tcBorders>
            <w:vAlign w:val="center"/>
          </w:tcPr>
          <w:p w14:paraId="29E09642" w14:textId="77777777" w:rsidR="00E01B03" w:rsidRPr="00225ACC" w:rsidRDefault="00E01B03" w:rsidP="00AF520A">
            <w:pPr>
              <w:pStyle w:val="Olivier1"/>
              <w:spacing w:after="0" w:line="240" w:lineRule="auto"/>
              <w:jc w:val="center"/>
              <w:rPr>
                <w:szCs w:val="24"/>
              </w:rPr>
            </w:pPr>
            <w:r w:rsidRPr="00225ACC">
              <w:rPr>
                <w:szCs w:val="24"/>
              </w:rPr>
              <w:t>1/6</w:t>
            </w:r>
          </w:p>
        </w:tc>
      </w:tr>
      <w:tr w:rsidR="00E01B03" w14:paraId="7C6133EE" w14:textId="77777777" w:rsidTr="00AF520A">
        <w:tc>
          <w:tcPr>
            <w:tcW w:w="249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C82333E" w14:textId="515EB8C1" w:rsidR="00E01B03" w:rsidRPr="00225ACC" w:rsidRDefault="00E01B03" w:rsidP="00AF520A">
            <w:pPr>
              <w:pStyle w:val="Olivier1"/>
              <w:spacing w:after="0" w:line="240" w:lineRule="auto"/>
              <w:jc w:val="center"/>
              <w:rPr>
                <w:szCs w:val="24"/>
              </w:rPr>
            </w:pPr>
            <w:r w:rsidRPr="00225ACC">
              <w:rPr>
                <w:szCs w:val="24"/>
              </w:rPr>
              <w:t>Low</w:t>
            </w:r>
            <w:r w:rsidR="009A0847">
              <w:rPr>
                <w:szCs w:val="24"/>
              </w:rPr>
              <w:t xml:space="preserve"> </w:t>
            </w:r>
            <w:r w:rsidRPr="00225ACC">
              <w:rPr>
                <w:szCs w:val="24"/>
              </w:rPr>
              <w:t>Detection</w:t>
            </w:r>
          </w:p>
        </w:tc>
        <w:tc>
          <w:tcPr>
            <w:tcW w:w="1274" w:type="dxa"/>
            <w:tcBorders>
              <w:bottom w:val="single" w:sz="12" w:space="0" w:color="auto"/>
            </w:tcBorders>
            <w:vAlign w:val="center"/>
          </w:tcPr>
          <w:p w14:paraId="59F4BF84" w14:textId="6458C96C" w:rsidR="00E01B03" w:rsidRPr="00225ACC" w:rsidRDefault="00E01B03" w:rsidP="00AF520A">
            <w:pPr>
              <w:pStyle w:val="Olivier1"/>
              <w:spacing w:after="0" w:line="240" w:lineRule="auto"/>
              <w:jc w:val="center"/>
              <w:rPr>
                <w:szCs w:val="24"/>
              </w:rPr>
            </w:pPr>
            <w:r w:rsidRPr="00225ACC">
              <w:rPr>
                <w:szCs w:val="24"/>
              </w:rPr>
              <w:t>0.5</w:t>
            </w:r>
            <w:r>
              <w:rPr>
                <w:szCs w:val="24"/>
              </w:rPr>
              <w:t>0</w:t>
            </w:r>
          </w:p>
        </w:tc>
        <w:tc>
          <w:tcPr>
            <w:tcW w:w="1170" w:type="dxa"/>
            <w:tcBorders>
              <w:bottom w:val="single" w:sz="12" w:space="0" w:color="auto"/>
            </w:tcBorders>
            <w:vAlign w:val="center"/>
          </w:tcPr>
          <w:p w14:paraId="1D641DAC" w14:textId="77777777" w:rsidR="00E01B03" w:rsidRPr="00225ACC" w:rsidRDefault="00E01B03" w:rsidP="00AF520A">
            <w:pPr>
              <w:pStyle w:val="Olivier1"/>
              <w:spacing w:after="0" w:line="240" w:lineRule="auto"/>
              <w:jc w:val="center"/>
              <w:rPr>
                <w:szCs w:val="24"/>
              </w:rPr>
            </w:pPr>
            <w:r w:rsidRPr="00225ACC">
              <w:rPr>
                <w:szCs w:val="24"/>
              </w:rPr>
              <w:t>0.25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14:paraId="24D3067C" w14:textId="77777777" w:rsidR="00E01B03" w:rsidRPr="00225ACC" w:rsidRDefault="00E01B03" w:rsidP="00AF520A">
            <w:pPr>
              <w:pStyle w:val="Olivier1"/>
              <w:spacing w:after="0" w:line="240" w:lineRule="auto"/>
              <w:jc w:val="center"/>
              <w:rPr>
                <w:szCs w:val="24"/>
              </w:rPr>
            </w:pPr>
            <w:r w:rsidRPr="00225ACC">
              <w:rPr>
                <w:szCs w:val="24"/>
              </w:rPr>
              <w:t>0.25</w:t>
            </w:r>
          </w:p>
        </w:tc>
        <w:tc>
          <w:tcPr>
            <w:tcW w:w="1170" w:type="dxa"/>
            <w:tcBorders>
              <w:bottom w:val="single" w:sz="12" w:space="0" w:color="auto"/>
            </w:tcBorders>
            <w:vAlign w:val="center"/>
          </w:tcPr>
          <w:p w14:paraId="4EAC82F6" w14:textId="77777777" w:rsidR="00E01B03" w:rsidRPr="00225ACC" w:rsidRDefault="00E01B03" w:rsidP="00AF520A">
            <w:pPr>
              <w:pStyle w:val="Olivier1"/>
              <w:spacing w:after="0" w:line="240" w:lineRule="auto"/>
              <w:jc w:val="center"/>
              <w:rPr>
                <w:szCs w:val="24"/>
              </w:rPr>
            </w:pPr>
            <w:r w:rsidRPr="00225ACC">
              <w:rPr>
                <w:szCs w:val="24"/>
              </w:rPr>
              <w:t>20</w:t>
            </w:r>
          </w:p>
        </w:tc>
        <w:tc>
          <w:tcPr>
            <w:tcW w:w="181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B28EEE2" w14:textId="77777777" w:rsidR="00E01B03" w:rsidRPr="00225ACC" w:rsidRDefault="00E01B03" w:rsidP="00AF520A">
            <w:pPr>
              <w:pStyle w:val="Olivier1"/>
              <w:spacing w:after="0" w:line="240" w:lineRule="auto"/>
              <w:jc w:val="center"/>
              <w:rPr>
                <w:szCs w:val="24"/>
              </w:rPr>
            </w:pPr>
            <w:r w:rsidRPr="00225ACC">
              <w:rPr>
                <w:szCs w:val="24"/>
              </w:rPr>
              <w:t>0</w:t>
            </w:r>
          </w:p>
        </w:tc>
      </w:tr>
    </w:tbl>
    <w:p w14:paraId="1574054A" w14:textId="7275948F" w:rsidR="00AB618F" w:rsidRPr="007C55A6" w:rsidRDefault="00AB618F" w:rsidP="00F86E09">
      <w:pPr>
        <w:pStyle w:val="Heading3"/>
        <w:widowControl w:val="0"/>
        <w:spacing w:line="276" w:lineRule="auto"/>
      </w:pPr>
      <w:r w:rsidRPr="007C55A6">
        <w:t>The</w:t>
      </w:r>
      <w:r w:rsidR="009A0847">
        <w:t xml:space="preserve"> </w:t>
      </w:r>
      <w:r w:rsidR="00C345EE">
        <w:t>Random</w:t>
      </w:r>
      <w:r w:rsidR="009A0847">
        <w:t xml:space="preserve"> </w:t>
      </w:r>
      <w:r w:rsidR="00000AB7">
        <w:t>Borrowing</w:t>
      </w:r>
      <w:r w:rsidR="009A0847">
        <w:t xml:space="preserve"> </w:t>
      </w:r>
      <w:r w:rsidR="00000AB7">
        <w:t>treatment</w:t>
      </w:r>
    </w:p>
    <w:p w14:paraId="1A6C349B" w14:textId="12DE483E" w:rsidR="007215B0" w:rsidRDefault="0016157E" w:rsidP="00F86E09">
      <w:pPr>
        <w:pStyle w:val="Olivier1"/>
        <w:widowControl w:val="0"/>
        <w:rPr>
          <w:szCs w:val="24"/>
        </w:rPr>
      </w:pPr>
      <w:r w:rsidRPr="001C003C">
        <w:t>The</w:t>
      </w:r>
      <w:r w:rsidR="009A0847">
        <w:t xml:space="preserve"> </w:t>
      </w:r>
      <w:r w:rsidR="00C345EE">
        <w:rPr>
          <w:i/>
        </w:rPr>
        <w:t>Random</w:t>
      </w:r>
      <w:r w:rsidR="009A0847">
        <w:rPr>
          <w:i/>
        </w:rPr>
        <w:t xml:space="preserve"> </w:t>
      </w:r>
      <w:r w:rsidRPr="001C003C">
        <w:rPr>
          <w:i/>
        </w:rPr>
        <w:t>Borrowing</w:t>
      </w:r>
      <w:r w:rsidR="009A0847">
        <w:t xml:space="preserve"> </w:t>
      </w:r>
      <w:r w:rsidRPr="001C003C">
        <w:t>treatment</w:t>
      </w:r>
      <w:r w:rsidR="009A0847">
        <w:t xml:space="preserve"> </w:t>
      </w:r>
      <w:r w:rsidRPr="001C003C">
        <w:t>has</w:t>
      </w:r>
      <w:r w:rsidR="009A0847">
        <w:t xml:space="preserve"> </w:t>
      </w:r>
      <w:r w:rsidRPr="001C003C">
        <w:t>the</w:t>
      </w:r>
      <w:r w:rsidR="009A0847">
        <w:t xml:space="preserve"> </w:t>
      </w:r>
      <w:r w:rsidRPr="001C003C">
        <w:t>same</w:t>
      </w:r>
      <w:r w:rsidR="009A0847">
        <w:t xml:space="preserve"> </w:t>
      </w:r>
      <w:r w:rsidRPr="001C003C">
        <w:t>parameter</w:t>
      </w:r>
      <w:r w:rsidR="009A0847">
        <w:t xml:space="preserve"> </w:t>
      </w:r>
      <w:r w:rsidRPr="001C003C">
        <w:t>value</w:t>
      </w:r>
      <w:r w:rsidR="00AB618F" w:rsidRPr="001C003C">
        <w:t>s</w:t>
      </w:r>
      <w:r w:rsidR="009A0847">
        <w:t xml:space="preserve"> </w:t>
      </w:r>
      <w:r w:rsidRPr="001C003C">
        <w:t>as</w:t>
      </w:r>
      <w:r w:rsidR="009A0847">
        <w:t xml:space="preserve"> </w:t>
      </w:r>
      <w:r w:rsidR="00AB618F" w:rsidRPr="001C003C">
        <w:t>the</w:t>
      </w:r>
      <w:r w:rsidR="009A0847">
        <w:t xml:space="preserve"> </w:t>
      </w:r>
      <w:r w:rsidRPr="001C003C">
        <w:t>control</w:t>
      </w:r>
      <w:r w:rsidR="009A0847">
        <w:t xml:space="preserve"> </w:t>
      </w:r>
      <w:r w:rsidRPr="001C003C">
        <w:t>treatment.</w:t>
      </w:r>
      <w:r w:rsidR="009A0847">
        <w:t xml:space="preserve"> </w:t>
      </w:r>
      <w:r w:rsidR="00806B51" w:rsidRPr="001C003C">
        <w:t>The</w:t>
      </w:r>
      <w:r w:rsidR="009A0847">
        <w:t xml:space="preserve"> </w:t>
      </w:r>
      <w:r w:rsidR="00806B51" w:rsidRPr="001C003C">
        <w:t>difference</w:t>
      </w:r>
      <w:r w:rsidR="009A0847">
        <w:t xml:space="preserve"> </w:t>
      </w:r>
      <w:r w:rsidR="00806B51" w:rsidRPr="001C003C">
        <w:t>is</w:t>
      </w:r>
      <w:r w:rsidR="009A0847">
        <w:t xml:space="preserve"> </w:t>
      </w:r>
      <w:r w:rsidR="00806B51" w:rsidRPr="001C003C">
        <w:t>that</w:t>
      </w:r>
      <w:r w:rsidR="009A0847">
        <w:t xml:space="preserve"> </w:t>
      </w:r>
      <w:r w:rsidR="00000AB7">
        <w:t>in</w:t>
      </w:r>
      <w:r w:rsidR="009A0847">
        <w:t xml:space="preserve"> </w:t>
      </w:r>
      <w:r w:rsidR="00000AB7">
        <w:t>each</w:t>
      </w:r>
      <w:r w:rsidR="009A0847">
        <w:t xml:space="preserve"> </w:t>
      </w:r>
      <w:r w:rsidR="00000AB7">
        <w:t>round</w:t>
      </w:r>
      <w:r w:rsidR="00B80E59">
        <w:t>,</w:t>
      </w:r>
      <w:r w:rsidR="009A0847">
        <w:t xml:space="preserve"> </w:t>
      </w:r>
      <w:r w:rsidR="00806B51" w:rsidRPr="001C003C">
        <w:t>1</w:t>
      </w:r>
      <w:r w:rsidR="009A0847">
        <w:t xml:space="preserve"> </w:t>
      </w:r>
      <w:r w:rsidR="00806B51" w:rsidRPr="001C003C">
        <w:t>out</w:t>
      </w:r>
      <w:r w:rsidR="009A0847">
        <w:t xml:space="preserve"> </w:t>
      </w:r>
      <w:r w:rsidR="00806B51" w:rsidRPr="001C003C">
        <w:t>of</w:t>
      </w:r>
      <w:r w:rsidR="009A0847">
        <w:t xml:space="preserve"> </w:t>
      </w:r>
      <w:r w:rsidR="00806B51" w:rsidRPr="001C003C">
        <w:t>the</w:t>
      </w:r>
      <w:r w:rsidR="009A0847">
        <w:t xml:space="preserve"> </w:t>
      </w:r>
      <w:r w:rsidR="00806B51" w:rsidRPr="001C003C">
        <w:t>6</w:t>
      </w:r>
      <w:r w:rsidR="009A0847">
        <w:t xml:space="preserve"> </w:t>
      </w:r>
      <w:r w:rsidR="00806B51" w:rsidRPr="001C003C">
        <w:t>banks</w:t>
      </w:r>
      <w:r w:rsidR="009A0847">
        <w:t xml:space="preserve"> </w:t>
      </w:r>
      <w:r w:rsidR="00806B51" w:rsidRPr="001C003C">
        <w:t>is</w:t>
      </w:r>
      <w:r w:rsidR="009A0847">
        <w:t xml:space="preserve"> </w:t>
      </w:r>
      <w:r w:rsidR="00806B51" w:rsidRPr="001C003C">
        <w:t>picked</w:t>
      </w:r>
      <w:r w:rsidR="009A0847">
        <w:t xml:space="preserve"> </w:t>
      </w:r>
      <w:r w:rsidR="00806B51" w:rsidRPr="001C003C">
        <w:t>at</w:t>
      </w:r>
      <w:r w:rsidR="009A0847">
        <w:t xml:space="preserve"> </w:t>
      </w:r>
      <w:r w:rsidR="00806B51" w:rsidRPr="001C003C">
        <w:t>random</w:t>
      </w:r>
      <w:r w:rsidR="009A0847">
        <w:t xml:space="preserve"> </w:t>
      </w:r>
      <w:r w:rsidR="00806B51" w:rsidRPr="001C003C">
        <w:t>and</w:t>
      </w:r>
      <w:r w:rsidR="009A0847">
        <w:t xml:space="preserve"> </w:t>
      </w:r>
      <w:r w:rsidR="00806B51" w:rsidRPr="001C003C">
        <w:t>has</w:t>
      </w:r>
      <w:r w:rsidR="009A0847">
        <w:t xml:space="preserve"> </w:t>
      </w:r>
      <w:r w:rsidR="00806B51" w:rsidRPr="001C003C">
        <w:t>to</w:t>
      </w:r>
      <w:r w:rsidR="009A0847">
        <w:t xml:space="preserve"> </w:t>
      </w:r>
      <w:r w:rsidR="00806B51" w:rsidRPr="001C003C">
        <w:t>borrow</w:t>
      </w:r>
      <w:r w:rsidR="009A0847">
        <w:t xml:space="preserve"> </w:t>
      </w:r>
      <w:r w:rsidR="00806B51" w:rsidRPr="001C003C">
        <w:t>at</w:t>
      </w:r>
      <w:r w:rsidR="009A0847">
        <w:t xml:space="preserve"> </w:t>
      </w:r>
      <w:r w:rsidR="00806B51" w:rsidRPr="001C003C">
        <w:t>the</w:t>
      </w:r>
      <w:r w:rsidR="009A0847">
        <w:t xml:space="preserve"> </w:t>
      </w:r>
      <w:r w:rsidR="00806B51" w:rsidRPr="001C003C">
        <w:t>DW</w:t>
      </w:r>
      <w:r w:rsidR="009A0847">
        <w:t xml:space="preserve"> </w:t>
      </w:r>
      <w:r w:rsidR="00806B51" w:rsidRPr="001C003C">
        <w:t>regardless</w:t>
      </w:r>
      <w:r w:rsidR="009A0847">
        <w:t xml:space="preserve"> </w:t>
      </w:r>
      <w:r w:rsidR="00806B51" w:rsidRPr="001C003C">
        <w:t>of</w:t>
      </w:r>
      <w:r w:rsidR="009A0847">
        <w:t xml:space="preserve"> </w:t>
      </w:r>
      <w:r w:rsidR="00806B51" w:rsidRPr="001C003C">
        <w:t>its</w:t>
      </w:r>
      <w:r w:rsidR="009A0847">
        <w:t xml:space="preserve"> </w:t>
      </w:r>
      <w:r w:rsidR="00806B51" w:rsidRPr="001C003C">
        <w:t>type</w:t>
      </w:r>
      <w:r w:rsidR="009A0847">
        <w:t xml:space="preserve"> </w:t>
      </w:r>
      <w:r w:rsidR="00806B51" w:rsidRPr="001C003C">
        <w:t>(i.e.</w:t>
      </w:r>
      <w:r w:rsidR="009A0847">
        <w:t xml:space="preserve"> </w:t>
      </w:r>
      <w:r w:rsidR="00806B51" w:rsidRPr="001C003C">
        <w:t>liquid</w:t>
      </w:r>
      <w:r w:rsidR="009A0847">
        <w:t xml:space="preserve"> </w:t>
      </w:r>
      <w:r w:rsidR="00806B51" w:rsidRPr="001C003C">
        <w:t>or</w:t>
      </w:r>
      <w:r w:rsidR="009A0847">
        <w:t xml:space="preserve"> </w:t>
      </w:r>
      <w:r w:rsidR="00806B51" w:rsidRPr="001C003C">
        <w:t>illiquid,</w:t>
      </w:r>
      <w:r w:rsidR="009A0847">
        <w:t xml:space="preserve"> </w:t>
      </w:r>
      <w:r w:rsidR="00806B51" w:rsidRPr="001C003C">
        <w:t>solvent</w:t>
      </w:r>
      <w:r w:rsidR="009A0847">
        <w:t xml:space="preserve"> </w:t>
      </w:r>
      <w:r w:rsidR="00806B51" w:rsidRPr="001C003C">
        <w:t>or</w:t>
      </w:r>
      <w:r w:rsidR="009A0847">
        <w:t xml:space="preserve"> </w:t>
      </w:r>
      <w:r w:rsidR="00806B51" w:rsidRPr="001C003C">
        <w:t>insolvent).</w:t>
      </w:r>
      <w:r w:rsidR="009A0847">
        <w:t xml:space="preserve"> </w:t>
      </w:r>
      <w:r w:rsidR="00806B51" w:rsidRPr="001C003C">
        <w:t>Voluntary</w:t>
      </w:r>
      <w:r w:rsidR="009A0847">
        <w:t xml:space="preserve"> </w:t>
      </w:r>
      <w:r w:rsidR="00806B51" w:rsidRPr="001C003C">
        <w:t>and</w:t>
      </w:r>
      <w:r w:rsidR="009A0847">
        <w:t xml:space="preserve"> </w:t>
      </w:r>
      <w:r w:rsidR="00806B51" w:rsidRPr="001C003C">
        <w:t>involuntary</w:t>
      </w:r>
      <w:r w:rsidR="009A0847">
        <w:t xml:space="preserve"> </w:t>
      </w:r>
      <w:r w:rsidR="009F37EB">
        <w:t>DW</w:t>
      </w:r>
      <w:r w:rsidR="009A0847">
        <w:t xml:space="preserve"> </w:t>
      </w:r>
      <w:r w:rsidR="00806B51" w:rsidRPr="001C003C">
        <w:t>borrowers</w:t>
      </w:r>
      <w:r w:rsidR="009A0847">
        <w:t xml:space="preserve"> </w:t>
      </w:r>
      <w:r w:rsidR="00806B51" w:rsidRPr="001C003C">
        <w:t>incur</w:t>
      </w:r>
      <w:r w:rsidR="009A0847">
        <w:t xml:space="preserve"> </w:t>
      </w:r>
      <w:r w:rsidR="00000AB7">
        <w:t>the</w:t>
      </w:r>
      <w:r w:rsidR="009A0847">
        <w:t xml:space="preserve"> </w:t>
      </w:r>
      <w:r w:rsidR="00000AB7">
        <w:t>same</w:t>
      </w:r>
      <w:r w:rsidR="009A0847">
        <w:t xml:space="preserve"> </w:t>
      </w:r>
      <w:r w:rsidR="00806B51" w:rsidRPr="001C003C">
        <w:t>cost</w:t>
      </w:r>
      <w:r w:rsidR="009A0847">
        <w:t xml:space="preserve"> </w:t>
      </w:r>
      <m:oMath>
        <m:r>
          <w:rPr>
            <w:rFonts w:ascii="Cambria Math" w:hAnsi="Cambria Math"/>
            <w:sz w:val="22"/>
            <w:szCs w:val="22"/>
          </w:rPr>
          <m:t>dw=20</m:t>
        </m:r>
      </m:oMath>
      <w:r w:rsidR="00000AB7">
        <w:rPr>
          <w:sz w:val="22"/>
          <w:szCs w:val="22"/>
        </w:rPr>
        <w:t>,</w:t>
      </w:r>
      <w:r w:rsidR="009A0847">
        <w:rPr>
          <w:sz w:val="22"/>
          <w:szCs w:val="22"/>
        </w:rPr>
        <w:t xml:space="preserve"> </w:t>
      </w:r>
      <w:r w:rsidR="00000AB7" w:rsidRPr="00000AB7">
        <w:rPr>
          <w:szCs w:val="24"/>
        </w:rPr>
        <w:t>they</w:t>
      </w:r>
      <w:r w:rsidR="009A0847">
        <w:rPr>
          <w:szCs w:val="24"/>
        </w:rPr>
        <w:t xml:space="preserve"> </w:t>
      </w:r>
      <w:r w:rsidR="00000AB7" w:rsidRPr="00000AB7">
        <w:rPr>
          <w:szCs w:val="24"/>
        </w:rPr>
        <w:t>cannot</w:t>
      </w:r>
      <w:r w:rsidR="009A0847">
        <w:rPr>
          <w:szCs w:val="24"/>
        </w:rPr>
        <w:t xml:space="preserve"> </w:t>
      </w:r>
      <w:r w:rsidR="00000AB7" w:rsidRPr="00000AB7">
        <w:rPr>
          <w:szCs w:val="24"/>
        </w:rPr>
        <w:t>be</w:t>
      </w:r>
      <w:r w:rsidR="009A0847">
        <w:rPr>
          <w:szCs w:val="24"/>
        </w:rPr>
        <w:t xml:space="preserve"> </w:t>
      </w:r>
      <w:r w:rsidR="00000AB7" w:rsidRPr="00000AB7">
        <w:rPr>
          <w:szCs w:val="24"/>
        </w:rPr>
        <w:t>distinguished</w:t>
      </w:r>
      <w:r w:rsidR="009A0847">
        <w:rPr>
          <w:szCs w:val="24"/>
        </w:rPr>
        <w:t xml:space="preserve"> </w:t>
      </w:r>
      <w:r w:rsidR="00000AB7" w:rsidRPr="00000AB7">
        <w:rPr>
          <w:szCs w:val="24"/>
        </w:rPr>
        <w:t>by</w:t>
      </w:r>
      <w:r w:rsidR="009A0847">
        <w:rPr>
          <w:szCs w:val="24"/>
        </w:rPr>
        <w:t xml:space="preserve"> </w:t>
      </w:r>
      <w:r w:rsidR="00000AB7" w:rsidRPr="00000AB7">
        <w:rPr>
          <w:szCs w:val="24"/>
        </w:rPr>
        <w:t>investors</w:t>
      </w:r>
      <w:r w:rsidR="009A0847">
        <w:rPr>
          <w:szCs w:val="24"/>
        </w:rPr>
        <w:t xml:space="preserve"> </w:t>
      </w:r>
      <w:r w:rsidR="00000AB7" w:rsidRPr="00000AB7">
        <w:rPr>
          <w:szCs w:val="24"/>
        </w:rPr>
        <w:t>and</w:t>
      </w:r>
      <w:r w:rsidR="009A0847">
        <w:rPr>
          <w:szCs w:val="24"/>
        </w:rPr>
        <w:t xml:space="preserve"> </w:t>
      </w:r>
      <w:r w:rsidR="00000AB7" w:rsidRPr="00000AB7">
        <w:rPr>
          <w:szCs w:val="24"/>
        </w:rPr>
        <w:t>they</w:t>
      </w:r>
      <w:r w:rsidR="009A0847">
        <w:rPr>
          <w:szCs w:val="24"/>
        </w:rPr>
        <w:t xml:space="preserve"> </w:t>
      </w:r>
      <w:r w:rsidR="00000AB7" w:rsidRPr="00000AB7">
        <w:rPr>
          <w:szCs w:val="24"/>
        </w:rPr>
        <w:t>face</w:t>
      </w:r>
      <w:r w:rsidR="009A0847">
        <w:rPr>
          <w:szCs w:val="24"/>
        </w:rPr>
        <w:t xml:space="preserve"> </w:t>
      </w:r>
      <w:r w:rsidR="00000AB7" w:rsidRPr="00000AB7">
        <w:rPr>
          <w:szCs w:val="24"/>
        </w:rPr>
        <w:t>the</w:t>
      </w:r>
      <w:r w:rsidR="009A0847">
        <w:rPr>
          <w:szCs w:val="24"/>
        </w:rPr>
        <w:t xml:space="preserve"> </w:t>
      </w:r>
      <w:r w:rsidR="00000AB7" w:rsidRPr="00000AB7">
        <w:rPr>
          <w:szCs w:val="24"/>
        </w:rPr>
        <w:t>same</w:t>
      </w:r>
      <w:r w:rsidR="009A0847">
        <w:rPr>
          <w:szCs w:val="24"/>
        </w:rPr>
        <w:t xml:space="preserve"> </w:t>
      </w:r>
      <w:r w:rsidR="00806B51" w:rsidRPr="001C003C">
        <w:t>endogenous</w:t>
      </w:r>
      <w:r w:rsidR="009A0847">
        <w:t xml:space="preserve"> </w:t>
      </w:r>
      <w:r w:rsidR="00806B51" w:rsidRPr="001C003C">
        <w:t>probability</w:t>
      </w:r>
      <w:r w:rsidR="009A0847">
        <w:t xml:space="preserve"> </w:t>
      </w:r>
      <w:r w:rsidR="00806B51" w:rsidRPr="001C003C">
        <w:t>of</w:t>
      </w:r>
      <w:r w:rsidR="009A0847">
        <w:t xml:space="preserve"> </w:t>
      </w:r>
      <w:r w:rsidR="00806B51" w:rsidRPr="001C003C">
        <w:t>detection</w:t>
      </w:r>
      <w:r w:rsidR="009A0847">
        <w:t xml:space="preserve"> </w:t>
      </w:r>
      <w:r w:rsidR="00806B51" w:rsidRPr="001C003C">
        <w:t>as</w:t>
      </w:r>
      <w:r w:rsidR="009A0847">
        <w:t xml:space="preserve"> </w:t>
      </w:r>
      <w:r w:rsidR="00806B51" w:rsidRPr="001C003C">
        <w:t>in</w:t>
      </w:r>
      <w:r w:rsidR="009A0847">
        <w:t xml:space="preserve"> </w:t>
      </w:r>
      <w:r w:rsidR="00806B51" w:rsidRPr="001C003C">
        <w:t>the</w:t>
      </w:r>
      <w:r w:rsidR="009A0847">
        <w:t xml:space="preserve"> </w:t>
      </w:r>
      <w:r w:rsidR="00806B51" w:rsidRPr="001C003C">
        <w:t>control</w:t>
      </w:r>
      <w:r w:rsidR="009A0847">
        <w:t xml:space="preserve"> </w:t>
      </w:r>
      <w:r w:rsidR="00806B51" w:rsidRPr="001C003C">
        <w:t>treatment.</w:t>
      </w:r>
      <w:r w:rsidR="009A0847">
        <w:t xml:space="preserve"> </w:t>
      </w:r>
      <w:r w:rsidR="00806B51" w:rsidRPr="001C003C">
        <w:t>However,</w:t>
      </w:r>
      <w:r w:rsidR="009A0847">
        <w:t xml:space="preserve"> </w:t>
      </w:r>
      <w:r w:rsidR="00806B51" w:rsidRPr="001C003C">
        <w:t>because</w:t>
      </w:r>
      <w:r w:rsidR="009A0847">
        <w:t xml:space="preserve"> </w:t>
      </w:r>
      <w:r w:rsidR="00806B51" w:rsidRPr="001C003C">
        <w:t>there</w:t>
      </w:r>
      <w:r w:rsidR="009A0847">
        <w:t xml:space="preserve"> </w:t>
      </w:r>
      <w:r w:rsidR="00806B51" w:rsidRPr="001C003C">
        <w:t>is</w:t>
      </w:r>
      <w:r w:rsidR="009A0847">
        <w:t xml:space="preserve"> </w:t>
      </w:r>
      <w:r w:rsidR="00507D3D">
        <w:t>always</w:t>
      </w:r>
      <w:r w:rsidR="009A0847">
        <w:t xml:space="preserve"> </w:t>
      </w:r>
      <w:r w:rsidR="00507D3D">
        <w:t>one</w:t>
      </w:r>
      <w:r w:rsidR="009A0847">
        <w:t xml:space="preserve"> </w:t>
      </w:r>
      <w:r w:rsidR="00806B51" w:rsidRPr="001C003C">
        <w:t>involuntary</w:t>
      </w:r>
      <w:r w:rsidR="009A0847">
        <w:t xml:space="preserve"> </w:t>
      </w:r>
      <w:r w:rsidR="00806B51" w:rsidRPr="001C003C">
        <w:t>borrower</w:t>
      </w:r>
      <w:r w:rsidR="009A0847">
        <w:t xml:space="preserve"> </w:t>
      </w:r>
      <w:r w:rsidR="00507D3D">
        <w:t>in</w:t>
      </w:r>
      <w:r w:rsidR="009A0847">
        <w:t xml:space="preserve"> </w:t>
      </w:r>
      <w:r w:rsidR="00507D3D">
        <w:t>each</w:t>
      </w:r>
      <w:r w:rsidR="009A0847">
        <w:t xml:space="preserve"> </w:t>
      </w:r>
      <w:r w:rsidR="00507D3D">
        <w:t>round</w:t>
      </w:r>
      <w:r w:rsidR="00806B51" w:rsidRPr="001C003C">
        <w:t>,</w:t>
      </w:r>
      <w:r w:rsidR="009A0847">
        <w:t xml:space="preserve"> </w:t>
      </w:r>
      <w:r w:rsidR="00806B51" w:rsidRPr="001C003C">
        <w:t>the</w:t>
      </w:r>
      <w:r w:rsidR="009A0847">
        <w:t xml:space="preserve"> </w:t>
      </w:r>
      <w:r w:rsidR="00806B51" w:rsidRPr="001C003C">
        <w:t>detection</w:t>
      </w:r>
      <w:r w:rsidR="009A0847">
        <w:t xml:space="preserve"> </w:t>
      </w:r>
      <w:r w:rsidR="00806B51" w:rsidRPr="001C003C">
        <w:t>probab</w:t>
      </w:r>
      <w:r w:rsidR="00293A60">
        <w:t>ilities</w:t>
      </w:r>
      <w:r w:rsidR="009A0847">
        <w:t xml:space="preserve"> </w:t>
      </w:r>
      <w:r w:rsidR="00806B51" w:rsidRPr="001C003C">
        <w:t>actually</w:t>
      </w:r>
      <w:r w:rsidR="009A0847">
        <w:t xml:space="preserve"> </w:t>
      </w:r>
      <w:r w:rsidR="00806B51" w:rsidRPr="001C003C">
        <w:t>faced</w:t>
      </w:r>
      <w:r w:rsidR="009A0847">
        <w:t xml:space="preserve"> </w:t>
      </w:r>
      <w:r w:rsidR="00806B51" w:rsidRPr="001C003C">
        <w:t>by</w:t>
      </w:r>
      <w:r w:rsidR="009A0847">
        <w:t xml:space="preserve"> </w:t>
      </w:r>
      <w:r w:rsidR="009F37EB">
        <w:t>the</w:t>
      </w:r>
      <w:r w:rsidR="009A0847">
        <w:t xml:space="preserve"> </w:t>
      </w:r>
      <m:oMath>
        <m:r>
          <w:rPr>
            <w:rFonts w:ascii="Cambria Math" w:hAnsi="Cambria Math"/>
            <w:sz w:val="22"/>
            <w:szCs w:val="22"/>
          </w:rPr>
          <m:t>n</m:t>
        </m:r>
      </m:oMath>
      <w:r w:rsidR="009A0847">
        <w:t xml:space="preserve"> </w:t>
      </w:r>
      <w:r w:rsidR="00806B51" w:rsidRPr="001C003C">
        <w:t>voluntary</w:t>
      </w:r>
      <w:r w:rsidR="009A0847">
        <w:t xml:space="preserve"> </w:t>
      </w:r>
      <w:r w:rsidR="00806B51" w:rsidRPr="001C003C">
        <w:t>borrowers</w:t>
      </w:r>
      <w:r w:rsidR="009A0847">
        <w:t xml:space="preserve"> </w:t>
      </w:r>
      <w:r w:rsidR="00806B51" w:rsidRPr="001C003C">
        <w:t>are</w:t>
      </w:r>
      <w:r w:rsidR="009A0847">
        <w:t xml:space="preserve"> </w:t>
      </w:r>
      <w:r w:rsidR="00B27237">
        <w:t xml:space="preserve">now 0.5 and 0.25 </w:t>
      </w:r>
      <w:r w:rsidR="009A6CB1" w:rsidRPr="001C003C">
        <w:t>when</w:t>
      </w:r>
      <w:r w:rsidR="00B27237">
        <w:t xml:space="preserve"> </w:t>
      </w:r>
      <m:oMath>
        <m:r>
          <w:rPr>
            <w:rFonts w:ascii="Cambria Math" w:hAnsi="Cambria Math"/>
            <w:sz w:val="22"/>
            <w:szCs w:val="22"/>
          </w:rPr>
          <m:t>n=1</m:t>
        </m:r>
      </m:oMath>
      <w:r w:rsidR="009A0847">
        <w:t xml:space="preserve"> </w:t>
      </w:r>
      <w:r w:rsidR="00B27237">
        <w:t xml:space="preserve">and </w:t>
      </w:r>
      <m:oMath>
        <m:r>
          <w:rPr>
            <w:rFonts w:ascii="Cambria Math" w:hAnsi="Cambria Math"/>
            <w:sz w:val="22"/>
            <w:szCs w:val="22"/>
          </w:rPr>
          <m:t>n≥2</m:t>
        </m:r>
      </m:oMath>
      <w:r w:rsidR="009F37EB">
        <w:t>,</w:t>
      </w:r>
      <w:r w:rsidR="009A0847">
        <w:t xml:space="preserve"> </w:t>
      </w:r>
      <w:r w:rsidR="00B27237">
        <w:t>respectively (see</w:t>
      </w:r>
      <w:r w:rsidR="009A0847">
        <w:t xml:space="preserve"> </w:t>
      </w:r>
      <w:r w:rsidR="009F37EB">
        <w:t>Table</w:t>
      </w:r>
      <w:r w:rsidR="009A0847">
        <w:t xml:space="preserve"> </w:t>
      </w:r>
      <w:r w:rsidR="009F37EB">
        <w:t>2</w:t>
      </w:r>
      <w:r w:rsidR="00B27237">
        <w:t>)</w:t>
      </w:r>
      <w:r w:rsidR="009F37EB">
        <w:t>.</w:t>
      </w:r>
      <w:r w:rsidR="009A0847">
        <w:t xml:space="preserve"> </w:t>
      </w:r>
      <w:r w:rsidR="001E1009" w:rsidRPr="00B80E59">
        <w:t>Note</w:t>
      </w:r>
      <w:r w:rsidR="009A0847">
        <w:t xml:space="preserve"> </w:t>
      </w:r>
      <w:r w:rsidR="001E1009" w:rsidRPr="00B80E59">
        <w:t>also</w:t>
      </w:r>
      <w:r w:rsidR="009A0847">
        <w:t xml:space="preserve"> </w:t>
      </w:r>
      <w:r w:rsidR="000E0E3E" w:rsidRPr="00B80E59">
        <w:t>that</w:t>
      </w:r>
      <w:r w:rsidR="009A0847">
        <w:t xml:space="preserve"> </w:t>
      </w:r>
      <w:r w:rsidR="00293A60">
        <w:t>the</w:t>
      </w:r>
      <w:r w:rsidR="009A0847">
        <w:t xml:space="preserve"> </w:t>
      </w:r>
      <w:r w:rsidR="00C345EE">
        <w:t>random</w:t>
      </w:r>
      <w:r w:rsidR="009A0847">
        <w:t xml:space="preserve"> </w:t>
      </w:r>
      <w:r w:rsidR="00507D3D">
        <w:t>borrowing</w:t>
      </w:r>
      <w:r w:rsidR="009A0847">
        <w:t xml:space="preserve"> </w:t>
      </w:r>
      <w:r w:rsidR="000E0E3E" w:rsidRPr="001C003C">
        <w:t>probability</w:t>
      </w:r>
      <w:r w:rsidR="009A0847">
        <w:t xml:space="preserve"> </w:t>
      </w:r>
      <m:oMath>
        <m:r>
          <w:rPr>
            <w:rFonts w:ascii="Cambria Math" w:hAnsi="Cambria Math"/>
            <w:sz w:val="22"/>
            <w:szCs w:val="22"/>
          </w:rPr>
          <m:t>α=1/6</m:t>
        </m:r>
      </m:oMath>
      <w:r w:rsidR="009A0847">
        <w:t xml:space="preserve"> </w:t>
      </w:r>
      <w:r w:rsidR="000E0E3E" w:rsidRPr="001C003C">
        <w:t>is</w:t>
      </w:r>
      <w:r w:rsidR="009A0847">
        <w:t xml:space="preserve"> </w:t>
      </w:r>
      <w:r w:rsidR="000E0E3E" w:rsidRPr="001C003C">
        <w:t>below</w:t>
      </w:r>
      <w:r w:rsidR="009A0847">
        <w:t xml:space="preserve"> </w:t>
      </w:r>
      <w:r w:rsidR="000E0E3E" w:rsidRPr="001C003C">
        <w:t>the</w:t>
      </w:r>
      <w:r w:rsidR="009A0847">
        <w:t xml:space="preserve"> </w:t>
      </w:r>
      <w:r w:rsidR="000E0E3E" w:rsidRPr="001C003C">
        <w:t>threshold</w:t>
      </w:r>
      <w:r w:rsidR="009A0847"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α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0</m:t>
            </m:r>
          </m:sub>
        </m:sSub>
        <m:r>
          <w:rPr>
            <w:rFonts w:ascii="Cambria Math" w:hAnsi="Cambria Math"/>
            <w:sz w:val="22"/>
            <w:szCs w:val="22"/>
          </w:rPr>
          <m:t>=0.5</m:t>
        </m:r>
      </m:oMath>
      <w:r w:rsidR="009A0847">
        <w:rPr>
          <w:sz w:val="22"/>
          <w:szCs w:val="22"/>
        </w:rPr>
        <w:t xml:space="preserve"> </w:t>
      </w:r>
      <w:r w:rsidR="00761185" w:rsidRPr="001C003C">
        <w:t>from</w:t>
      </w:r>
      <w:r w:rsidR="009A0847">
        <w:t xml:space="preserve"> </w:t>
      </w:r>
      <w:r w:rsidR="00761185" w:rsidRPr="001C003C">
        <w:t>Proposition</w:t>
      </w:r>
      <w:r w:rsidR="009A0847">
        <w:t xml:space="preserve"> </w:t>
      </w:r>
      <w:r w:rsidR="00761185" w:rsidRPr="001C003C">
        <w:t>2</w:t>
      </w:r>
      <w:r w:rsidR="00507D3D">
        <w:rPr>
          <w:sz w:val="22"/>
          <w:szCs w:val="22"/>
        </w:rPr>
        <w:t>,</w:t>
      </w:r>
      <w:r w:rsidR="009A0847">
        <w:t xml:space="preserve"> </w:t>
      </w:r>
      <w:r w:rsidR="000E0E3E" w:rsidRPr="001C003C">
        <w:t>so</w:t>
      </w:r>
      <w:r w:rsidR="009A0847">
        <w:t xml:space="preserve"> </w:t>
      </w:r>
      <w:r w:rsidR="000E0E3E" w:rsidRPr="001C003C">
        <w:t>that</w:t>
      </w:r>
      <w:r w:rsidR="009A0847">
        <w:t xml:space="preserve"> </w:t>
      </w:r>
      <m:oMath>
        <m:r>
          <m:rPr>
            <m:sty m:val="bi"/>
          </m:rPr>
          <w:rPr>
            <w:rFonts w:ascii="Cambria Math" w:hAnsi="Cambria Math"/>
            <w:sz w:val="22"/>
            <w:szCs w:val="22"/>
          </w:rPr>
          <m:t>NoSt</m:t>
        </m:r>
      </m:oMath>
      <w:r w:rsidR="009A0847">
        <w:t xml:space="preserve"> </w:t>
      </w:r>
      <w:r w:rsidR="00293A60">
        <w:t>is</w:t>
      </w:r>
      <w:r w:rsidR="009A0847">
        <w:t xml:space="preserve"> </w:t>
      </w:r>
      <w:r w:rsidR="00293A60">
        <w:t>the</w:t>
      </w:r>
      <w:r w:rsidR="009A0847">
        <w:t xml:space="preserve"> </w:t>
      </w:r>
      <w:r w:rsidR="00293A60">
        <w:t>only</w:t>
      </w:r>
      <w:r w:rsidR="009A0847">
        <w:t xml:space="preserve"> </w:t>
      </w:r>
      <w:r w:rsidR="000E0E3E" w:rsidRPr="001C003C">
        <w:t>equilibrium</w:t>
      </w:r>
      <w:r w:rsidR="009A0847">
        <w:t xml:space="preserve"> </w:t>
      </w:r>
      <w:r w:rsidR="000E0E3E" w:rsidRPr="001C003C">
        <w:t>in</w:t>
      </w:r>
      <w:r w:rsidR="009A0847">
        <w:t xml:space="preserve"> </w:t>
      </w:r>
      <w:r w:rsidR="000E0E3E" w:rsidRPr="001C003C">
        <w:t>this</w:t>
      </w:r>
      <w:r w:rsidR="009A0847">
        <w:t xml:space="preserve"> </w:t>
      </w:r>
      <w:r w:rsidR="000E0E3E" w:rsidRPr="001C003C">
        <w:t>treatment.</w:t>
      </w:r>
      <w:r w:rsidR="009A0847">
        <w:t xml:space="preserve"> </w:t>
      </w:r>
      <w:r w:rsidR="00B80E59">
        <w:t>We</w:t>
      </w:r>
      <w:r w:rsidR="009A0847">
        <w:t xml:space="preserve"> </w:t>
      </w:r>
      <w:r w:rsidR="00B80E59">
        <w:t>can</w:t>
      </w:r>
      <w:r w:rsidR="009A0847">
        <w:t xml:space="preserve"> </w:t>
      </w:r>
      <w:r w:rsidR="00B80E59">
        <w:t>see</w:t>
      </w:r>
      <w:r w:rsidR="009A0847">
        <w:t xml:space="preserve"> </w:t>
      </w:r>
      <w:r w:rsidR="00B80E59">
        <w:t>in</w:t>
      </w:r>
      <w:r w:rsidR="009A0847">
        <w:t xml:space="preserve"> </w:t>
      </w:r>
      <w:r w:rsidR="007215B0" w:rsidRPr="00263CDD">
        <w:t>Table</w:t>
      </w:r>
      <w:r w:rsidR="009A0847">
        <w:t xml:space="preserve"> </w:t>
      </w:r>
      <w:r w:rsidR="007215B0" w:rsidRPr="00263CDD">
        <w:t>1</w:t>
      </w:r>
      <w:r w:rsidR="009A0847">
        <w:t xml:space="preserve"> </w:t>
      </w:r>
      <w:r w:rsidR="007215B0" w:rsidRPr="00263CDD">
        <w:t>that</w:t>
      </w:r>
      <w:r w:rsidR="009A0847">
        <w:t xml:space="preserve"> </w:t>
      </w:r>
      <w:r w:rsidR="007215B0" w:rsidRPr="00263CDD">
        <w:t>compared</w:t>
      </w:r>
      <w:r w:rsidR="009A0847">
        <w:t xml:space="preserve"> </w:t>
      </w:r>
      <w:r w:rsidR="007215B0" w:rsidRPr="00263CDD">
        <w:t>to</w:t>
      </w:r>
      <w:r w:rsidR="009A0847">
        <w:t xml:space="preserve"> </w:t>
      </w:r>
      <w:r w:rsidR="007215B0" w:rsidRPr="00263CDD">
        <w:t>the</w:t>
      </w:r>
      <w:r w:rsidR="009A0847">
        <w:t xml:space="preserve"> </w:t>
      </w:r>
      <w:r w:rsidR="007215B0" w:rsidRPr="00263CDD">
        <w:t>stigma</w:t>
      </w:r>
      <w:r w:rsidR="009A0847">
        <w:t xml:space="preserve"> </w:t>
      </w:r>
      <w:r w:rsidR="007215B0" w:rsidRPr="00263CDD">
        <w:t>equilibrium</w:t>
      </w:r>
      <w:r w:rsidR="009A0847">
        <w:t xml:space="preserve"> </w:t>
      </w:r>
      <w:r w:rsidR="007215B0" w:rsidRPr="00263CDD">
        <w:t>in</w:t>
      </w:r>
      <w:r w:rsidR="009A0847">
        <w:t xml:space="preserve"> </w:t>
      </w:r>
      <w:r w:rsidR="007215B0" w:rsidRPr="00263CDD">
        <w:t>the</w:t>
      </w:r>
      <w:r w:rsidR="009A0847">
        <w:t xml:space="preserve"> </w:t>
      </w:r>
      <w:r w:rsidR="007215B0" w:rsidRPr="00263CDD">
        <w:t>control</w:t>
      </w:r>
      <w:r w:rsidR="009A0847">
        <w:t xml:space="preserve"> </w:t>
      </w:r>
      <w:r w:rsidR="007215B0" w:rsidRPr="00263CDD">
        <w:t>treatment,</w:t>
      </w:r>
      <w:r w:rsidR="009A0847">
        <w:t xml:space="preserve"> </w:t>
      </w:r>
      <w:r w:rsidR="00C345EE">
        <w:t>random</w:t>
      </w:r>
      <w:r w:rsidR="009A0847">
        <w:t xml:space="preserve"> </w:t>
      </w:r>
      <w:r w:rsidR="00263CDD" w:rsidRPr="00263CDD">
        <w:t>borrowing</w:t>
      </w:r>
      <w:r w:rsidR="009A0847">
        <w:t xml:space="preserve"> </w:t>
      </w:r>
      <w:r w:rsidR="00263CDD" w:rsidRPr="00263CDD">
        <w:t>benefits</w:t>
      </w:r>
      <w:r w:rsidR="009A0847">
        <w:t xml:space="preserve"> </w:t>
      </w:r>
      <w:r w:rsidR="007215B0" w:rsidRPr="00263CDD">
        <w:t>investors</w:t>
      </w:r>
      <w:r w:rsidR="009A0847">
        <w:t xml:space="preserve"> </w:t>
      </w:r>
      <w:r w:rsidR="007215B0" w:rsidRPr="00263CDD">
        <w:t>and</w:t>
      </w:r>
      <w:r w:rsidR="009A0847">
        <w:t xml:space="preserve"> </w:t>
      </w:r>
      <w:r w:rsidR="007215B0" w:rsidRPr="00263CDD">
        <w:t>illiquid</w:t>
      </w:r>
      <w:r w:rsidR="009A0847">
        <w:t xml:space="preserve"> </w:t>
      </w:r>
      <w:r w:rsidR="007215B0" w:rsidRPr="00263CDD">
        <w:t>banks</w:t>
      </w:r>
      <w:r w:rsidR="00263CDD" w:rsidRPr="00263CDD">
        <w:t>,</w:t>
      </w:r>
      <w:r w:rsidR="009A0847">
        <w:t xml:space="preserve"> </w:t>
      </w:r>
      <w:r w:rsidR="00263CDD" w:rsidRPr="00263CDD">
        <w:t>while</w:t>
      </w:r>
      <w:r w:rsidR="009A0847">
        <w:t xml:space="preserve"> </w:t>
      </w:r>
      <w:r w:rsidR="00263CDD" w:rsidRPr="00263CDD">
        <w:t>it</w:t>
      </w:r>
      <w:r w:rsidR="009A0847">
        <w:t xml:space="preserve"> </w:t>
      </w:r>
      <w:r w:rsidR="00263CDD" w:rsidRPr="00263CDD">
        <w:t>is</w:t>
      </w:r>
      <w:r w:rsidR="009A0847">
        <w:t xml:space="preserve"> </w:t>
      </w:r>
      <w:r w:rsidR="00263CDD" w:rsidRPr="00263CDD">
        <w:t>detrimental</w:t>
      </w:r>
      <w:r w:rsidR="009A0847">
        <w:t xml:space="preserve"> </w:t>
      </w:r>
      <w:r w:rsidR="00263CDD" w:rsidRPr="00263CDD">
        <w:t>to</w:t>
      </w:r>
      <w:r w:rsidR="009A0847">
        <w:t xml:space="preserve"> </w:t>
      </w:r>
      <w:r w:rsidR="007215B0" w:rsidRPr="00263CDD">
        <w:t>liquid</w:t>
      </w:r>
      <w:r w:rsidR="009A0847">
        <w:t xml:space="preserve"> </w:t>
      </w:r>
      <w:r w:rsidR="007215B0" w:rsidRPr="00263CDD">
        <w:t>bank</w:t>
      </w:r>
      <w:r w:rsidR="00263CDD" w:rsidRPr="00263CDD">
        <w:t>s</w:t>
      </w:r>
      <w:r w:rsidR="007215B0" w:rsidRPr="00263CDD">
        <w:t>.</w:t>
      </w:r>
      <w:r w:rsidR="009A0847">
        <w:t xml:space="preserve"> </w:t>
      </w:r>
      <w:r w:rsidR="004936DB">
        <w:t>I</w:t>
      </w:r>
      <w:r w:rsidR="007215B0" w:rsidRPr="00263CDD">
        <w:t>n</w:t>
      </w:r>
      <w:r w:rsidR="009A0847">
        <w:t xml:space="preserve"> </w:t>
      </w:r>
      <w:r w:rsidR="007215B0" w:rsidRPr="00263CDD">
        <w:t>aggregate</w:t>
      </w:r>
      <w:r w:rsidR="004936DB">
        <w:t>,</w:t>
      </w:r>
      <w:r w:rsidR="009A0847">
        <w:t xml:space="preserve"> </w:t>
      </w:r>
      <w:r w:rsidR="002C590A">
        <w:t>however,</w:t>
      </w:r>
      <w:r w:rsidR="009A0847">
        <w:t xml:space="preserve"> </w:t>
      </w:r>
      <w:r w:rsidR="00C345EE">
        <w:t>random</w:t>
      </w:r>
      <w:r w:rsidR="009A0847">
        <w:t xml:space="preserve"> </w:t>
      </w:r>
      <w:r w:rsidR="00263CDD" w:rsidRPr="00263CDD">
        <w:t>borrowing</w:t>
      </w:r>
      <w:r w:rsidR="009A0847">
        <w:t xml:space="preserve"> </w:t>
      </w:r>
      <w:r w:rsidR="00263CDD" w:rsidRPr="00263CDD">
        <w:t>is</w:t>
      </w:r>
      <w:r w:rsidR="009A0847">
        <w:t xml:space="preserve"> </w:t>
      </w:r>
      <w:r w:rsidR="00263CDD" w:rsidRPr="00263CDD">
        <w:t>beneficial</w:t>
      </w:r>
      <w:r w:rsidR="009A0847">
        <w:t xml:space="preserve"> </w:t>
      </w:r>
      <w:r w:rsidR="007215B0" w:rsidRPr="00263CDD">
        <w:t>as</w:t>
      </w:r>
      <w:r w:rsidR="009A0847">
        <w:t xml:space="preserve"> </w:t>
      </w:r>
      <w:r w:rsidR="007215B0" w:rsidRPr="00263CDD">
        <w:t>i</w:t>
      </w:r>
      <w:r w:rsidR="00263CDD" w:rsidRPr="00263CDD">
        <w:t>t</w:t>
      </w:r>
      <w:r w:rsidR="009A0847">
        <w:t xml:space="preserve"> </w:t>
      </w:r>
      <w:r w:rsidR="007215B0" w:rsidRPr="00263CDD">
        <w:t>increases</w:t>
      </w:r>
      <w:r w:rsidR="009A0847">
        <w:t xml:space="preserve"> </w:t>
      </w:r>
      <w:r w:rsidR="007215B0" w:rsidRPr="00263CDD">
        <w:t>total</w:t>
      </w:r>
      <w:r w:rsidR="009A0847">
        <w:t xml:space="preserve"> </w:t>
      </w:r>
      <w:r w:rsidR="007215B0" w:rsidRPr="00263CDD">
        <w:t>expected</w:t>
      </w:r>
      <w:r w:rsidR="009A0847">
        <w:t xml:space="preserve"> </w:t>
      </w:r>
      <w:r w:rsidR="007215B0" w:rsidRPr="00263CDD">
        <w:t>surplus</w:t>
      </w:r>
      <w:r w:rsidR="009A0847">
        <w:t xml:space="preserve"> </w:t>
      </w:r>
      <w:r w:rsidR="002C590A" w:rsidRPr="00B27237">
        <w:t>by</w:t>
      </w:r>
      <w:r w:rsidR="009A0847" w:rsidRPr="00B27237">
        <w:t xml:space="preserve"> </w:t>
      </w:r>
      <w:r w:rsidR="00B27237" w:rsidRPr="00B27237">
        <w:t>2.4</w:t>
      </w:r>
      <w:r w:rsidR="002C590A" w:rsidRPr="00B27237">
        <w:t>%</w:t>
      </w:r>
      <w:r w:rsidR="009A0847">
        <w:t xml:space="preserve"> </w:t>
      </w:r>
      <w:r w:rsidR="007215B0" w:rsidRPr="00263CDD">
        <w:t>compared</w:t>
      </w:r>
      <w:r w:rsidR="009A0847">
        <w:t xml:space="preserve"> </w:t>
      </w:r>
      <w:r w:rsidR="007215B0" w:rsidRPr="00263CDD">
        <w:t>to</w:t>
      </w:r>
      <w:r w:rsidR="009A0847">
        <w:t xml:space="preserve"> </w:t>
      </w:r>
      <m:oMath>
        <m:r>
          <m:rPr>
            <m:sty m:val="bi"/>
          </m:rPr>
          <w:rPr>
            <w:rFonts w:ascii="Cambria Math" w:hAnsi="Cambria Math"/>
            <w:sz w:val="22"/>
            <w:szCs w:val="22"/>
          </w:rPr>
          <m:t>St</m:t>
        </m:r>
      </m:oMath>
      <w:r w:rsidR="007215B0" w:rsidRPr="00263CDD">
        <w:rPr>
          <w:szCs w:val="24"/>
        </w:rPr>
        <w:t>.</w:t>
      </w:r>
    </w:p>
    <w:p w14:paraId="129D045C" w14:textId="6663B0AA" w:rsidR="00AF532C" w:rsidRPr="007C55A6" w:rsidRDefault="00AF532C" w:rsidP="00F86E09">
      <w:pPr>
        <w:pStyle w:val="Heading3"/>
        <w:widowControl w:val="0"/>
        <w:spacing w:line="276" w:lineRule="auto"/>
      </w:pPr>
      <w:r w:rsidRPr="007C55A6">
        <w:t>The</w:t>
      </w:r>
      <w:r w:rsidR="009A0847">
        <w:t xml:space="preserve"> </w:t>
      </w:r>
      <w:r>
        <w:t>Low</w:t>
      </w:r>
      <w:r w:rsidR="009A0847">
        <w:t xml:space="preserve"> </w:t>
      </w:r>
      <w:r>
        <w:t>Detection</w:t>
      </w:r>
      <w:r w:rsidR="009A0847">
        <w:t xml:space="preserve"> </w:t>
      </w:r>
      <w:r>
        <w:t>treatment</w:t>
      </w:r>
    </w:p>
    <w:p w14:paraId="22041B6E" w14:textId="74863F2C" w:rsidR="00AF532C" w:rsidRPr="00AF532C" w:rsidRDefault="00AF532C" w:rsidP="00F86E09">
      <w:pPr>
        <w:pStyle w:val="Olivier1"/>
        <w:widowControl w:val="0"/>
      </w:pPr>
      <w:r>
        <w:t>The</w:t>
      </w:r>
      <w:r w:rsidR="009A0847">
        <w:t xml:space="preserve"> </w:t>
      </w:r>
      <w:r w:rsidRPr="001C003C">
        <w:rPr>
          <w:i/>
        </w:rPr>
        <w:t>Low</w:t>
      </w:r>
      <w:r w:rsidR="009A0847">
        <w:rPr>
          <w:i/>
        </w:rPr>
        <w:t xml:space="preserve"> </w:t>
      </w:r>
      <w:r>
        <w:rPr>
          <w:i/>
        </w:rPr>
        <w:t>Detection</w:t>
      </w:r>
      <w:r w:rsidR="009A0847">
        <w:t xml:space="preserve"> </w:t>
      </w:r>
      <w:r w:rsidRPr="001C003C">
        <w:t>treatment</w:t>
      </w:r>
      <w:r w:rsidR="009A0847">
        <w:t xml:space="preserve"> </w:t>
      </w:r>
      <w:r w:rsidRPr="001C003C">
        <w:t>has</w:t>
      </w:r>
      <w:r w:rsidR="009A0847">
        <w:t xml:space="preserve"> </w:t>
      </w:r>
      <w:r w:rsidRPr="001C003C">
        <w:t>the</w:t>
      </w:r>
      <w:r w:rsidR="009A0847">
        <w:t xml:space="preserve"> </w:t>
      </w:r>
      <w:r w:rsidRPr="001C003C">
        <w:t>same</w:t>
      </w:r>
      <w:r w:rsidR="009A0847">
        <w:t xml:space="preserve"> </w:t>
      </w:r>
      <w:r w:rsidRPr="001C003C">
        <w:t>parameter</w:t>
      </w:r>
      <w:r w:rsidR="009A0847">
        <w:t xml:space="preserve"> </w:t>
      </w:r>
      <w:r w:rsidRPr="001C003C">
        <w:t>values</w:t>
      </w:r>
      <w:r w:rsidR="009A0847">
        <w:t xml:space="preserve"> </w:t>
      </w:r>
      <w:r w:rsidRPr="001C003C">
        <w:t>as</w:t>
      </w:r>
      <w:r w:rsidR="009A0847">
        <w:t xml:space="preserve"> </w:t>
      </w:r>
      <w:r w:rsidRPr="001C003C">
        <w:t>the</w:t>
      </w:r>
      <w:r w:rsidR="009A0847">
        <w:t xml:space="preserve"> </w:t>
      </w:r>
      <w:r w:rsidRPr="001C003C">
        <w:t>control</w:t>
      </w:r>
      <w:r w:rsidR="009A0847">
        <w:t xml:space="preserve"> </w:t>
      </w:r>
      <w:r w:rsidRPr="001C003C">
        <w:t>treatment</w:t>
      </w:r>
      <w:r w:rsidR="009A0847">
        <w:t xml:space="preserve"> </w:t>
      </w:r>
      <w:r w:rsidRPr="001C003C">
        <w:t>except</w:t>
      </w:r>
      <w:r w:rsidR="009A0847">
        <w:t xml:space="preserve"> </w:t>
      </w:r>
      <w:r w:rsidR="00FA33AE">
        <w:t>that</w:t>
      </w:r>
      <w:r w:rsidR="009A0847">
        <w:t xml:space="preserve"> </w:t>
      </w:r>
      <w:r w:rsidRPr="001C003C">
        <w:t>the</w:t>
      </w:r>
      <w:r w:rsidR="009A0847">
        <w:t xml:space="preserve"> </w:t>
      </w:r>
      <w:r>
        <w:t>endogenou</w:t>
      </w:r>
      <w:r w:rsidR="00FA33AE">
        <w:t>s</w:t>
      </w:r>
      <w:r w:rsidR="009A0847">
        <w:t xml:space="preserve"> </w:t>
      </w:r>
      <w:r w:rsidR="00FA33AE">
        <w:t>detection</w:t>
      </w:r>
      <w:r w:rsidR="009A0847">
        <w:t xml:space="preserve"> </w:t>
      </w:r>
      <w:r w:rsidR="00FA33AE">
        <w:t>probabilities</w:t>
      </w:r>
      <w:r w:rsidR="009A0847">
        <w:t xml:space="preserve"> </w:t>
      </w:r>
      <w:r>
        <w:t>are</w:t>
      </w:r>
      <w:r w:rsidR="009A0847">
        <w:t xml:space="preserve"> </w:t>
      </w:r>
      <w:r>
        <w:t>now</w:t>
      </w:r>
      <w:r w:rsidR="009A0847">
        <w:t xml:space="preserve"> </w:t>
      </w:r>
      <w:r>
        <w:t>set</w:t>
      </w:r>
      <w:r w:rsidR="009A0847">
        <w:t xml:space="preserve"> </w:t>
      </w:r>
      <w:r>
        <w:t>at</w:t>
      </w:r>
      <w:r w:rsidR="009A0847">
        <w:t xml:space="preserve"> </w:t>
      </w:r>
      <m:oMath>
        <m:r>
          <w:rPr>
            <w:rFonts w:ascii="Cambria Math" w:hAnsi="Cambria Math"/>
            <w:sz w:val="22"/>
            <w:szCs w:val="22"/>
          </w:rPr>
          <m:t>θ</m:t>
        </m:r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1</m:t>
            </m:r>
          </m:e>
        </m:d>
        <m:r>
          <w:rPr>
            <w:rFonts w:ascii="Cambria Math" w:hAnsi="Cambria Math"/>
            <w:sz w:val="22"/>
            <w:szCs w:val="22"/>
          </w:rPr>
          <m:t>=0.5</m:t>
        </m:r>
      </m:oMath>
      <w:r w:rsidRPr="001C003C">
        <w:t>,</w:t>
      </w:r>
      <w:r w:rsidR="009A0847">
        <w:t xml:space="preserve"> </w:t>
      </w:r>
      <w:r>
        <w:t>and</w:t>
      </w:r>
      <w:r w:rsidR="009A0847">
        <w:t xml:space="preserve"> </w:t>
      </w:r>
      <m:oMath>
        <m:r>
          <w:rPr>
            <w:rFonts w:ascii="Cambria Math" w:hAnsi="Cambria Math"/>
            <w:sz w:val="22"/>
            <w:szCs w:val="22"/>
          </w:rPr>
          <m:t>θ</m:t>
        </m:r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n</m:t>
            </m:r>
          </m:e>
        </m:d>
        <m:r>
          <w:rPr>
            <w:rFonts w:ascii="Cambria Math" w:hAnsi="Cambria Math"/>
            <w:sz w:val="22"/>
            <w:szCs w:val="22"/>
          </w:rPr>
          <m:t>=0.25</m:t>
        </m:r>
      </m:oMath>
      <w:r w:rsidR="009A0847">
        <w:t xml:space="preserve"> </w:t>
      </w:r>
      <w:r w:rsidRPr="001C003C">
        <w:t>for</w:t>
      </w:r>
      <w:r w:rsidR="009A0847">
        <w:t xml:space="preserve"> </w:t>
      </w:r>
      <m:oMath>
        <m:r>
          <w:rPr>
            <w:rFonts w:ascii="Cambria Math" w:hAnsi="Cambria Math"/>
            <w:sz w:val="22"/>
            <w:szCs w:val="22"/>
          </w:rPr>
          <m:t>n≥2</m:t>
        </m:r>
      </m:oMath>
      <w:r w:rsidR="009F37EB">
        <w:t>,</w:t>
      </w:r>
      <w:r w:rsidR="009A0847">
        <w:t xml:space="preserve"> </w:t>
      </w:r>
      <w:r w:rsidR="009F37EB">
        <w:t>as</w:t>
      </w:r>
      <w:r w:rsidR="009A0847">
        <w:t xml:space="preserve"> </w:t>
      </w:r>
      <w:r w:rsidR="009F37EB">
        <w:t>shown</w:t>
      </w:r>
      <w:r w:rsidR="009A0847">
        <w:t xml:space="preserve"> </w:t>
      </w:r>
      <w:r w:rsidR="009F37EB">
        <w:t>in</w:t>
      </w:r>
      <w:r w:rsidR="009A0847">
        <w:t xml:space="preserve"> </w:t>
      </w:r>
      <w:r w:rsidR="009F37EB">
        <w:t>Table</w:t>
      </w:r>
      <w:r w:rsidR="009A0847">
        <w:t xml:space="preserve"> </w:t>
      </w:r>
      <w:r w:rsidR="009F37EB">
        <w:t>2</w:t>
      </w:r>
      <w:r w:rsidRPr="001C003C">
        <w:t>.</w:t>
      </w:r>
      <w:r w:rsidR="009A0847">
        <w:t xml:space="preserve"> </w:t>
      </w:r>
      <w:r>
        <w:t>Thus,</w:t>
      </w:r>
      <w:r w:rsidR="009A0847">
        <w:t xml:space="preserve"> </w:t>
      </w:r>
      <w:r>
        <w:t>the</w:t>
      </w:r>
      <w:r w:rsidR="009A0847">
        <w:t xml:space="preserve"> </w:t>
      </w:r>
      <w:r>
        <w:t>detection</w:t>
      </w:r>
      <w:r w:rsidR="009A0847">
        <w:t xml:space="preserve"> </w:t>
      </w:r>
      <w:r>
        <w:t>probabilities</w:t>
      </w:r>
      <w:r w:rsidR="009A0847">
        <w:t xml:space="preserve"> </w:t>
      </w:r>
      <w:r>
        <w:t>in</w:t>
      </w:r>
      <w:r w:rsidR="009A0847">
        <w:t xml:space="preserve"> </w:t>
      </w:r>
      <w:r>
        <w:t>the</w:t>
      </w:r>
      <w:r w:rsidR="009A0847">
        <w:t xml:space="preserve"> </w:t>
      </w:r>
      <w:r w:rsidR="00FA33AE">
        <w:t>Low</w:t>
      </w:r>
      <w:r w:rsidR="009A0847">
        <w:t xml:space="preserve"> </w:t>
      </w:r>
      <w:r w:rsidR="00FA33AE">
        <w:t>Detection</w:t>
      </w:r>
      <w:r w:rsidR="009A0847">
        <w:t xml:space="preserve"> </w:t>
      </w:r>
      <w:r>
        <w:t>treatment</w:t>
      </w:r>
      <w:r w:rsidR="009A0847">
        <w:t xml:space="preserve"> </w:t>
      </w:r>
      <w:r>
        <w:t>are</w:t>
      </w:r>
      <w:r w:rsidR="009A0847">
        <w:t xml:space="preserve"> </w:t>
      </w:r>
      <w:r>
        <w:t>the</w:t>
      </w:r>
      <w:r w:rsidR="009A0847">
        <w:t xml:space="preserve"> </w:t>
      </w:r>
      <w:r>
        <w:t>same</w:t>
      </w:r>
      <w:r w:rsidR="009A0847">
        <w:t xml:space="preserve"> </w:t>
      </w:r>
      <w:r>
        <w:t>as</w:t>
      </w:r>
      <w:r w:rsidR="009A0847">
        <w:t xml:space="preserve"> </w:t>
      </w:r>
      <w:r>
        <w:t>the</w:t>
      </w:r>
      <w:r w:rsidR="009A0847">
        <w:t xml:space="preserve"> </w:t>
      </w:r>
      <w:r>
        <w:t>one</w:t>
      </w:r>
      <w:r w:rsidR="009A0847">
        <w:t xml:space="preserve"> </w:t>
      </w:r>
      <w:r>
        <w:t>faced</w:t>
      </w:r>
      <w:r w:rsidR="009A0847">
        <w:t xml:space="preserve"> </w:t>
      </w:r>
      <w:r>
        <w:t>by</w:t>
      </w:r>
      <w:r w:rsidR="009A0847">
        <w:t xml:space="preserve"> </w:t>
      </w:r>
      <w:r>
        <w:t>voluntary</w:t>
      </w:r>
      <w:r w:rsidR="009A0847">
        <w:t xml:space="preserve"> </w:t>
      </w:r>
      <w:r>
        <w:t>borrowers</w:t>
      </w:r>
      <w:r w:rsidR="009A0847">
        <w:t xml:space="preserve"> </w:t>
      </w:r>
      <w:r>
        <w:t>in</w:t>
      </w:r>
      <w:r w:rsidR="009A0847">
        <w:t xml:space="preserve"> </w:t>
      </w:r>
      <w:r>
        <w:t>the</w:t>
      </w:r>
      <w:r w:rsidR="009A0847">
        <w:t xml:space="preserve"> </w:t>
      </w:r>
      <w:r>
        <w:t>random</w:t>
      </w:r>
      <w:r w:rsidR="009A0847">
        <w:t xml:space="preserve"> </w:t>
      </w:r>
      <w:r>
        <w:t>borrowing</w:t>
      </w:r>
      <w:r w:rsidR="009A0847">
        <w:t xml:space="preserve"> </w:t>
      </w:r>
      <w:r>
        <w:t>treatment.</w:t>
      </w:r>
      <w:r w:rsidR="009A0847">
        <w:t xml:space="preserve"> </w:t>
      </w:r>
    </w:p>
    <w:p w14:paraId="7034FFA1" w14:textId="43EA9BEA" w:rsidR="009A6CB1" w:rsidRPr="007C55A6" w:rsidRDefault="0023497B" w:rsidP="00F86E09">
      <w:pPr>
        <w:pStyle w:val="Heading3"/>
        <w:widowControl w:val="0"/>
        <w:spacing w:line="276" w:lineRule="auto"/>
      </w:pPr>
      <w:r w:rsidRPr="007C55A6">
        <w:t>Predictions</w:t>
      </w:r>
    </w:p>
    <w:p w14:paraId="722E0D1B" w14:textId="4C525361" w:rsidR="000E0E3E" w:rsidRPr="001C003C" w:rsidRDefault="000E0E3E" w:rsidP="00F86E09">
      <w:pPr>
        <w:pStyle w:val="Olivier1"/>
        <w:widowControl w:val="0"/>
      </w:pPr>
      <w:r w:rsidRPr="001C003C">
        <w:t>Based</w:t>
      </w:r>
      <w:r w:rsidR="009A0847">
        <w:t xml:space="preserve"> </w:t>
      </w:r>
      <w:r w:rsidRPr="001C003C">
        <w:t>on</w:t>
      </w:r>
      <w:r w:rsidR="009A0847">
        <w:t xml:space="preserve"> </w:t>
      </w:r>
      <w:r w:rsidRPr="001C003C">
        <w:t>the</w:t>
      </w:r>
      <w:r w:rsidR="009A0847">
        <w:t xml:space="preserve"> </w:t>
      </w:r>
      <w:r w:rsidRPr="001C003C">
        <w:t>result</w:t>
      </w:r>
      <w:r w:rsidR="00507D3D">
        <w:t>s</w:t>
      </w:r>
      <w:r w:rsidR="009A0847">
        <w:t xml:space="preserve"> </w:t>
      </w:r>
      <w:r w:rsidRPr="001C003C">
        <w:t>from</w:t>
      </w:r>
      <w:r w:rsidR="009A0847">
        <w:t xml:space="preserve"> </w:t>
      </w:r>
      <w:r w:rsidRPr="001C003C">
        <w:t>the</w:t>
      </w:r>
      <w:r w:rsidR="009A0847">
        <w:t xml:space="preserve"> </w:t>
      </w:r>
      <w:r w:rsidRPr="001C003C">
        <w:t>t</w:t>
      </w:r>
      <w:r w:rsidR="00507D3D">
        <w:t>heory</w:t>
      </w:r>
      <w:r w:rsidR="009A0847">
        <w:t xml:space="preserve"> </w:t>
      </w:r>
      <w:r w:rsidR="00507D3D">
        <w:t>section</w:t>
      </w:r>
      <w:r w:rsidR="009A0847">
        <w:t xml:space="preserve"> </w:t>
      </w:r>
      <w:r w:rsidR="00107B69">
        <w:t>and</w:t>
      </w:r>
      <w:r w:rsidR="009A0847">
        <w:t xml:space="preserve"> </w:t>
      </w:r>
      <w:r w:rsidR="00107B69">
        <w:t>the</w:t>
      </w:r>
      <w:r w:rsidR="009A0847">
        <w:t xml:space="preserve"> </w:t>
      </w:r>
      <w:r w:rsidR="00107B69">
        <w:t>parameters</w:t>
      </w:r>
      <w:r w:rsidR="009A0847">
        <w:t xml:space="preserve"> </w:t>
      </w:r>
      <w:r w:rsidR="00107B69">
        <w:t>selected</w:t>
      </w:r>
      <w:r w:rsidR="009A0847">
        <w:t xml:space="preserve"> </w:t>
      </w:r>
      <w:r w:rsidR="00107B69">
        <w:t>for</w:t>
      </w:r>
      <w:r w:rsidR="009A0847">
        <w:t xml:space="preserve"> </w:t>
      </w:r>
      <w:r w:rsidR="00507D3D">
        <w:t>the</w:t>
      </w:r>
      <w:r w:rsidR="009A0847">
        <w:t xml:space="preserve"> </w:t>
      </w:r>
      <w:r w:rsidR="00507D3D">
        <w:t>experiment</w:t>
      </w:r>
      <w:r w:rsidR="00546161">
        <w:t>,</w:t>
      </w:r>
      <w:r w:rsidR="009A0847">
        <w:t xml:space="preserve"> </w:t>
      </w:r>
      <w:r w:rsidRPr="001C003C">
        <w:t>we</w:t>
      </w:r>
      <w:r w:rsidR="009A0847">
        <w:t xml:space="preserve"> </w:t>
      </w:r>
      <w:r w:rsidRPr="001C003C">
        <w:t>can</w:t>
      </w:r>
      <w:r w:rsidR="009A0847">
        <w:t xml:space="preserve"> </w:t>
      </w:r>
      <w:r w:rsidRPr="001C003C">
        <w:lastRenderedPageBreak/>
        <w:t>make</w:t>
      </w:r>
      <w:r w:rsidR="009A0847">
        <w:t xml:space="preserve"> </w:t>
      </w:r>
      <w:r w:rsidRPr="001C003C">
        <w:t>the</w:t>
      </w:r>
      <w:r w:rsidR="009A0847">
        <w:t xml:space="preserve"> </w:t>
      </w:r>
      <w:r w:rsidRPr="001C003C">
        <w:t>following</w:t>
      </w:r>
      <w:r w:rsidR="009A0847">
        <w:t xml:space="preserve"> </w:t>
      </w:r>
      <w:r w:rsidRPr="001C003C">
        <w:t>predictions</w:t>
      </w:r>
      <w:r w:rsidR="009A0847">
        <w:t xml:space="preserve"> </w:t>
      </w:r>
      <w:r w:rsidR="00507D3D">
        <w:t>to</w:t>
      </w:r>
      <w:r w:rsidR="009A0847">
        <w:t xml:space="preserve"> </w:t>
      </w:r>
      <w:r w:rsidR="00507D3D">
        <w:t>be</w:t>
      </w:r>
      <w:r w:rsidR="009A0847">
        <w:t xml:space="preserve"> </w:t>
      </w:r>
      <w:r w:rsidR="00507D3D">
        <w:t>tested</w:t>
      </w:r>
      <w:r w:rsidR="009A0847">
        <w:t xml:space="preserve"> </w:t>
      </w:r>
      <w:r w:rsidR="00507D3D">
        <w:t>in</w:t>
      </w:r>
      <w:r w:rsidR="009A0847">
        <w:t xml:space="preserve"> </w:t>
      </w:r>
      <w:r w:rsidR="00507D3D">
        <w:t>the</w:t>
      </w:r>
      <w:r w:rsidR="009A0847">
        <w:t xml:space="preserve"> </w:t>
      </w:r>
      <w:r w:rsidR="00507D3D">
        <w:t>experiment</w:t>
      </w:r>
      <w:r w:rsidRPr="001C003C">
        <w:t>.</w:t>
      </w:r>
    </w:p>
    <w:p w14:paraId="62A31E28" w14:textId="2B134DB2" w:rsidR="00977918" w:rsidRPr="001C003C" w:rsidRDefault="003256AE" w:rsidP="00F86E09">
      <w:pPr>
        <w:pStyle w:val="Olivier1"/>
        <w:widowControl w:val="0"/>
        <w:numPr>
          <w:ilvl w:val="0"/>
          <w:numId w:val="22"/>
        </w:numPr>
        <w:ind w:left="900" w:hanging="270"/>
      </w:pPr>
      <w:r>
        <w:rPr>
          <w:b/>
          <w:i/>
        </w:rPr>
        <w:t>P</w:t>
      </w:r>
      <w:r w:rsidR="00546161" w:rsidRPr="00546161">
        <w:rPr>
          <w:b/>
          <w:i/>
        </w:rPr>
        <w:t>1</w:t>
      </w:r>
      <w:r w:rsidR="009A6CB1" w:rsidRPr="001C003C">
        <w:t>:</w:t>
      </w:r>
      <w:r w:rsidR="009A0847">
        <w:t xml:space="preserve"> </w:t>
      </w:r>
      <w:r w:rsidR="009A6CB1" w:rsidRPr="001C003C">
        <w:t>In</w:t>
      </w:r>
      <w:r w:rsidR="009A0847">
        <w:t xml:space="preserve"> </w:t>
      </w:r>
      <w:r w:rsidR="000E0E3E" w:rsidRPr="001C003C">
        <w:t>every</w:t>
      </w:r>
      <w:r w:rsidR="009A0847">
        <w:t xml:space="preserve"> </w:t>
      </w:r>
      <w:r w:rsidR="000E0E3E" w:rsidRPr="001C003C">
        <w:t>treatment</w:t>
      </w:r>
      <w:r w:rsidR="009A0847">
        <w:t xml:space="preserve"> </w:t>
      </w:r>
      <w:r w:rsidR="009A6CB1" w:rsidRPr="001C003C">
        <w:t>investors</w:t>
      </w:r>
      <w:r w:rsidR="009A0847">
        <w:t xml:space="preserve"> </w:t>
      </w:r>
      <w:r w:rsidR="009A6CB1" w:rsidRPr="001C003C">
        <w:t>fund</w:t>
      </w:r>
      <w:r w:rsidR="009A0847">
        <w:t xml:space="preserve"> </w:t>
      </w:r>
      <w:r w:rsidR="00546161">
        <w:t>only</w:t>
      </w:r>
      <w:r w:rsidR="009A0847">
        <w:t xml:space="preserve"> </w:t>
      </w:r>
      <w:r w:rsidR="009A6CB1" w:rsidRPr="001C003C">
        <w:t>banks</w:t>
      </w:r>
      <w:r w:rsidR="009A0847">
        <w:t xml:space="preserve"> </w:t>
      </w:r>
      <w:r w:rsidR="009A6CB1" w:rsidRPr="001C003C">
        <w:t>not</w:t>
      </w:r>
      <w:r w:rsidR="009A0847">
        <w:t xml:space="preserve"> </w:t>
      </w:r>
      <w:r w:rsidR="009A6CB1" w:rsidRPr="001C003C">
        <w:t>detec</w:t>
      </w:r>
      <w:r w:rsidR="000E0E3E" w:rsidRPr="001C003C">
        <w:t>ted</w:t>
      </w:r>
      <w:r w:rsidR="009A0847">
        <w:t xml:space="preserve"> </w:t>
      </w:r>
      <w:r w:rsidR="000E0E3E" w:rsidRPr="001C003C">
        <w:t>at</w:t>
      </w:r>
      <w:r w:rsidR="009A0847">
        <w:t xml:space="preserve"> </w:t>
      </w:r>
      <w:r w:rsidR="000E0E3E" w:rsidRPr="001C003C">
        <w:t>the</w:t>
      </w:r>
      <w:r w:rsidR="009A0847">
        <w:t xml:space="preserve"> </w:t>
      </w:r>
      <w:r w:rsidR="000E0E3E" w:rsidRPr="001C003C">
        <w:t>DW.</w:t>
      </w:r>
    </w:p>
    <w:p w14:paraId="2B568208" w14:textId="40E23F29" w:rsidR="00977918" w:rsidRPr="001C003C" w:rsidRDefault="003256AE" w:rsidP="00F86E09">
      <w:pPr>
        <w:pStyle w:val="Olivier1"/>
        <w:widowControl w:val="0"/>
        <w:numPr>
          <w:ilvl w:val="0"/>
          <w:numId w:val="22"/>
        </w:numPr>
        <w:ind w:left="900" w:hanging="270"/>
      </w:pPr>
      <w:r>
        <w:rPr>
          <w:b/>
          <w:i/>
        </w:rPr>
        <w:t>P</w:t>
      </w:r>
      <w:r w:rsidRPr="00546161">
        <w:rPr>
          <w:b/>
          <w:i/>
        </w:rPr>
        <w:t>2</w:t>
      </w:r>
      <w:r w:rsidR="00F62564" w:rsidRPr="001C003C">
        <w:t>:</w:t>
      </w:r>
      <w:r w:rsidR="009A0847">
        <w:t xml:space="preserve"> </w:t>
      </w:r>
      <w:r w:rsidR="00F62564" w:rsidRPr="001C003C">
        <w:t>Banks</w:t>
      </w:r>
      <w:r w:rsidR="009A0847">
        <w:t xml:space="preserve"> </w:t>
      </w:r>
      <w:r w:rsidR="00F62564" w:rsidRPr="001C003C">
        <w:t>are</w:t>
      </w:r>
      <w:r w:rsidR="009A0847">
        <w:t xml:space="preserve"> </w:t>
      </w:r>
      <w:r w:rsidR="00F62564" w:rsidRPr="001C003C">
        <w:t>more</w:t>
      </w:r>
      <w:r w:rsidR="009A0847">
        <w:t xml:space="preserve"> </w:t>
      </w:r>
      <w:r w:rsidR="00F62564" w:rsidRPr="001C003C">
        <w:t>likely</w:t>
      </w:r>
      <w:r w:rsidR="009A0847">
        <w:t xml:space="preserve"> </w:t>
      </w:r>
      <w:r w:rsidR="00F62564" w:rsidRPr="001C003C">
        <w:t>to</w:t>
      </w:r>
      <w:r w:rsidR="009A0847">
        <w:t xml:space="preserve"> </w:t>
      </w:r>
      <w:r w:rsidR="00F62564" w:rsidRPr="001C003C">
        <w:t>coordinate</w:t>
      </w:r>
      <w:r w:rsidR="009A0847">
        <w:t xml:space="preserve"> </w:t>
      </w:r>
      <w:r w:rsidR="00F62564" w:rsidRPr="001C003C">
        <w:t>on</w:t>
      </w:r>
      <w:r w:rsidR="009A0847">
        <w:t xml:space="preserve"> </w:t>
      </w:r>
      <w:r w:rsidR="00F62564" w:rsidRPr="001C003C">
        <w:t>the</w:t>
      </w:r>
      <w:r w:rsidR="009A0847">
        <w:t xml:space="preserve"> </w:t>
      </w:r>
      <w:r w:rsidR="009F37EB">
        <w:t>no-stigma</w:t>
      </w:r>
      <w:r w:rsidR="009A0847">
        <w:t xml:space="preserve"> </w:t>
      </w:r>
      <w:r w:rsidR="00F62564" w:rsidRPr="001C003C">
        <w:t>equilibrium</w:t>
      </w:r>
      <w:r w:rsidR="009A0847">
        <w:t xml:space="preserve"> </w:t>
      </w:r>
      <w:r w:rsidR="00F62564" w:rsidRPr="001C003C">
        <w:t>in</w:t>
      </w:r>
      <w:r w:rsidR="009A0847">
        <w:t xml:space="preserve"> </w:t>
      </w:r>
      <w:r w:rsidR="00507D3D">
        <w:t>the</w:t>
      </w:r>
      <w:r w:rsidR="009A0847">
        <w:t xml:space="preserve"> </w:t>
      </w:r>
      <w:r w:rsidR="00507D3D">
        <w:t>l</w:t>
      </w:r>
      <w:r w:rsidR="00F62564" w:rsidRPr="001C003C">
        <w:t>ow</w:t>
      </w:r>
      <w:r w:rsidR="009A0847">
        <w:t xml:space="preserve"> </w:t>
      </w:r>
      <w:r w:rsidR="00F62564" w:rsidRPr="001C003C">
        <w:t>DW</w:t>
      </w:r>
      <w:r w:rsidR="009A0847">
        <w:t xml:space="preserve"> </w:t>
      </w:r>
      <w:r w:rsidR="00F62564" w:rsidRPr="001C003C">
        <w:t>cost</w:t>
      </w:r>
      <w:r w:rsidR="009A0847">
        <w:t xml:space="preserve"> </w:t>
      </w:r>
      <w:r w:rsidR="00B24BC4">
        <w:t>and</w:t>
      </w:r>
      <w:r w:rsidR="009A0847">
        <w:t xml:space="preserve"> </w:t>
      </w:r>
      <w:r w:rsidR="00B24BC4">
        <w:t>low</w:t>
      </w:r>
      <w:r w:rsidR="009A0847">
        <w:t xml:space="preserve"> </w:t>
      </w:r>
      <w:r w:rsidR="00B24BC4">
        <w:t>detection</w:t>
      </w:r>
      <w:r w:rsidR="009A0847">
        <w:t xml:space="preserve"> </w:t>
      </w:r>
      <w:r w:rsidR="00F62564" w:rsidRPr="001C003C">
        <w:t>treatment</w:t>
      </w:r>
      <w:r w:rsidR="00B24BC4">
        <w:t>s</w:t>
      </w:r>
      <w:r w:rsidR="009A0847">
        <w:t xml:space="preserve"> </w:t>
      </w:r>
      <w:r w:rsidR="00F62564" w:rsidRPr="001C003C">
        <w:t>than</w:t>
      </w:r>
      <w:r w:rsidR="009A0847">
        <w:t xml:space="preserve"> </w:t>
      </w:r>
      <w:r w:rsidR="00F62564" w:rsidRPr="001C003C">
        <w:t>in</w:t>
      </w:r>
      <w:r w:rsidR="009A0847">
        <w:t xml:space="preserve"> </w:t>
      </w:r>
      <w:r w:rsidR="00F62564" w:rsidRPr="001C003C">
        <w:t>the</w:t>
      </w:r>
      <w:r w:rsidR="009A0847">
        <w:t xml:space="preserve"> </w:t>
      </w:r>
      <w:r w:rsidR="00F62564" w:rsidRPr="001C003C">
        <w:t>control</w:t>
      </w:r>
      <w:r w:rsidR="009A0847">
        <w:t xml:space="preserve"> </w:t>
      </w:r>
      <w:r w:rsidR="00F62564" w:rsidRPr="001C003C">
        <w:t>treatment</w:t>
      </w:r>
      <w:r w:rsidR="00977918" w:rsidRPr="001C003C">
        <w:t>.</w:t>
      </w:r>
    </w:p>
    <w:p w14:paraId="41B682FE" w14:textId="0A6BE914" w:rsidR="006D1CC1" w:rsidRDefault="003256AE" w:rsidP="00F86E09">
      <w:pPr>
        <w:pStyle w:val="Olivier1"/>
        <w:widowControl w:val="0"/>
        <w:numPr>
          <w:ilvl w:val="0"/>
          <w:numId w:val="22"/>
        </w:numPr>
        <w:ind w:left="900" w:hanging="270"/>
      </w:pPr>
      <w:r>
        <w:rPr>
          <w:b/>
          <w:i/>
        </w:rPr>
        <w:t>P</w:t>
      </w:r>
      <w:r w:rsidRPr="00546161">
        <w:rPr>
          <w:b/>
          <w:i/>
        </w:rPr>
        <w:t>3</w:t>
      </w:r>
      <w:r w:rsidR="00F62564" w:rsidRPr="001C003C">
        <w:t>:</w:t>
      </w:r>
      <w:r w:rsidR="009A0847">
        <w:t xml:space="preserve"> </w:t>
      </w:r>
      <w:r w:rsidR="00F62564" w:rsidRPr="001C003C">
        <w:t>Banks</w:t>
      </w:r>
      <w:r w:rsidR="009A0847">
        <w:t xml:space="preserve"> </w:t>
      </w:r>
      <w:r w:rsidR="00F62564" w:rsidRPr="001C003C">
        <w:t>coordinate</w:t>
      </w:r>
      <w:r w:rsidR="009A0847">
        <w:t xml:space="preserve"> </w:t>
      </w:r>
      <w:r w:rsidR="00F62564" w:rsidRPr="001C003C">
        <w:t>on</w:t>
      </w:r>
      <w:r w:rsidR="009A0847">
        <w:t xml:space="preserve"> </w:t>
      </w:r>
      <w:r w:rsidR="00F62564" w:rsidRPr="001C003C">
        <w:t>the</w:t>
      </w:r>
      <w:r w:rsidR="009A0847">
        <w:t xml:space="preserve"> </w:t>
      </w:r>
      <w:r w:rsidR="009F37EB">
        <w:t>no-stigma</w:t>
      </w:r>
      <w:r w:rsidR="009A0847">
        <w:t xml:space="preserve"> </w:t>
      </w:r>
      <w:r w:rsidR="00F62564" w:rsidRPr="001C003C">
        <w:t>equilibrium</w:t>
      </w:r>
      <w:r w:rsidR="009A0847">
        <w:t xml:space="preserve"> </w:t>
      </w:r>
      <w:r w:rsidR="00F62564" w:rsidRPr="001C003C">
        <w:t>in</w:t>
      </w:r>
      <w:r w:rsidR="009A0847">
        <w:t xml:space="preserve"> </w:t>
      </w:r>
      <w:r w:rsidR="00F62564" w:rsidRPr="001C003C">
        <w:t>the</w:t>
      </w:r>
      <w:r w:rsidR="009A0847">
        <w:t xml:space="preserve"> </w:t>
      </w:r>
      <w:r w:rsidR="00C345EE">
        <w:t>random</w:t>
      </w:r>
      <w:r w:rsidR="009A0847">
        <w:t xml:space="preserve"> </w:t>
      </w:r>
      <w:r w:rsidR="00F62564" w:rsidRPr="001C003C">
        <w:t>borrowing</w:t>
      </w:r>
      <w:r w:rsidR="009A0847">
        <w:t xml:space="preserve"> </w:t>
      </w:r>
      <w:r w:rsidR="00F62564" w:rsidRPr="001C003C">
        <w:t>treatment</w:t>
      </w:r>
      <w:r w:rsidR="00293A60">
        <w:t>.</w:t>
      </w:r>
    </w:p>
    <w:p w14:paraId="1D2FC43E" w14:textId="22F94F47" w:rsidR="0023497B" w:rsidRPr="009F0CDB" w:rsidRDefault="00977918" w:rsidP="00F86E09">
      <w:pPr>
        <w:pStyle w:val="Heading3"/>
        <w:widowControl w:val="0"/>
        <w:spacing w:line="276" w:lineRule="auto"/>
      </w:pPr>
      <w:r>
        <w:t>Additional</w:t>
      </w:r>
      <w:r w:rsidR="009A0847">
        <w:t xml:space="preserve"> </w:t>
      </w:r>
      <w:r>
        <w:t>design</w:t>
      </w:r>
      <w:r w:rsidR="009A0847">
        <w:t xml:space="preserve"> </w:t>
      </w:r>
      <w:r w:rsidR="0023497B">
        <w:t>features</w:t>
      </w:r>
      <w:r w:rsidR="009A0847">
        <w:t xml:space="preserve"> </w:t>
      </w:r>
      <w:r w:rsidR="00DB3EF5">
        <w:t>common</w:t>
      </w:r>
      <w:r w:rsidR="009A0847">
        <w:t xml:space="preserve"> </w:t>
      </w:r>
      <w:r w:rsidR="00DB3EF5">
        <w:t>to</w:t>
      </w:r>
      <w:r w:rsidR="009A0847">
        <w:t xml:space="preserve"> </w:t>
      </w:r>
      <w:r w:rsidR="00DB3EF5">
        <w:t>all</w:t>
      </w:r>
      <w:r w:rsidR="009A0847">
        <w:t xml:space="preserve"> </w:t>
      </w:r>
      <w:r w:rsidR="00DB3EF5">
        <w:t>treatments</w:t>
      </w:r>
    </w:p>
    <w:p w14:paraId="0D2BB858" w14:textId="7D49BC7A" w:rsidR="00E00EC7" w:rsidRPr="001C003C" w:rsidRDefault="00F62564" w:rsidP="00F86E09">
      <w:pPr>
        <w:pStyle w:val="Olivier1"/>
        <w:widowControl w:val="0"/>
      </w:pPr>
      <w:r w:rsidRPr="001C003C">
        <w:t>The</w:t>
      </w:r>
      <w:r w:rsidR="009A0847">
        <w:t xml:space="preserve"> </w:t>
      </w:r>
      <w:r w:rsidRPr="001C003C">
        <w:t>experiment</w:t>
      </w:r>
      <w:r w:rsidR="009A0847">
        <w:t xml:space="preserve"> </w:t>
      </w:r>
      <w:r w:rsidRPr="001C003C">
        <w:t>is</w:t>
      </w:r>
      <w:r w:rsidR="009A0847">
        <w:t xml:space="preserve"> </w:t>
      </w:r>
      <w:r w:rsidRPr="001C003C">
        <w:t>conducted</w:t>
      </w:r>
      <w:r w:rsidR="009A0847">
        <w:t xml:space="preserve"> </w:t>
      </w:r>
      <w:r w:rsidR="00293A60">
        <w:t>under</w:t>
      </w:r>
      <w:r w:rsidR="009A0847">
        <w:t xml:space="preserve"> </w:t>
      </w:r>
      <w:r w:rsidR="00B960C6" w:rsidRPr="001C003C">
        <w:t>the</w:t>
      </w:r>
      <w:r w:rsidR="009A0847">
        <w:t xml:space="preserve"> </w:t>
      </w:r>
      <w:r w:rsidR="00B960C6" w:rsidRPr="001C003C">
        <w:t>strategy</w:t>
      </w:r>
      <w:r w:rsidR="009A0847">
        <w:t xml:space="preserve"> </w:t>
      </w:r>
      <w:r w:rsidR="00B960C6" w:rsidRPr="001C003C">
        <w:t>method</w:t>
      </w:r>
      <w:r w:rsidRPr="001C003C">
        <w:t>.</w:t>
      </w:r>
      <w:r w:rsidR="009A0847">
        <w:t xml:space="preserve"> </w:t>
      </w:r>
      <w:r w:rsidR="00905443" w:rsidRPr="001C003C">
        <w:t>In</w:t>
      </w:r>
      <w:r w:rsidR="009A0847">
        <w:t xml:space="preserve"> </w:t>
      </w:r>
      <w:r w:rsidRPr="001C003C">
        <w:t>each</w:t>
      </w:r>
      <w:r w:rsidR="009A0847">
        <w:t xml:space="preserve"> </w:t>
      </w:r>
      <w:r w:rsidR="00905443" w:rsidRPr="001C003C">
        <w:t>round,</w:t>
      </w:r>
      <w:r w:rsidR="009A0847">
        <w:t xml:space="preserve"> </w:t>
      </w:r>
      <w:r w:rsidRPr="001C003C">
        <w:t>before</w:t>
      </w:r>
      <w:r w:rsidR="009A0847">
        <w:t xml:space="preserve"> </w:t>
      </w:r>
      <w:r w:rsidR="004936DB">
        <w:t>learning</w:t>
      </w:r>
      <w:r w:rsidR="009A0847">
        <w:t xml:space="preserve"> </w:t>
      </w:r>
      <w:r w:rsidR="004936DB">
        <w:t>its</w:t>
      </w:r>
      <w:r w:rsidR="009A0847">
        <w:t xml:space="preserve"> </w:t>
      </w:r>
      <w:r w:rsidRPr="001C003C">
        <w:t>type,</w:t>
      </w:r>
      <w:r w:rsidR="009A0847">
        <w:t xml:space="preserve"> </w:t>
      </w:r>
      <w:r w:rsidR="004936DB">
        <w:t>the</w:t>
      </w:r>
      <w:r w:rsidR="009A0847">
        <w:t xml:space="preserve"> </w:t>
      </w:r>
      <w:r w:rsidR="004936DB">
        <w:t>bank</w:t>
      </w:r>
      <w:r w:rsidR="009A0847">
        <w:t xml:space="preserve"> </w:t>
      </w:r>
      <w:r w:rsidR="00977918" w:rsidRPr="001C003C">
        <w:t>is</w:t>
      </w:r>
      <w:r w:rsidR="009A0847">
        <w:t xml:space="preserve"> </w:t>
      </w:r>
      <w:r w:rsidR="00977918" w:rsidRPr="001C003C">
        <w:t>asked</w:t>
      </w:r>
      <w:r w:rsidR="009A0847">
        <w:t xml:space="preserve"> </w:t>
      </w:r>
      <w:r w:rsidR="00977918" w:rsidRPr="001C003C">
        <w:t>to</w:t>
      </w:r>
      <w:r w:rsidR="009A0847">
        <w:t xml:space="preserve"> </w:t>
      </w:r>
      <w:r w:rsidR="00977918" w:rsidRPr="001C003C">
        <w:t>decide</w:t>
      </w:r>
      <w:r w:rsidR="009A0847">
        <w:t xml:space="preserve"> </w:t>
      </w:r>
      <w:r w:rsidR="00904848" w:rsidRPr="001C003C">
        <w:t>whether</w:t>
      </w:r>
      <w:r w:rsidR="009A0847">
        <w:t xml:space="preserve"> </w:t>
      </w:r>
      <w:r w:rsidR="00546161">
        <w:t>or</w:t>
      </w:r>
      <w:r w:rsidR="009A0847">
        <w:t xml:space="preserve"> </w:t>
      </w:r>
      <w:r w:rsidR="00546161">
        <w:t>not</w:t>
      </w:r>
      <w:r w:rsidR="009A0847">
        <w:t xml:space="preserve"> </w:t>
      </w:r>
      <w:r w:rsidR="00977918" w:rsidRPr="001C003C">
        <w:t>to</w:t>
      </w:r>
      <w:r w:rsidR="009A0847">
        <w:t xml:space="preserve"> </w:t>
      </w:r>
      <w:r w:rsidR="005564EE" w:rsidRPr="001C003C">
        <w:t>borrow</w:t>
      </w:r>
      <w:r w:rsidR="009A0847">
        <w:t xml:space="preserve"> </w:t>
      </w:r>
      <w:r w:rsidR="005564EE" w:rsidRPr="001C003C">
        <w:t>at</w:t>
      </w:r>
      <w:r w:rsidR="009A0847">
        <w:t xml:space="preserve"> </w:t>
      </w:r>
      <w:r w:rsidR="00905443" w:rsidRPr="001C003C">
        <w:t>the</w:t>
      </w:r>
      <w:r w:rsidR="009A0847">
        <w:t xml:space="preserve"> </w:t>
      </w:r>
      <w:r w:rsidR="00905443" w:rsidRPr="001C003C">
        <w:t>DW</w:t>
      </w:r>
      <w:r w:rsidR="009A0847">
        <w:t xml:space="preserve"> </w:t>
      </w:r>
      <w:r w:rsidR="00F702F9">
        <w:t>for</w:t>
      </w:r>
      <w:r w:rsidR="009A0847">
        <w:t xml:space="preserve"> </w:t>
      </w:r>
      <w:r w:rsidR="00F702F9">
        <w:t>both</w:t>
      </w:r>
      <w:r w:rsidR="009A0847">
        <w:t xml:space="preserve"> </w:t>
      </w:r>
      <w:r w:rsidR="00F702F9">
        <w:t>contingencies:</w:t>
      </w:r>
      <w:r w:rsidR="009A0847">
        <w:t xml:space="preserve"> </w:t>
      </w:r>
      <w:r w:rsidR="00F702F9">
        <w:t>if</w:t>
      </w:r>
      <w:r w:rsidR="009A0847">
        <w:t xml:space="preserve"> </w:t>
      </w:r>
      <w:r w:rsidR="001212A3">
        <w:t>solvent-illiquid</w:t>
      </w:r>
      <w:r w:rsidR="009A0847">
        <w:t xml:space="preserve"> </w:t>
      </w:r>
      <w:r w:rsidR="00905443" w:rsidRPr="00F702F9">
        <w:t>and</w:t>
      </w:r>
      <w:r w:rsidR="009A0847">
        <w:t xml:space="preserve"> </w:t>
      </w:r>
      <w:r w:rsidR="00F702F9">
        <w:t>if</w:t>
      </w:r>
      <w:r w:rsidR="009A0847">
        <w:t xml:space="preserve"> </w:t>
      </w:r>
      <w:r w:rsidR="00790803">
        <w:t>insolvent-illiquid</w:t>
      </w:r>
      <w:r w:rsidR="00E00EC7" w:rsidRPr="001C003C">
        <w:t>.</w:t>
      </w:r>
      <w:r w:rsidR="009A0847">
        <w:t xml:space="preserve"> </w:t>
      </w:r>
      <w:r w:rsidR="00E00EC7" w:rsidRPr="001C003C">
        <w:t>Similarly,</w:t>
      </w:r>
      <w:r w:rsidR="009A0847">
        <w:t xml:space="preserve"> </w:t>
      </w:r>
      <w:r w:rsidRPr="001C003C">
        <w:t>before</w:t>
      </w:r>
      <w:r w:rsidR="009A0847">
        <w:t xml:space="preserve"> </w:t>
      </w:r>
      <w:r w:rsidR="004936DB">
        <w:t>learning</w:t>
      </w:r>
      <w:r w:rsidR="009A0847">
        <w:t xml:space="preserve"> </w:t>
      </w:r>
      <w:r w:rsidRPr="001C003C">
        <w:t>whether</w:t>
      </w:r>
      <w:r w:rsidR="009A0847">
        <w:t xml:space="preserve"> </w:t>
      </w:r>
      <w:r w:rsidR="00977918" w:rsidRPr="001C003C">
        <w:t>the</w:t>
      </w:r>
      <w:r w:rsidR="009A0847">
        <w:t xml:space="preserve"> </w:t>
      </w:r>
      <w:r w:rsidRPr="001C003C">
        <w:t>bank</w:t>
      </w:r>
      <w:r w:rsidR="009A0847">
        <w:t xml:space="preserve"> </w:t>
      </w:r>
      <w:r w:rsidRPr="001C003C">
        <w:t>was</w:t>
      </w:r>
      <w:r w:rsidR="009A0847">
        <w:t xml:space="preserve"> </w:t>
      </w:r>
      <w:r w:rsidRPr="001C003C">
        <w:t>seen</w:t>
      </w:r>
      <w:r w:rsidR="009A0847">
        <w:t xml:space="preserve"> </w:t>
      </w:r>
      <w:r w:rsidR="00977918" w:rsidRPr="001C003C">
        <w:t>borrowing</w:t>
      </w:r>
      <w:r w:rsidR="009A0847">
        <w:t xml:space="preserve"> </w:t>
      </w:r>
      <w:r w:rsidR="004936DB">
        <w:t>at</w:t>
      </w:r>
      <w:r w:rsidR="009A0847">
        <w:t xml:space="preserve"> </w:t>
      </w:r>
      <w:r w:rsidR="004936DB">
        <w:t>the</w:t>
      </w:r>
      <w:r w:rsidR="009A0847">
        <w:t xml:space="preserve"> </w:t>
      </w:r>
      <w:r w:rsidR="004936DB">
        <w:t>DW,</w:t>
      </w:r>
      <w:r w:rsidR="009A0847">
        <w:t xml:space="preserve"> </w:t>
      </w:r>
      <w:r w:rsidR="004936DB">
        <w:t>the</w:t>
      </w:r>
      <w:r w:rsidR="009A0847">
        <w:t xml:space="preserve"> </w:t>
      </w:r>
      <w:r w:rsidR="004936DB">
        <w:t>investor</w:t>
      </w:r>
      <w:r w:rsidR="009A0847">
        <w:t xml:space="preserve"> </w:t>
      </w:r>
      <w:r w:rsidRPr="001C003C">
        <w:t>is</w:t>
      </w:r>
      <w:r w:rsidR="009A0847">
        <w:t xml:space="preserve"> </w:t>
      </w:r>
      <w:r w:rsidRPr="001C003C">
        <w:t>asked</w:t>
      </w:r>
      <w:r w:rsidR="009A0847">
        <w:t xml:space="preserve"> </w:t>
      </w:r>
      <w:r w:rsidR="00F702F9">
        <w:t>to</w:t>
      </w:r>
      <w:r w:rsidR="009A0847">
        <w:t xml:space="preserve"> </w:t>
      </w:r>
      <w:r w:rsidR="00F702F9">
        <w:t>make</w:t>
      </w:r>
      <w:r w:rsidR="009A0847">
        <w:t xml:space="preserve"> </w:t>
      </w:r>
      <w:r w:rsidR="00F702F9">
        <w:t>a</w:t>
      </w:r>
      <w:r w:rsidR="009A0847">
        <w:t xml:space="preserve"> </w:t>
      </w:r>
      <w:r w:rsidR="00F702F9">
        <w:t>funding</w:t>
      </w:r>
      <w:r w:rsidR="009A0847">
        <w:t xml:space="preserve"> </w:t>
      </w:r>
      <w:r w:rsidR="00F702F9">
        <w:t>decision</w:t>
      </w:r>
      <w:r w:rsidR="009A0847">
        <w:t xml:space="preserve"> </w:t>
      </w:r>
      <w:r w:rsidR="00F702F9">
        <w:t>for</w:t>
      </w:r>
      <w:r w:rsidR="009A0847">
        <w:t xml:space="preserve"> </w:t>
      </w:r>
      <w:r w:rsidR="00F702F9">
        <w:t>both</w:t>
      </w:r>
      <w:r w:rsidR="009A0847">
        <w:t xml:space="preserve"> </w:t>
      </w:r>
      <w:r w:rsidR="00F702F9">
        <w:t>contingencies:</w:t>
      </w:r>
      <w:r w:rsidR="009A0847">
        <w:t xml:space="preserve"> </w:t>
      </w:r>
      <w:r w:rsidR="00DC5304">
        <w:t>if</w:t>
      </w:r>
      <w:r w:rsidR="009A0847">
        <w:t xml:space="preserve"> </w:t>
      </w:r>
      <w:r w:rsidR="00F702F9">
        <w:t>the</w:t>
      </w:r>
      <w:r w:rsidR="009A0847">
        <w:t xml:space="preserve"> </w:t>
      </w:r>
      <w:r w:rsidR="00B27237">
        <w:t>bank</w:t>
      </w:r>
      <w:r w:rsidR="009A0847">
        <w:t xml:space="preserve"> </w:t>
      </w:r>
      <w:r w:rsidR="00F702F9">
        <w:t>is</w:t>
      </w:r>
      <w:r w:rsidR="009A0847">
        <w:t xml:space="preserve"> </w:t>
      </w:r>
      <w:r w:rsidR="00A14768">
        <w:t>detected</w:t>
      </w:r>
      <w:r w:rsidR="009A0847">
        <w:t xml:space="preserve"> </w:t>
      </w:r>
      <w:r w:rsidR="00546161">
        <w:t>at</w:t>
      </w:r>
      <w:r w:rsidR="009A0847">
        <w:t xml:space="preserve"> </w:t>
      </w:r>
      <w:r w:rsidR="00546161">
        <w:t>the</w:t>
      </w:r>
      <w:r w:rsidR="009A0847">
        <w:t xml:space="preserve"> </w:t>
      </w:r>
      <w:r w:rsidR="00546161">
        <w:t>DW</w:t>
      </w:r>
      <w:r w:rsidR="009A0847">
        <w:t xml:space="preserve"> </w:t>
      </w:r>
      <w:r w:rsidR="00905443" w:rsidRPr="00F702F9">
        <w:t>and</w:t>
      </w:r>
      <w:r w:rsidR="009A0847">
        <w:t xml:space="preserve"> </w:t>
      </w:r>
      <w:r w:rsidR="00DC5304">
        <w:t>if</w:t>
      </w:r>
      <w:r w:rsidR="009A0847">
        <w:t xml:space="preserve"> </w:t>
      </w:r>
      <w:r w:rsidR="00F702F9">
        <w:t>the</w:t>
      </w:r>
      <w:r w:rsidR="009A0847">
        <w:t xml:space="preserve"> </w:t>
      </w:r>
      <w:r w:rsidR="00CD7662">
        <w:t>bank</w:t>
      </w:r>
      <w:r w:rsidR="009A0847">
        <w:t xml:space="preserve"> </w:t>
      </w:r>
      <w:r w:rsidR="00F702F9">
        <w:t>is</w:t>
      </w:r>
      <w:r w:rsidR="009A0847">
        <w:t xml:space="preserve"> </w:t>
      </w:r>
      <w:r w:rsidR="00DC5304">
        <w:t>not</w:t>
      </w:r>
      <w:r w:rsidR="009A0847">
        <w:t xml:space="preserve"> </w:t>
      </w:r>
      <w:r w:rsidR="00DC5304">
        <w:t>detected</w:t>
      </w:r>
      <w:r w:rsidR="00E00EC7" w:rsidRPr="001C003C">
        <w:t>.</w:t>
      </w:r>
      <w:r w:rsidR="009A0847">
        <w:t xml:space="preserve"> </w:t>
      </w:r>
      <w:r w:rsidR="00E00EC7" w:rsidRPr="001C003C">
        <w:t>After</w:t>
      </w:r>
      <w:r w:rsidR="009A0847">
        <w:t xml:space="preserve"> </w:t>
      </w:r>
      <w:r w:rsidR="00E00EC7" w:rsidRPr="001C003C">
        <w:t>decisions</w:t>
      </w:r>
      <w:r w:rsidR="009A0847">
        <w:t xml:space="preserve"> </w:t>
      </w:r>
      <w:r w:rsidR="00E00EC7" w:rsidRPr="001C003C">
        <w:t>are</w:t>
      </w:r>
      <w:r w:rsidR="009A0847">
        <w:t xml:space="preserve"> </w:t>
      </w:r>
      <w:r w:rsidR="00E00EC7" w:rsidRPr="001C003C">
        <w:t>made</w:t>
      </w:r>
      <w:r w:rsidR="009A0847">
        <w:t xml:space="preserve"> </w:t>
      </w:r>
      <w:r w:rsidR="00977918" w:rsidRPr="001C003C">
        <w:t>by</w:t>
      </w:r>
      <w:r w:rsidR="009A0847">
        <w:t xml:space="preserve"> </w:t>
      </w:r>
      <w:r w:rsidR="00977918" w:rsidRPr="001C003C">
        <w:t>both</w:t>
      </w:r>
      <w:r w:rsidR="009A0847">
        <w:t xml:space="preserve"> </w:t>
      </w:r>
      <w:r w:rsidR="00B27237">
        <w:t>players</w:t>
      </w:r>
      <w:r w:rsidR="00E00EC7" w:rsidRPr="001C003C">
        <w:t>,</w:t>
      </w:r>
      <w:r w:rsidR="009A0847">
        <w:t xml:space="preserve"> </w:t>
      </w:r>
      <w:r w:rsidR="00E00EC7" w:rsidRPr="001C003C">
        <w:t>uncertainty</w:t>
      </w:r>
      <w:r w:rsidR="009A0847">
        <w:t xml:space="preserve"> </w:t>
      </w:r>
      <w:r w:rsidR="00977918" w:rsidRPr="001C003C">
        <w:t>(about</w:t>
      </w:r>
      <w:r w:rsidR="009A0847">
        <w:t xml:space="preserve"> </w:t>
      </w:r>
      <w:r w:rsidR="00977918" w:rsidRPr="001C003C">
        <w:t>the</w:t>
      </w:r>
      <w:r w:rsidR="009A0847">
        <w:t xml:space="preserve"> </w:t>
      </w:r>
      <w:r w:rsidR="00977918" w:rsidRPr="001C003C">
        <w:t>bank</w:t>
      </w:r>
      <w:r w:rsidR="00F702F9">
        <w:t>’s</w:t>
      </w:r>
      <w:r w:rsidR="009A0847">
        <w:t xml:space="preserve"> </w:t>
      </w:r>
      <w:r w:rsidR="00F702F9">
        <w:t>type</w:t>
      </w:r>
      <w:r w:rsidR="009A0847">
        <w:t xml:space="preserve"> </w:t>
      </w:r>
      <w:r w:rsidR="00F702F9">
        <w:t>and</w:t>
      </w:r>
      <w:r w:rsidR="009A0847">
        <w:t xml:space="preserve"> </w:t>
      </w:r>
      <w:r w:rsidR="00977918" w:rsidRPr="001C003C">
        <w:t>DW</w:t>
      </w:r>
      <w:r w:rsidR="009A0847">
        <w:t xml:space="preserve"> </w:t>
      </w:r>
      <w:r w:rsidR="00977918" w:rsidRPr="001C003C">
        <w:t>detection)</w:t>
      </w:r>
      <w:r w:rsidR="009A0847">
        <w:t xml:space="preserve"> </w:t>
      </w:r>
      <w:r w:rsidR="00E00EC7" w:rsidRPr="001C003C">
        <w:t>is</w:t>
      </w:r>
      <w:r w:rsidR="009A0847">
        <w:t xml:space="preserve"> </w:t>
      </w:r>
      <w:r w:rsidR="00E00EC7" w:rsidRPr="001C003C">
        <w:t>re</w:t>
      </w:r>
      <w:r w:rsidR="00087B52" w:rsidRPr="001C003C">
        <w:t>solv</w:t>
      </w:r>
      <w:r w:rsidR="00A14768">
        <w:t>ed</w:t>
      </w:r>
      <w:r w:rsidR="009A0847">
        <w:t xml:space="preserve"> </w:t>
      </w:r>
      <w:r w:rsidR="00A14768">
        <w:t>and</w:t>
      </w:r>
      <w:r w:rsidR="009A0847">
        <w:t xml:space="preserve"> </w:t>
      </w:r>
      <w:r w:rsidR="00977918" w:rsidRPr="001C003C">
        <w:t>payoffs</w:t>
      </w:r>
      <w:r w:rsidR="009A0847">
        <w:t xml:space="preserve"> </w:t>
      </w:r>
      <w:r w:rsidR="00977918" w:rsidRPr="001C003C">
        <w:t>are</w:t>
      </w:r>
      <w:r w:rsidR="009A0847">
        <w:t xml:space="preserve"> </w:t>
      </w:r>
      <w:r w:rsidR="00977918" w:rsidRPr="001C003C">
        <w:t>calculated</w:t>
      </w:r>
      <w:r w:rsidR="009A0847">
        <w:t xml:space="preserve"> </w:t>
      </w:r>
      <w:r w:rsidRPr="001C003C">
        <w:t>using</w:t>
      </w:r>
      <w:r w:rsidR="009A0847">
        <w:t xml:space="preserve"> </w:t>
      </w:r>
      <w:r w:rsidRPr="001C003C">
        <w:t>the</w:t>
      </w:r>
      <w:r w:rsidR="009A0847">
        <w:t xml:space="preserve"> </w:t>
      </w:r>
      <w:r w:rsidRPr="001C003C">
        <w:t>subjects’</w:t>
      </w:r>
      <w:r w:rsidR="009A0847">
        <w:t xml:space="preserve"> </w:t>
      </w:r>
      <w:r w:rsidRPr="001C003C">
        <w:t>conditional</w:t>
      </w:r>
      <w:r w:rsidR="009A0847">
        <w:t xml:space="preserve"> </w:t>
      </w:r>
      <w:r w:rsidRPr="001C003C">
        <w:t>choices</w:t>
      </w:r>
      <w:r w:rsidR="00E00EC7" w:rsidRPr="001C003C">
        <w:t>.</w:t>
      </w:r>
      <w:r w:rsidR="009A0847">
        <w:t xml:space="preserve"> </w:t>
      </w:r>
      <w:r w:rsidR="00977918" w:rsidRPr="001C003C">
        <w:t>T</w:t>
      </w:r>
      <w:r w:rsidR="00904848" w:rsidRPr="001C003C">
        <w:t>he</w:t>
      </w:r>
      <w:r w:rsidR="009A0847">
        <w:t xml:space="preserve"> </w:t>
      </w:r>
      <w:r w:rsidR="00904848" w:rsidRPr="001C003C">
        <w:t>main</w:t>
      </w:r>
      <w:r w:rsidR="009A0847">
        <w:t xml:space="preserve"> </w:t>
      </w:r>
      <w:r w:rsidR="00234448" w:rsidRPr="001C003C">
        <w:t>reason</w:t>
      </w:r>
      <w:r w:rsidR="009A0847">
        <w:t xml:space="preserve"> </w:t>
      </w:r>
      <w:r w:rsidR="00234448" w:rsidRPr="001C003C">
        <w:t>for</w:t>
      </w:r>
      <w:r w:rsidR="009A0847">
        <w:t xml:space="preserve"> </w:t>
      </w:r>
      <w:r w:rsidR="00B960C6" w:rsidRPr="001C003C">
        <w:t>using</w:t>
      </w:r>
      <w:r w:rsidR="009A0847">
        <w:t xml:space="preserve"> </w:t>
      </w:r>
      <w:r w:rsidR="00B960C6" w:rsidRPr="001C003C">
        <w:t>the</w:t>
      </w:r>
      <w:r w:rsidR="009A0847">
        <w:t xml:space="preserve"> </w:t>
      </w:r>
      <w:r w:rsidR="00904848" w:rsidRPr="001C003C">
        <w:t>strategy</w:t>
      </w:r>
      <w:r w:rsidR="009A0847">
        <w:t xml:space="preserve"> </w:t>
      </w:r>
      <w:r w:rsidR="00904848" w:rsidRPr="001C003C">
        <w:t>method</w:t>
      </w:r>
      <w:r w:rsidR="009A0847">
        <w:t xml:space="preserve"> </w:t>
      </w:r>
      <w:r w:rsidR="00A14768">
        <w:t>is</w:t>
      </w:r>
      <w:r w:rsidR="009A0847">
        <w:t xml:space="preserve"> </w:t>
      </w:r>
      <w:r w:rsidR="00A14768">
        <w:t>to</w:t>
      </w:r>
      <w:r w:rsidR="009A0847">
        <w:t xml:space="preserve"> </w:t>
      </w:r>
      <w:r w:rsidR="00A14768">
        <w:t>collect</w:t>
      </w:r>
      <w:r w:rsidR="009A0847">
        <w:t xml:space="preserve"> </w:t>
      </w:r>
      <w:r w:rsidR="00A14768">
        <w:t>more</w:t>
      </w:r>
      <w:r w:rsidR="009A0847">
        <w:t xml:space="preserve"> </w:t>
      </w:r>
      <w:r w:rsidR="00A14768">
        <w:t>data.</w:t>
      </w:r>
      <w:r w:rsidR="009A0847">
        <w:t xml:space="preserve"> </w:t>
      </w:r>
      <w:r w:rsidR="00A14768">
        <w:t>This</w:t>
      </w:r>
      <w:r w:rsidR="009A0847">
        <w:t xml:space="preserve"> </w:t>
      </w:r>
      <w:r w:rsidR="00A14768">
        <w:t>is</w:t>
      </w:r>
      <w:r w:rsidR="009A0847">
        <w:t xml:space="preserve"> </w:t>
      </w:r>
      <w:r w:rsidR="00A14768">
        <w:t>especially</w:t>
      </w:r>
      <w:r w:rsidR="009A0847">
        <w:t xml:space="preserve"> </w:t>
      </w:r>
      <w:r w:rsidR="00A14768">
        <w:t>relevant</w:t>
      </w:r>
      <w:r w:rsidR="009A0847">
        <w:t xml:space="preserve"> </w:t>
      </w:r>
      <w:r w:rsidR="00A14768">
        <w:t>in</w:t>
      </w:r>
      <w:r w:rsidR="009A0847">
        <w:t xml:space="preserve"> </w:t>
      </w:r>
      <w:r w:rsidR="00A14768">
        <w:t>this</w:t>
      </w:r>
      <w:r w:rsidR="009A0847">
        <w:t xml:space="preserve"> </w:t>
      </w:r>
      <w:r w:rsidR="00A14768">
        <w:t>experiment</w:t>
      </w:r>
      <w:r w:rsidR="009A0847">
        <w:t xml:space="preserve"> </w:t>
      </w:r>
      <w:r w:rsidR="00A14768">
        <w:t>because</w:t>
      </w:r>
      <w:r w:rsidR="009A0847">
        <w:t xml:space="preserve"> </w:t>
      </w:r>
      <w:r w:rsidR="00234448" w:rsidRPr="001C003C">
        <w:t>half</w:t>
      </w:r>
      <w:r w:rsidR="009A0847">
        <w:t xml:space="preserve"> </w:t>
      </w:r>
      <w:r w:rsidR="00234448" w:rsidRPr="001C003C">
        <w:t>of</w:t>
      </w:r>
      <w:r w:rsidR="009A0847">
        <w:t xml:space="preserve"> </w:t>
      </w:r>
      <w:r w:rsidR="00234448" w:rsidRPr="001C003C">
        <w:t>the</w:t>
      </w:r>
      <w:r w:rsidR="009A0847">
        <w:t xml:space="preserve"> </w:t>
      </w:r>
      <w:r w:rsidR="00234448" w:rsidRPr="001C003C">
        <w:t>banks</w:t>
      </w:r>
      <w:r w:rsidR="009A0847">
        <w:t xml:space="preserve"> </w:t>
      </w:r>
      <w:r w:rsidR="00234448" w:rsidRPr="001C003C">
        <w:t>are</w:t>
      </w:r>
      <w:r w:rsidR="009A0847">
        <w:t xml:space="preserve"> </w:t>
      </w:r>
      <w:r w:rsidR="00234448" w:rsidRPr="001C003C">
        <w:t>solvent</w:t>
      </w:r>
      <w:r w:rsidR="009A0847">
        <w:t xml:space="preserve"> </w:t>
      </w:r>
      <w:r w:rsidR="00546161">
        <w:t>(</w:t>
      </w:r>
      <w:r w:rsidR="00546161" w:rsidRPr="001C003C">
        <w:t>on</w:t>
      </w:r>
      <w:r w:rsidR="009A0847">
        <w:t xml:space="preserve"> </w:t>
      </w:r>
      <w:r w:rsidR="00546161" w:rsidRPr="001C003C">
        <w:t>average</w:t>
      </w:r>
      <w:r w:rsidR="00546161">
        <w:t>)</w:t>
      </w:r>
      <w:r w:rsidR="009A0847">
        <w:t xml:space="preserve"> </w:t>
      </w:r>
      <w:r w:rsidR="00107B69">
        <w:t>in</w:t>
      </w:r>
      <w:r w:rsidR="009A0847">
        <w:t xml:space="preserve"> </w:t>
      </w:r>
      <w:r w:rsidR="00107B69">
        <w:t>each</w:t>
      </w:r>
      <w:r w:rsidR="009A0847">
        <w:t xml:space="preserve"> </w:t>
      </w:r>
      <w:r w:rsidR="00107B69">
        <w:t>round</w:t>
      </w:r>
      <w:r w:rsidR="009A0847">
        <w:t xml:space="preserve"> </w:t>
      </w:r>
      <w:r w:rsidR="00A14768">
        <w:t>and</w:t>
      </w:r>
      <w:r w:rsidR="009A0847">
        <w:t xml:space="preserve"> </w:t>
      </w:r>
      <w:r w:rsidR="00293A60">
        <w:t>therefore</w:t>
      </w:r>
      <w:r w:rsidR="009A0847">
        <w:t xml:space="preserve"> </w:t>
      </w:r>
      <w:r w:rsidR="00A14768">
        <w:t>make</w:t>
      </w:r>
      <w:r w:rsidR="009A0847">
        <w:t xml:space="preserve"> </w:t>
      </w:r>
      <w:r w:rsidR="00A14768">
        <w:t>no</w:t>
      </w:r>
      <w:r w:rsidR="009A0847">
        <w:t xml:space="preserve"> </w:t>
      </w:r>
      <w:r w:rsidR="00A14768">
        <w:t>decision</w:t>
      </w:r>
      <w:r w:rsidR="00234448" w:rsidRPr="001C003C">
        <w:t>.</w:t>
      </w:r>
      <w:r w:rsidR="009A0847">
        <w:t xml:space="preserve"> </w:t>
      </w:r>
    </w:p>
    <w:p w14:paraId="12CD2004" w14:textId="7AD5AD2E" w:rsidR="00AF2CC9" w:rsidRDefault="00977918" w:rsidP="00F86E09">
      <w:pPr>
        <w:pStyle w:val="Olivier1"/>
        <w:widowControl w:val="0"/>
        <w:ind w:firstLine="360"/>
      </w:pPr>
      <w:r w:rsidRPr="001C003C">
        <w:t>To</w:t>
      </w:r>
      <w:r w:rsidR="009A0847">
        <w:t xml:space="preserve"> </w:t>
      </w:r>
      <w:r w:rsidRPr="001C003C">
        <w:t>promote</w:t>
      </w:r>
      <w:r w:rsidR="009A0847">
        <w:t xml:space="preserve"> </w:t>
      </w:r>
      <w:r w:rsidRPr="001C003C">
        <w:t>learning,</w:t>
      </w:r>
      <w:r w:rsidR="009A0847">
        <w:t xml:space="preserve"> </w:t>
      </w:r>
      <w:r w:rsidRPr="001C003C">
        <w:t>w</w:t>
      </w:r>
      <w:r w:rsidR="00C523BB" w:rsidRPr="001C003C">
        <w:t>e</w:t>
      </w:r>
      <w:r w:rsidR="009A0847">
        <w:t xml:space="preserve"> </w:t>
      </w:r>
      <w:r w:rsidR="00C523BB" w:rsidRPr="001C003C">
        <w:t>provide</w:t>
      </w:r>
      <w:r w:rsidR="009A0847">
        <w:t xml:space="preserve"> </w:t>
      </w:r>
      <w:r w:rsidR="00E00EC7" w:rsidRPr="001C003C">
        <w:t>p</w:t>
      </w:r>
      <w:r w:rsidR="00DC5304">
        <w:t>rivate</w:t>
      </w:r>
      <w:r w:rsidR="009A0847">
        <w:t xml:space="preserve"> </w:t>
      </w:r>
      <w:r w:rsidR="00DC5304">
        <w:t>and</w:t>
      </w:r>
      <w:r w:rsidR="009A0847">
        <w:t xml:space="preserve"> </w:t>
      </w:r>
      <w:r w:rsidR="00DC5304">
        <w:t>public</w:t>
      </w:r>
      <w:r w:rsidR="009A0847">
        <w:t xml:space="preserve"> </w:t>
      </w:r>
      <w:r w:rsidR="00E00EC7" w:rsidRPr="001C003C">
        <w:t>feedback</w:t>
      </w:r>
      <w:r w:rsidR="009A0847">
        <w:t xml:space="preserve"> </w:t>
      </w:r>
      <w:r w:rsidR="00E00EC7" w:rsidRPr="001C003C">
        <w:t>bet</w:t>
      </w:r>
      <w:r w:rsidR="007E5EA9">
        <w:t>ween</w:t>
      </w:r>
      <w:r w:rsidR="009A0847">
        <w:t xml:space="preserve"> </w:t>
      </w:r>
      <w:r w:rsidR="007E5EA9">
        <w:t>rounds.</w:t>
      </w:r>
      <w:r w:rsidR="009A0847">
        <w:t xml:space="preserve"> </w:t>
      </w:r>
      <w:r w:rsidR="007E5EA9">
        <w:t>In</w:t>
      </w:r>
      <w:r w:rsidR="009A0847">
        <w:t xml:space="preserve"> </w:t>
      </w:r>
      <w:r w:rsidR="007E5EA9">
        <w:t>particular,</w:t>
      </w:r>
      <w:r w:rsidR="009A0847">
        <w:t xml:space="preserve"> </w:t>
      </w:r>
      <w:r w:rsidR="007E5EA9">
        <w:t>subjects</w:t>
      </w:r>
      <w:r w:rsidR="009A0847">
        <w:t xml:space="preserve"> </w:t>
      </w:r>
      <w:r w:rsidR="007E5EA9">
        <w:t>are</w:t>
      </w:r>
      <w:r w:rsidR="009A0847">
        <w:t xml:space="preserve"> </w:t>
      </w:r>
      <w:r w:rsidR="007E5EA9">
        <w:t>given</w:t>
      </w:r>
      <w:r w:rsidR="009A0847">
        <w:t xml:space="preserve"> </w:t>
      </w:r>
      <w:r w:rsidR="007E5EA9">
        <w:t>all</w:t>
      </w:r>
      <w:r w:rsidR="009A0847">
        <w:t xml:space="preserve"> </w:t>
      </w:r>
      <w:r w:rsidR="00A7436E">
        <w:t>of</w:t>
      </w:r>
      <w:r w:rsidR="009A0847">
        <w:t xml:space="preserve"> </w:t>
      </w:r>
      <w:r w:rsidR="007E5EA9">
        <w:t>the</w:t>
      </w:r>
      <w:r w:rsidR="009A0847">
        <w:t xml:space="preserve"> </w:t>
      </w:r>
      <w:r w:rsidR="007E5EA9">
        <w:t>information</w:t>
      </w:r>
      <w:r w:rsidR="009A0847">
        <w:t xml:space="preserve"> </w:t>
      </w:r>
      <w:r w:rsidR="007E5EA9">
        <w:t>necessary</w:t>
      </w:r>
      <w:r w:rsidR="009A0847">
        <w:t xml:space="preserve"> </w:t>
      </w:r>
      <w:r w:rsidR="007E5EA9">
        <w:t>to</w:t>
      </w:r>
      <w:r w:rsidR="009A0847">
        <w:t xml:space="preserve"> </w:t>
      </w:r>
      <w:r w:rsidR="007E5EA9">
        <w:t>understand</w:t>
      </w:r>
      <w:r w:rsidR="009A0847">
        <w:t xml:space="preserve"> </w:t>
      </w:r>
      <w:r w:rsidR="007E5EA9">
        <w:t>their</w:t>
      </w:r>
      <w:r w:rsidR="009A0847">
        <w:t xml:space="preserve"> </w:t>
      </w:r>
      <w:r w:rsidR="007E5EA9">
        <w:t>payoffs</w:t>
      </w:r>
      <w:r w:rsidR="00DC5304">
        <w:t>.</w:t>
      </w:r>
      <w:r w:rsidR="009A0847">
        <w:t xml:space="preserve"> </w:t>
      </w:r>
      <w:r w:rsidR="00DC5304">
        <w:t>Specifically,</w:t>
      </w:r>
      <w:r w:rsidR="009A0847">
        <w:t xml:space="preserve"> </w:t>
      </w:r>
      <w:r w:rsidR="00A7436E">
        <w:t>each</w:t>
      </w:r>
      <w:r w:rsidR="009A0847">
        <w:t xml:space="preserve"> </w:t>
      </w:r>
      <w:r w:rsidR="00D820F4">
        <w:t>bank</w:t>
      </w:r>
      <w:r w:rsidR="009A0847">
        <w:t xml:space="preserve"> </w:t>
      </w:r>
      <w:r w:rsidR="00D820F4">
        <w:t>is</w:t>
      </w:r>
      <w:r w:rsidR="009A0847">
        <w:t xml:space="preserve"> </w:t>
      </w:r>
      <w:r w:rsidR="00D820F4">
        <w:t>told</w:t>
      </w:r>
      <w:r w:rsidR="009A0847">
        <w:t xml:space="preserve"> </w:t>
      </w:r>
      <w:r w:rsidR="00A7436E">
        <w:t>its</w:t>
      </w:r>
      <w:r w:rsidR="009A0847">
        <w:t xml:space="preserve"> </w:t>
      </w:r>
      <w:r w:rsidR="00A7436E">
        <w:t>type,</w:t>
      </w:r>
      <w:r w:rsidR="009A0847">
        <w:t xml:space="preserve"> </w:t>
      </w:r>
      <w:r w:rsidR="00A7436E">
        <w:t>whether</w:t>
      </w:r>
      <w:r w:rsidR="009A0847">
        <w:t xml:space="preserve"> </w:t>
      </w:r>
      <w:r w:rsidR="00A7436E">
        <w:t>it</w:t>
      </w:r>
      <w:r w:rsidR="009A0847">
        <w:t xml:space="preserve"> </w:t>
      </w:r>
      <w:r w:rsidR="007E5EA9">
        <w:t>was</w:t>
      </w:r>
      <w:r w:rsidR="009A0847">
        <w:t xml:space="preserve"> </w:t>
      </w:r>
      <w:r w:rsidR="007E5EA9">
        <w:t>detected,</w:t>
      </w:r>
      <w:r w:rsidR="009A0847">
        <w:t xml:space="preserve"> </w:t>
      </w:r>
      <w:r w:rsidR="007E5EA9">
        <w:t>and</w:t>
      </w:r>
      <w:r w:rsidR="009A0847">
        <w:t xml:space="preserve"> </w:t>
      </w:r>
      <w:r w:rsidR="007E5EA9">
        <w:t>the</w:t>
      </w:r>
      <w:r w:rsidR="009A0847">
        <w:t xml:space="preserve"> </w:t>
      </w:r>
      <w:r w:rsidR="007E5EA9">
        <w:t>investor’s</w:t>
      </w:r>
      <w:r w:rsidR="009A0847">
        <w:t xml:space="preserve"> </w:t>
      </w:r>
      <w:r w:rsidR="007E5EA9">
        <w:t>funding</w:t>
      </w:r>
      <w:r w:rsidR="009A0847">
        <w:t xml:space="preserve"> </w:t>
      </w:r>
      <w:r w:rsidR="007E5EA9">
        <w:t>decision.</w:t>
      </w:r>
      <w:r w:rsidR="009A0847">
        <w:t xml:space="preserve"> </w:t>
      </w:r>
      <w:r w:rsidR="007E5EA9">
        <w:t>The</w:t>
      </w:r>
      <w:r w:rsidR="009A0847">
        <w:t xml:space="preserve"> </w:t>
      </w:r>
      <w:r w:rsidR="007E5EA9">
        <w:t>investor</w:t>
      </w:r>
      <w:r w:rsidR="009A0847">
        <w:t xml:space="preserve"> </w:t>
      </w:r>
      <w:r w:rsidR="007E5EA9">
        <w:t>is</w:t>
      </w:r>
      <w:r w:rsidR="009A0847">
        <w:t xml:space="preserve"> </w:t>
      </w:r>
      <w:r w:rsidR="007E5EA9">
        <w:t>told</w:t>
      </w:r>
      <w:r w:rsidR="009A0847">
        <w:t xml:space="preserve"> </w:t>
      </w:r>
      <w:r w:rsidR="007E5EA9">
        <w:t>whether</w:t>
      </w:r>
      <w:r w:rsidR="009A0847">
        <w:t xml:space="preserve"> </w:t>
      </w:r>
      <w:r w:rsidR="007E5EA9">
        <w:t>the</w:t>
      </w:r>
      <w:r w:rsidR="009A0847">
        <w:t xml:space="preserve"> </w:t>
      </w:r>
      <w:r w:rsidR="007E5EA9">
        <w:t>bank</w:t>
      </w:r>
      <w:r w:rsidR="009A0847">
        <w:t xml:space="preserve"> </w:t>
      </w:r>
      <w:r w:rsidR="007E5EA9">
        <w:t>was</w:t>
      </w:r>
      <w:r w:rsidR="009A0847">
        <w:t xml:space="preserve"> </w:t>
      </w:r>
      <w:r w:rsidR="007E5EA9">
        <w:t>detected</w:t>
      </w:r>
      <w:r w:rsidR="009A0847">
        <w:t xml:space="preserve"> </w:t>
      </w:r>
      <w:r w:rsidR="007E5EA9">
        <w:t>at</w:t>
      </w:r>
      <w:r w:rsidR="009A0847">
        <w:t xml:space="preserve"> </w:t>
      </w:r>
      <w:r w:rsidR="007E5EA9">
        <w:t>the</w:t>
      </w:r>
      <w:r w:rsidR="009A0847">
        <w:t xml:space="preserve"> </w:t>
      </w:r>
      <w:r w:rsidR="007E5EA9">
        <w:t>DW</w:t>
      </w:r>
      <w:r w:rsidR="009A0847">
        <w:t xml:space="preserve"> </w:t>
      </w:r>
      <w:r w:rsidR="007E5EA9">
        <w:t>and</w:t>
      </w:r>
      <w:r w:rsidR="009A0847">
        <w:t xml:space="preserve"> </w:t>
      </w:r>
      <w:r w:rsidR="007E5EA9">
        <w:t>the</w:t>
      </w:r>
      <w:r w:rsidR="009A0847">
        <w:t xml:space="preserve"> </w:t>
      </w:r>
      <w:r w:rsidR="007E5EA9">
        <w:t>value</w:t>
      </w:r>
      <w:r w:rsidR="009A0847">
        <w:t xml:space="preserve"> </w:t>
      </w:r>
      <w:r w:rsidR="007E5EA9">
        <w:t>of</w:t>
      </w:r>
      <w:r w:rsidR="009A0847">
        <w:t xml:space="preserve"> </w:t>
      </w:r>
      <w:r w:rsidR="007E5EA9">
        <w:t>the</w:t>
      </w:r>
      <w:r w:rsidR="009A0847">
        <w:t xml:space="preserve"> </w:t>
      </w:r>
      <w:r w:rsidR="007E5EA9">
        <w:t>asset</w:t>
      </w:r>
      <w:r w:rsidR="009A0847">
        <w:t xml:space="preserve"> </w:t>
      </w:r>
      <w:r w:rsidR="00D820F4">
        <w:t>(</w:t>
      </w:r>
      <w:r w:rsidR="00A7436E">
        <w:t>if</w:t>
      </w:r>
      <w:r w:rsidR="009A0847">
        <w:t xml:space="preserve"> </w:t>
      </w:r>
      <w:r w:rsidR="00A7436E">
        <w:t>the</w:t>
      </w:r>
      <w:r w:rsidR="009A0847">
        <w:t xml:space="preserve"> </w:t>
      </w:r>
      <w:r w:rsidR="00A7436E">
        <w:t>investor</w:t>
      </w:r>
      <w:r w:rsidR="009A0847">
        <w:t xml:space="preserve"> </w:t>
      </w:r>
      <w:r w:rsidR="00DC5304">
        <w:t>ended</w:t>
      </w:r>
      <w:r w:rsidR="009A0847">
        <w:t xml:space="preserve"> </w:t>
      </w:r>
      <w:r w:rsidR="00DC5304">
        <w:t>up</w:t>
      </w:r>
      <w:r w:rsidR="009A0847">
        <w:t xml:space="preserve"> </w:t>
      </w:r>
      <w:r w:rsidR="007E5EA9">
        <w:t>fund</w:t>
      </w:r>
      <w:r w:rsidR="00DC5304">
        <w:t>ing</w:t>
      </w:r>
      <w:r w:rsidR="009A0847">
        <w:t xml:space="preserve"> </w:t>
      </w:r>
      <w:r w:rsidR="007E5EA9">
        <w:t>the</w:t>
      </w:r>
      <w:r w:rsidR="009A0847">
        <w:t xml:space="preserve"> </w:t>
      </w:r>
      <w:r w:rsidR="007E5EA9">
        <w:t>bank</w:t>
      </w:r>
      <w:r w:rsidR="00D820F4">
        <w:t>)</w:t>
      </w:r>
      <w:r w:rsidR="007E5EA9">
        <w:t>.</w:t>
      </w:r>
      <w:r w:rsidR="009A0847">
        <w:t xml:space="preserve"> </w:t>
      </w:r>
      <w:r w:rsidR="007E5EA9">
        <w:t>In</w:t>
      </w:r>
      <w:r w:rsidR="009A0847">
        <w:t xml:space="preserve"> </w:t>
      </w:r>
      <w:r w:rsidR="007E5EA9">
        <w:t>addition,</w:t>
      </w:r>
      <w:r w:rsidR="009A0847">
        <w:t xml:space="preserve"> </w:t>
      </w:r>
      <w:r w:rsidR="00E00EC7" w:rsidRPr="001C003C">
        <w:t>summary</w:t>
      </w:r>
      <w:r w:rsidR="009A0847">
        <w:t xml:space="preserve"> </w:t>
      </w:r>
      <w:r w:rsidR="00E00EC7" w:rsidRPr="001C003C">
        <w:t>measures</w:t>
      </w:r>
      <w:r w:rsidR="009A0847">
        <w:t xml:space="preserve"> </w:t>
      </w:r>
      <w:r w:rsidR="00E00EC7" w:rsidRPr="001C003C">
        <w:t>about</w:t>
      </w:r>
      <w:r w:rsidR="009A0847">
        <w:t xml:space="preserve"> </w:t>
      </w:r>
      <w:r w:rsidR="009F1D17">
        <w:t>the</w:t>
      </w:r>
      <w:r w:rsidR="009A0847">
        <w:t xml:space="preserve"> </w:t>
      </w:r>
      <w:r w:rsidR="00B27237">
        <w:t>other player</w:t>
      </w:r>
      <w:r w:rsidR="009F1D17">
        <w:t>s</w:t>
      </w:r>
      <w:r w:rsidR="009A0847">
        <w:t xml:space="preserve"> </w:t>
      </w:r>
      <w:r w:rsidR="00D820F4">
        <w:t>are</w:t>
      </w:r>
      <w:r w:rsidR="009A0847">
        <w:t xml:space="preserve"> </w:t>
      </w:r>
      <w:r w:rsidR="00B27237">
        <w:t>provided:</w:t>
      </w:r>
      <w:r w:rsidR="009A0847">
        <w:t xml:space="preserve"> </w:t>
      </w:r>
      <w:r w:rsidR="00D820F4">
        <w:t>Every</w:t>
      </w:r>
      <w:r w:rsidR="009A0847">
        <w:t xml:space="preserve"> </w:t>
      </w:r>
      <w:r w:rsidR="009F1D17">
        <w:t>subject</w:t>
      </w:r>
      <w:r w:rsidR="009A0847">
        <w:t xml:space="preserve"> </w:t>
      </w:r>
      <w:r w:rsidR="009F1D17">
        <w:t>is</w:t>
      </w:r>
      <w:r w:rsidR="009A0847">
        <w:t xml:space="preserve"> </w:t>
      </w:r>
      <w:r w:rsidR="009F1D17">
        <w:t>told</w:t>
      </w:r>
      <w:r w:rsidR="009A0847">
        <w:t xml:space="preserve"> </w:t>
      </w:r>
      <w:r w:rsidR="009F1D17">
        <w:t>t</w:t>
      </w:r>
      <w:r w:rsidR="005564EE" w:rsidRPr="001C003C">
        <w:t>he</w:t>
      </w:r>
      <w:r w:rsidR="009A0847">
        <w:t xml:space="preserve"> </w:t>
      </w:r>
      <w:r w:rsidR="005564EE" w:rsidRPr="001C003C">
        <w:t>proportion</w:t>
      </w:r>
      <w:r w:rsidR="009A0847">
        <w:t xml:space="preserve"> </w:t>
      </w:r>
      <w:r w:rsidR="005564EE" w:rsidRPr="001C003C">
        <w:t>of</w:t>
      </w:r>
      <w:r w:rsidR="009A0847">
        <w:t xml:space="preserve"> </w:t>
      </w:r>
      <w:r w:rsidR="00E00EC7" w:rsidRPr="001C003C">
        <w:t>banks</w:t>
      </w:r>
      <w:r w:rsidR="009A0847">
        <w:t xml:space="preserve"> </w:t>
      </w:r>
      <w:r w:rsidR="005564EE" w:rsidRPr="001C003C">
        <w:t>that</w:t>
      </w:r>
      <w:r w:rsidR="009A0847">
        <w:t xml:space="preserve"> </w:t>
      </w:r>
      <w:r w:rsidR="0023497B" w:rsidRPr="001C003C">
        <w:t>chose</w:t>
      </w:r>
      <w:r w:rsidR="009A0847">
        <w:t xml:space="preserve"> </w:t>
      </w:r>
      <w:r w:rsidR="0023497B" w:rsidRPr="001C003C">
        <w:t>to</w:t>
      </w:r>
      <w:r w:rsidR="009A0847">
        <w:t xml:space="preserve"> </w:t>
      </w:r>
      <w:r w:rsidR="009F1D17">
        <w:t>borrow</w:t>
      </w:r>
      <w:r w:rsidR="009A0847">
        <w:t xml:space="preserve"> </w:t>
      </w:r>
      <w:r w:rsidR="009F1D17">
        <w:t>at</w:t>
      </w:r>
      <w:r w:rsidR="009A0847">
        <w:t xml:space="preserve"> </w:t>
      </w:r>
      <w:r w:rsidR="009F1D17">
        <w:t>the</w:t>
      </w:r>
      <w:r w:rsidR="009A0847">
        <w:t xml:space="preserve"> </w:t>
      </w:r>
      <w:r w:rsidR="009F1D17">
        <w:t>DW</w:t>
      </w:r>
      <w:r w:rsidR="009A0847">
        <w:t xml:space="preserve"> </w:t>
      </w:r>
      <w:r w:rsidR="009F1D17">
        <w:t>when</w:t>
      </w:r>
      <w:r w:rsidR="009A0847">
        <w:t xml:space="preserve"> </w:t>
      </w:r>
      <w:r w:rsidR="001212A3">
        <w:t>solvent-illiquid</w:t>
      </w:r>
      <w:r w:rsidR="009A0847">
        <w:t xml:space="preserve"> </w:t>
      </w:r>
      <w:r w:rsidR="009F1D17">
        <w:t>and</w:t>
      </w:r>
      <w:r w:rsidR="009A0847">
        <w:t xml:space="preserve"> </w:t>
      </w:r>
      <w:r w:rsidR="009F1D17">
        <w:t>when</w:t>
      </w:r>
      <w:r w:rsidR="009A0847">
        <w:t xml:space="preserve"> </w:t>
      </w:r>
      <w:r w:rsidR="00790803">
        <w:t>insolvent-illiquid</w:t>
      </w:r>
      <w:r w:rsidR="009F1D17">
        <w:t>,</w:t>
      </w:r>
      <w:r w:rsidR="009A0847">
        <w:t xml:space="preserve"> </w:t>
      </w:r>
      <w:r w:rsidR="009F1D17">
        <w:t>as</w:t>
      </w:r>
      <w:r w:rsidR="009A0847">
        <w:t xml:space="preserve"> </w:t>
      </w:r>
      <w:r w:rsidR="009F1D17">
        <w:t>well</w:t>
      </w:r>
      <w:r w:rsidR="009A0847">
        <w:t xml:space="preserve"> </w:t>
      </w:r>
      <w:r w:rsidR="009F1D17">
        <w:t>as</w:t>
      </w:r>
      <w:r w:rsidR="009A0847">
        <w:t xml:space="preserve"> </w:t>
      </w:r>
      <w:r w:rsidR="0023497B" w:rsidRPr="001C003C">
        <w:t>the</w:t>
      </w:r>
      <w:r w:rsidR="009A0847">
        <w:t xml:space="preserve"> </w:t>
      </w:r>
      <w:r w:rsidR="0023497B" w:rsidRPr="001C003C">
        <w:t>proportion</w:t>
      </w:r>
      <w:r w:rsidR="009A0847">
        <w:t xml:space="preserve"> </w:t>
      </w:r>
      <w:r w:rsidR="0023497B" w:rsidRPr="001C003C">
        <w:t>of</w:t>
      </w:r>
      <w:r w:rsidR="009A0847">
        <w:t xml:space="preserve"> </w:t>
      </w:r>
      <w:r w:rsidR="0023497B" w:rsidRPr="001C003C">
        <w:t>investors</w:t>
      </w:r>
      <w:r w:rsidR="009A0847">
        <w:t xml:space="preserve"> </w:t>
      </w:r>
      <w:r w:rsidR="0023497B" w:rsidRPr="001C003C">
        <w:t>that</w:t>
      </w:r>
      <w:r w:rsidR="009A0847">
        <w:t xml:space="preserve"> </w:t>
      </w:r>
      <w:r w:rsidR="0023497B" w:rsidRPr="001C003C">
        <w:t>chose</w:t>
      </w:r>
      <w:r w:rsidR="009A0847">
        <w:t xml:space="preserve"> </w:t>
      </w:r>
      <w:r w:rsidR="0023497B" w:rsidRPr="001C003C">
        <w:t>to</w:t>
      </w:r>
      <w:r w:rsidR="009A0847">
        <w:t xml:space="preserve"> </w:t>
      </w:r>
      <w:r w:rsidR="0023497B" w:rsidRPr="001C003C">
        <w:t>fund</w:t>
      </w:r>
      <w:r w:rsidR="009A0847">
        <w:t xml:space="preserve"> </w:t>
      </w:r>
      <w:r w:rsidR="0023497B" w:rsidRPr="001C003C">
        <w:t>a</w:t>
      </w:r>
      <w:r w:rsidR="009A0847">
        <w:t xml:space="preserve"> </w:t>
      </w:r>
      <w:r w:rsidR="0023497B" w:rsidRPr="001C003C">
        <w:t>bank</w:t>
      </w:r>
      <w:r w:rsidR="009A0847">
        <w:t xml:space="preserve"> </w:t>
      </w:r>
      <w:r w:rsidR="0023497B" w:rsidRPr="001C003C">
        <w:t>detected</w:t>
      </w:r>
      <w:r w:rsidR="009A0847">
        <w:t xml:space="preserve"> </w:t>
      </w:r>
      <w:r w:rsidR="0023497B" w:rsidRPr="001C003C">
        <w:t>and</w:t>
      </w:r>
      <w:r w:rsidR="009A0847">
        <w:t xml:space="preserve"> </w:t>
      </w:r>
      <w:r w:rsidR="0023497B" w:rsidRPr="001C003C">
        <w:t>not</w:t>
      </w:r>
      <w:r w:rsidR="009A0847">
        <w:t xml:space="preserve"> </w:t>
      </w:r>
      <w:r w:rsidR="0023497B" w:rsidRPr="001C003C">
        <w:t>detected</w:t>
      </w:r>
      <w:r w:rsidR="009A0847">
        <w:t xml:space="preserve"> </w:t>
      </w:r>
      <w:r w:rsidR="0023497B" w:rsidRPr="001C003C">
        <w:t>at</w:t>
      </w:r>
      <w:r w:rsidR="009A0847">
        <w:t xml:space="preserve"> </w:t>
      </w:r>
      <w:r w:rsidR="0023497B" w:rsidRPr="001C003C">
        <w:t>the</w:t>
      </w:r>
      <w:r w:rsidR="009A0847">
        <w:t xml:space="preserve"> </w:t>
      </w:r>
      <w:r w:rsidR="0023497B" w:rsidRPr="001C003C">
        <w:t>DW.</w:t>
      </w:r>
      <w:r w:rsidR="009A0847">
        <w:t xml:space="preserve">  </w:t>
      </w:r>
    </w:p>
    <w:p w14:paraId="5366C5A1" w14:textId="506A36EA" w:rsidR="00000357" w:rsidRPr="001C003C" w:rsidRDefault="00A45F54" w:rsidP="00F86E09">
      <w:pPr>
        <w:pStyle w:val="Olivier1"/>
        <w:widowControl w:val="0"/>
        <w:ind w:firstLine="360"/>
      </w:pPr>
      <w:r w:rsidRPr="001C003C">
        <w:t>Finally,</w:t>
      </w:r>
      <w:r w:rsidR="009A0847">
        <w:t xml:space="preserve"> </w:t>
      </w:r>
      <w:r w:rsidR="00DA0425">
        <w:t>subjects</w:t>
      </w:r>
      <w:r w:rsidR="009A0847">
        <w:t xml:space="preserve"> </w:t>
      </w:r>
      <w:r w:rsidR="00DA0425">
        <w:t>are</w:t>
      </w:r>
      <w:r w:rsidR="009A0847">
        <w:t xml:space="preserve"> </w:t>
      </w:r>
      <w:r w:rsidR="00DA0425">
        <w:t>given</w:t>
      </w:r>
      <w:r w:rsidR="009A0847">
        <w:t xml:space="preserve"> </w:t>
      </w:r>
      <w:r w:rsidR="00DC5304">
        <w:t>experimental</w:t>
      </w:r>
      <w:r w:rsidR="009A0847">
        <w:t xml:space="preserve"> </w:t>
      </w:r>
      <w:r w:rsidR="00DC5304">
        <w:t>instructions</w:t>
      </w:r>
      <w:r w:rsidR="009A0847">
        <w:t xml:space="preserve"> </w:t>
      </w:r>
      <w:r w:rsidR="00A7436E">
        <w:t>with</w:t>
      </w:r>
      <w:r w:rsidR="009A0847">
        <w:t xml:space="preserve"> </w:t>
      </w:r>
      <w:r w:rsidR="00A7436E">
        <w:t>economic</w:t>
      </w:r>
      <w:r w:rsidR="009A0847">
        <w:t xml:space="preserve"> </w:t>
      </w:r>
      <w:r w:rsidR="00A7436E">
        <w:t>context,</w:t>
      </w:r>
      <w:r w:rsidR="009A0847">
        <w:t xml:space="preserve"> </w:t>
      </w:r>
      <w:r w:rsidR="00A7436E">
        <w:t>with</w:t>
      </w:r>
      <w:r w:rsidR="009A0847">
        <w:t xml:space="preserve"> </w:t>
      </w:r>
      <w:r w:rsidR="00904848" w:rsidRPr="001C003C">
        <w:t>terms</w:t>
      </w:r>
      <w:r w:rsidR="009A0847">
        <w:t xml:space="preserve"> </w:t>
      </w:r>
      <w:r w:rsidR="00904848" w:rsidRPr="001C003C">
        <w:t>like</w:t>
      </w:r>
      <w:r w:rsidR="009A0847">
        <w:t xml:space="preserve"> </w:t>
      </w:r>
      <w:r w:rsidR="00904848" w:rsidRPr="001C003C">
        <w:t>“bank,”</w:t>
      </w:r>
      <w:r w:rsidR="009A0847">
        <w:t xml:space="preserve"> </w:t>
      </w:r>
      <w:r w:rsidRPr="001C003C">
        <w:t>“investor,”</w:t>
      </w:r>
      <w:r w:rsidR="009A0847">
        <w:t xml:space="preserve"> </w:t>
      </w:r>
      <w:r w:rsidR="005564EE" w:rsidRPr="001C003C">
        <w:t>“insolvent,”</w:t>
      </w:r>
      <w:r w:rsidR="009A0847">
        <w:t xml:space="preserve"> </w:t>
      </w:r>
      <w:r w:rsidR="00904848" w:rsidRPr="001C003C">
        <w:t>and</w:t>
      </w:r>
      <w:r w:rsidR="009A0847">
        <w:t xml:space="preserve"> </w:t>
      </w:r>
      <w:r w:rsidR="005564EE" w:rsidRPr="001C003C">
        <w:t>“illiquid</w:t>
      </w:r>
      <w:r w:rsidR="00476427" w:rsidRPr="001C003C">
        <w:t>.</w:t>
      </w:r>
      <w:r w:rsidR="005564EE" w:rsidRPr="001C003C">
        <w:t>”</w:t>
      </w:r>
      <w:r w:rsidR="009A0847">
        <w:t xml:space="preserve"> </w:t>
      </w:r>
      <w:r w:rsidR="00476427" w:rsidRPr="001C003C">
        <w:t>However,</w:t>
      </w:r>
      <w:r w:rsidR="009A0847">
        <w:t xml:space="preserve"> </w:t>
      </w:r>
      <w:r w:rsidR="009F1D17">
        <w:t>we</w:t>
      </w:r>
      <w:r w:rsidR="009A0847">
        <w:t xml:space="preserve"> </w:t>
      </w:r>
      <w:r w:rsidR="009F1D17">
        <w:t>did</w:t>
      </w:r>
      <w:r w:rsidR="009A0847">
        <w:t xml:space="preserve"> </w:t>
      </w:r>
      <w:r w:rsidR="009F1D17">
        <w:t>no</w:t>
      </w:r>
      <w:r w:rsidR="00A7436E">
        <w:t>t</w:t>
      </w:r>
      <w:r w:rsidR="009A0847">
        <w:t xml:space="preserve"> </w:t>
      </w:r>
      <w:r w:rsidR="009F1D17">
        <w:t>refer</w:t>
      </w:r>
      <w:r w:rsidR="009A0847">
        <w:t xml:space="preserve"> </w:t>
      </w:r>
      <w:r w:rsidR="009F1D17">
        <w:t>to</w:t>
      </w:r>
      <w:r w:rsidR="009A0847">
        <w:t xml:space="preserve"> </w:t>
      </w:r>
      <w:r w:rsidR="009F1D17">
        <w:t>the</w:t>
      </w:r>
      <w:r w:rsidR="009A0847">
        <w:t xml:space="preserve"> </w:t>
      </w:r>
      <w:r w:rsidR="0023497B" w:rsidRPr="001C003C">
        <w:t>“discount</w:t>
      </w:r>
      <w:r w:rsidR="009A0847">
        <w:t xml:space="preserve"> </w:t>
      </w:r>
      <w:r w:rsidR="0023497B" w:rsidRPr="001C003C">
        <w:t>window”</w:t>
      </w:r>
      <w:r w:rsidR="009A0847">
        <w:t xml:space="preserve"> </w:t>
      </w:r>
      <w:r w:rsidR="0023497B" w:rsidRPr="001C003C">
        <w:t>because</w:t>
      </w:r>
      <w:r w:rsidR="009A0847">
        <w:t xml:space="preserve"> </w:t>
      </w:r>
      <w:r w:rsidR="0023497B" w:rsidRPr="001C003C">
        <w:t>we</w:t>
      </w:r>
      <w:r w:rsidR="009A0847">
        <w:t xml:space="preserve"> </w:t>
      </w:r>
      <w:r w:rsidR="0023497B" w:rsidRPr="001C003C">
        <w:t>were</w:t>
      </w:r>
      <w:r w:rsidR="009A0847">
        <w:t xml:space="preserve"> </w:t>
      </w:r>
      <w:r w:rsidR="0023497B" w:rsidRPr="001C003C">
        <w:t>concerned</w:t>
      </w:r>
      <w:r w:rsidR="009A0847">
        <w:t xml:space="preserve"> </w:t>
      </w:r>
      <w:r w:rsidR="0023497B" w:rsidRPr="001C003C">
        <w:t>it</w:t>
      </w:r>
      <w:r w:rsidR="009A0847">
        <w:t xml:space="preserve"> </w:t>
      </w:r>
      <w:r w:rsidR="0023497B" w:rsidRPr="001C003C">
        <w:t>would</w:t>
      </w:r>
      <w:r w:rsidR="009A0847">
        <w:t xml:space="preserve"> </w:t>
      </w:r>
      <w:r w:rsidR="0023497B" w:rsidRPr="001C003C">
        <w:t>not</w:t>
      </w:r>
      <w:r w:rsidR="009A0847">
        <w:t xml:space="preserve"> </w:t>
      </w:r>
      <w:r w:rsidR="0023497B" w:rsidRPr="001C003C">
        <w:t>be</w:t>
      </w:r>
      <w:r w:rsidR="009A0847">
        <w:t xml:space="preserve"> </w:t>
      </w:r>
      <w:r w:rsidR="0023497B" w:rsidRPr="001C003C">
        <w:t>intuitive</w:t>
      </w:r>
      <w:r w:rsidR="009F1D17">
        <w:t>.</w:t>
      </w:r>
      <w:r w:rsidR="009A0847">
        <w:t xml:space="preserve"> </w:t>
      </w:r>
      <w:r w:rsidR="009F1D17">
        <w:t>Instead,</w:t>
      </w:r>
      <w:r w:rsidR="009A0847">
        <w:t xml:space="preserve"> </w:t>
      </w:r>
      <w:r w:rsidR="009F1D17">
        <w:t>subjec</w:t>
      </w:r>
      <w:r w:rsidR="0023497B" w:rsidRPr="001C003C">
        <w:t>t</w:t>
      </w:r>
      <w:r w:rsidR="009F1D17">
        <w:t>s</w:t>
      </w:r>
      <w:r w:rsidR="009A0847">
        <w:t xml:space="preserve"> </w:t>
      </w:r>
      <w:r w:rsidR="0023497B" w:rsidRPr="001C003C">
        <w:t>are</w:t>
      </w:r>
      <w:r w:rsidR="009A0847">
        <w:t xml:space="preserve"> </w:t>
      </w:r>
      <w:r w:rsidR="0023497B" w:rsidRPr="001C003C">
        <w:t>told</w:t>
      </w:r>
      <w:r w:rsidR="009A0847">
        <w:t xml:space="preserve"> </w:t>
      </w:r>
      <w:r w:rsidR="0023497B" w:rsidRPr="001C003C">
        <w:t>they</w:t>
      </w:r>
      <w:r w:rsidR="009A0847">
        <w:t xml:space="preserve"> </w:t>
      </w:r>
      <w:r w:rsidR="0023497B" w:rsidRPr="001C003C">
        <w:t>can</w:t>
      </w:r>
      <w:r w:rsidR="009A0847">
        <w:t xml:space="preserve"> </w:t>
      </w:r>
      <w:r w:rsidR="0023497B" w:rsidRPr="001C003C">
        <w:t>borrow</w:t>
      </w:r>
      <w:r w:rsidR="009A0847">
        <w:t xml:space="preserve"> </w:t>
      </w:r>
      <w:r w:rsidR="0023497B" w:rsidRPr="001C003C">
        <w:t>from</w:t>
      </w:r>
      <w:r w:rsidR="009A0847">
        <w:t xml:space="preserve"> </w:t>
      </w:r>
      <w:r w:rsidR="0023497B" w:rsidRPr="001C003C">
        <w:t>“th</w:t>
      </w:r>
      <w:r w:rsidR="00546161">
        <w:t>e</w:t>
      </w:r>
      <w:r w:rsidR="009A0847">
        <w:t xml:space="preserve"> </w:t>
      </w:r>
      <w:r w:rsidR="00A7691C">
        <w:t>central</w:t>
      </w:r>
      <w:r w:rsidR="009A0847">
        <w:t xml:space="preserve"> </w:t>
      </w:r>
      <w:r w:rsidR="00A7691C">
        <w:t>bank</w:t>
      </w:r>
      <w:r w:rsidR="009A0847">
        <w:t xml:space="preserve"> </w:t>
      </w:r>
      <w:r w:rsidR="00546161">
        <w:t>in</w:t>
      </w:r>
      <w:r w:rsidR="009A0847">
        <w:t xml:space="preserve"> </w:t>
      </w:r>
      <w:r w:rsidR="00546161">
        <w:t>its</w:t>
      </w:r>
      <w:r w:rsidR="009A0847">
        <w:t xml:space="preserve"> </w:t>
      </w:r>
      <w:r w:rsidR="00546161">
        <w:t>role</w:t>
      </w:r>
      <w:r w:rsidR="009A0847">
        <w:t xml:space="preserve"> </w:t>
      </w:r>
      <w:r w:rsidR="00546161">
        <w:t>as</w:t>
      </w:r>
      <w:r w:rsidR="009A0847">
        <w:t xml:space="preserve"> </w:t>
      </w:r>
      <w:r w:rsidR="00546161">
        <w:t>the</w:t>
      </w:r>
      <w:r w:rsidR="009A0847">
        <w:t xml:space="preserve"> </w:t>
      </w:r>
      <w:r w:rsidR="0023497B" w:rsidRPr="001C003C">
        <w:t>lender-of-l</w:t>
      </w:r>
      <w:r w:rsidR="009F1D17">
        <w:t>a</w:t>
      </w:r>
      <w:r w:rsidR="0060281B">
        <w:t>st-resort</w:t>
      </w:r>
      <w:r w:rsidR="009F1D17">
        <w:t>”</w:t>
      </w:r>
      <w:r w:rsidR="0060281B">
        <w:t xml:space="preserve"> (see Appendix 3).</w:t>
      </w:r>
      <w:r w:rsidR="000E2330">
        <w:rPr>
          <w:rStyle w:val="FootnoteReference"/>
        </w:rPr>
        <w:footnoteReference w:id="26"/>
      </w:r>
    </w:p>
    <w:p w14:paraId="1A021056" w14:textId="6029F485" w:rsidR="00436E47" w:rsidRPr="00107B69" w:rsidRDefault="00DC5304" w:rsidP="00F86E09">
      <w:pPr>
        <w:pStyle w:val="Heading1"/>
        <w:widowControl w:val="0"/>
        <w:spacing w:line="276" w:lineRule="auto"/>
        <w:rPr>
          <w:rFonts w:ascii="Times New Roman" w:hAnsi="Times New Roman" w:cs="Times New Roman"/>
          <w:szCs w:val="26"/>
        </w:rPr>
      </w:pPr>
      <w:r>
        <w:t>4</w:t>
      </w:r>
      <w:r w:rsidR="00A7436E">
        <w:t>.</w:t>
      </w:r>
      <w:r w:rsidR="009A0847">
        <w:t xml:space="preserve"> </w:t>
      </w:r>
      <w:r w:rsidR="00A7436E">
        <w:t>Experiment</w:t>
      </w:r>
      <w:r w:rsidR="009A0847">
        <w:t xml:space="preserve"> </w:t>
      </w:r>
      <w:r w:rsidR="00671277">
        <w:t>Results</w:t>
      </w:r>
    </w:p>
    <w:p w14:paraId="03ECDB45" w14:textId="188F553C" w:rsidR="0038793D" w:rsidRDefault="0038793D" w:rsidP="00F86E09">
      <w:pPr>
        <w:pStyle w:val="Heading3"/>
        <w:widowControl w:val="0"/>
        <w:spacing w:line="276" w:lineRule="auto"/>
      </w:pPr>
      <w:r>
        <w:t>The</w:t>
      </w:r>
      <w:r w:rsidR="009A0847">
        <w:t xml:space="preserve"> </w:t>
      </w:r>
      <w:r>
        <w:t>control</w:t>
      </w:r>
      <w:r w:rsidR="009A0847">
        <w:t xml:space="preserve"> </w:t>
      </w:r>
      <w:r>
        <w:t>treatment</w:t>
      </w:r>
    </w:p>
    <w:p w14:paraId="32DDAAE4" w14:textId="77777777" w:rsidR="005B5956" w:rsidRDefault="0042118B" w:rsidP="005B5956">
      <w:pPr>
        <w:pStyle w:val="Olivier1"/>
        <w:spacing w:after="0" w:line="240" w:lineRule="auto"/>
      </w:pPr>
      <w:r w:rsidRPr="001D4529">
        <w:t>Figure</w:t>
      </w:r>
      <w:r w:rsidR="009A0847">
        <w:t xml:space="preserve"> </w:t>
      </w:r>
      <w:r w:rsidRPr="001D4529">
        <w:t>1</w:t>
      </w:r>
      <w:r w:rsidR="009A0847">
        <w:t xml:space="preserve"> </w:t>
      </w:r>
      <w:r w:rsidR="00A7436E">
        <w:t>shows</w:t>
      </w:r>
      <w:r w:rsidR="009A0847">
        <w:t xml:space="preserve"> </w:t>
      </w:r>
      <w:r w:rsidR="00107B69">
        <w:t>the</w:t>
      </w:r>
      <w:r w:rsidR="009A0847">
        <w:t xml:space="preserve"> </w:t>
      </w:r>
      <w:r w:rsidRPr="001D4529">
        <w:t>b</w:t>
      </w:r>
      <w:r w:rsidR="00107B69">
        <w:t>anks’</w:t>
      </w:r>
      <w:r w:rsidR="009A0847">
        <w:t xml:space="preserve"> </w:t>
      </w:r>
      <w:r w:rsidR="00107B69">
        <w:t>and</w:t>
      </w:r>
      <w:r w:rsidR="009A0847">
        <w:t xml:space="preserve"> </w:t>
      </w:r>
      <w:r w:rsidRPr="001D4529">
        <w:t>investors</w:t>
      </w:r>
      <w:r w:rsidR="008639F0" w:rsidRPr="001D4529">
        <w:t>’</w:t>
      </w:r>
      <w:r w:rsidR="009A0847">
        <w:t xml:space="preserve"> </w:t>
      </w:r>
      <w:r w:rsidR="008639F0" w:rsidRPr="001D4529">
        <w:t>behavior</w:t>
      </w:r>
      <w:r w:rsidR="00107B69">
        <w:t>s</w:t>
      </w:r>
      <w:r w:rsidR="009A0847">
        <w:t xml:space="preserve"> </w:t>
      </w:r>
      <w:r w:rsidR="00107B69">
        <w:t>in</w:t>
      </w:r>
      <w:r w:rsidR="009A0847">
        <w:t xml:space="preserve"> </w:t>
      </w:r>
      <w:r w:rsidRPr="001D4529">
        <w:t>the</w:t>
      </w:r>
      <w:r w:rsidR="009A0847">
        <w:t xml:space="preserve"> </w:t>
      </w:r>
      <w:r w:rsidRPr="001D4529">
        <w:t>control</w:t>
      </w:r>
      <w:r w:rsidR="009A0847">
        <w:t xml:space="preserve"> </w:t>
      </w:r>
      <w:r w:rsidRPr="001D4529">
        <w:t>treatment.</w:t>
      </w:r>
      <w:r w:rsidR="009A0847">
        <w:t xml:space="preserve"> </w:t>
      </w:r>
      <w:r w:rsidR="00107B69">
        <w:t>The</w:t>
      </w:r>
      <w:r w:rsidR="009A0847">
        <w:t xml:space="preserve"> </w:t>
      </w:r>
      <w:r w:rsidR="00077CA1">
        <w:t>left</w:t>
      </w:r>
      <w:r w:rsidR="009A0847">
        <w:t xml:space="preserve"> </w:t>
      </w:r>
      <w:r w:rsidRPr="001D4529">
        <w:t>panel</w:t>
      </w:r>
      <w:r w:rsidR="009A0847">
        <w:t xml:space="preserve"> </w:t>
      </w:r>
      <w:r w:rsidRPr="001D4529">
        <w:t>displays</w:t>
      </w:r>
      <w:r w:rsidR="009A0847">
        <w:t xml:space="preserve"> </w:t>
      </w:r>
      <w:r w:rsidRPr="001D4529">
        <w:t>the</w:t>
      </w:r>
      <w:r w:rsidR="009A0847">
        <w:t xml:space="preserve"> </w:t>
      </w:r>
      <w:r w:rsidRPr="001D4529">
        <w:t>percentage</w:t>
      </w:r>
      <w:r w:rsidR="009A0847">
        <w:t xml:space="preserve"> </w:t>
      </w:r>
      <w:r w:rsidRPr="001D4529">
        <w:t>of</w:t>
      </w:r>
      <w:r w:rsidR="009A0847">
        <w:t xml:space="preserve"> </w:t>
      </w:r>
      <w:r w:rsidRPr="001D4529">
        <w:t>investors</w:t>
      </w:r>
      <w:r w:rsidR="009A0847">
        <w:t xml:space="preserve"> </w:t>
      </w:r>
      <w:r w:rsidR="0021639A" w:rsidRPr="001D4529">
        <w:t>(averaged</w:t>
      </w:r>
      <w:r w:rsidR="009A0847">
        <w:t xml:space="preserve"> </w:t>
      </w:r>
      <w:r w:rsidR="0021639A" w:rsidRPr="001D4529">
        <w:t>across</w:t>
      </w:r>
      <w:r w:rsidR="009A0847">
        <w:t xml:space="preserve"> </w:t>
      </w:r>
      <w:r w:rsidR="0021639A" w:rsidRPr="001D4529">
        <w:t>the</w:t>
      </w:r>
      <w:r w:rsidR="009A0847">
        <w:t xml:space="preserve"> </w:t>
      </w:r>
      <w:r w:rsidR="0021639A" w:rsidRPr="001D4529">
        <w:t>6</w:t>
      </w:r>
      <w:r w:rsidR="009A0847">
        <w:t xml:space="preserve"> </w:t>
      </w:r>
      <w:r w:rsidR="0021639A" w:rsidRPr="001D4529">
        <w:t>sessions)</w:t>
      </w:r>
      <w:r w:rsidR="009A0847">
        <w:t xml:space="preserve"> </w:t>
      </w:r>
      <w:r w:rsidRPr="001D4529">
        <w:t>that</w:t>
      </w:r>
      <w:r w:rsidR="009A0847">
        <w:t xml:space="preserve"> </w:t>
      </w:r>
      <w:r w:rsidRPr="001D4529">
        <w:t>cho</w:t>
      </w:r>
      <w:r w:rsidR="00077CA1">
        <w:t>ose</w:t>
      </w:r>
      <w:r w:rsidR="009A0847">
        <w:t xml:space="preserve"> </w:t>
      </w:r>
      <w:r w:rsidR="00077CA1">
        <w:t>to</w:t>
      </w:r>
      <w:r w:rsidR="009A0847">
        <w:t xml:space="preserve"> </w:t>
      </w:r>
      <w:r w:rsidR="00077CA1">
        <w:t>fund</w:t>
      </w:r>
      <w:r w:rsidR="009A0847">
        <w:t xml:space="preserve"> </w:t>
      </w:r>
      <w:r w:rsidR="00077CA1">
        <w:t>banks</w:t>
      </w:r>
      <w:r w:rsidR="009A0847">
        <w:t xml:space="preserve"> </w:t>
      </w:r>
      <w:r w:rsidR="00077CA1">
        <w:t>detected</w:t>
      </w:r>
      <w:r w:rsidR="009A0847">
        <w:t xml:space="preserve"> </w:t>
      </w:r>
      <w:r w:rsidRPr="001D4529">
        <w:t>and</w:t>
      </w:r>
      <w:r w:rsidR="009A0847">
        <w:t xml:space="preserve"> </w:t>
      </w:r>
      <w:r w:rsidRPr="001D4529">
        <w:t>not</w:t>
      </w:r>
      <w:r w:rsidR="009A0847">
        <w:t xml:space="preserve"> </w:t>
      </w:r>
      <w:r w:rsidRPr="001D4529">
        <w:t>detected</w:t>
      </w:r>
      <w:r w:rsidR="009A0847">
        <w:t xml:space="preserve"> </w:t>
      </w:r>
      <w:r w:rsidRPr="001D4529">
        <w:t>at</w:t>
      </w:r>
      <w:r w:rsidR="009A0847">
        <w:t xml:space="preserve"> </w:t>
      </w:r>
      <w:r w:rsidRPr="001D4529">
        <w:t>the</w:t>
      </w:r>
      <w:r w:rsidR="009A0847">
        <w:t xml:space="preserve"> </w:t>
      </w:r>
      <w:r w:rsidRPr="001D4529">
        <w:t>DW</w:t>
      </w:r>
      <w:r w:rsidR="009A0847">
        <w:t xml:space="preserve"> </w:t>
      </w:r>
      <w:r w:rsidR="0021639A">
        <w:t>in</w:t>
      </w:r>
      <w:r w:rsidR="009A0847">
        <w:t xml:space="preserve"> </w:t>
      </w:r>
      <w:r w:rsidR="0021639A">
        <w:t>each</w:t>
      </w:r>
      <w:r w:rsidR="009A0847">
        <w:t xml:space="preserve"> </w:t>
      </w:r>
      <w:r w:rsidR="0021639A">
        <w:t>round</w:t>
      </w:r>
      <w:r w:rsidRPr="001D4529">
        <w:t>.</w:t>
      </w:r>
      <w:r w:rsidR="009A0847">
        <w:t xml:space="preserve"> </w:t>
      </w:r>
      <w:r w:rsidR="00077CA1">
        <w:t>The</w:t>
      </w:r>
      <w:r w:rsidR="009A0847">
        <w:t xml:space="preserve"> </w:t>
      </w:r>
      <w:r w:rsidR="00077CA1">
        <w:t>right</w:t>
      </w:r>
      <w:r w:rsidR="009A0847">
        <w:t xml:space="preserve"> </w:t>
      </w:r>
      <w:r w:rsidR="0021639A">
        <w:t>panel</w:t>
      </w:r>
      <w:r w:rsidR="009A0847">
        <w:t xml:space="preserve"> </w:t>
      </w:r>
      <w:r w:rsidR="0021639A" w:rsidRPr="001D4529">
        <w:t>display</w:t>
      </w:r>
      <w:r w:rsidR="0021639A">
        <w:t>s</w:t>
      </w:r>
      <w:r w:rsidR="009A0847">
        <w:t xml:space="preserve"> </w:t>
      </w:r>
      <w:r w:rsidR="0021639A" w:rsidRPr="001D4529">
        <w:t>the</w:t>
      </w:r>
      <w:r w:rsidR="009A0847">
        <w:t xml:space="preserve"> </w:t>
      </w:r>
      <w:r w:rsidR="0021639A" w:rsidRPr="001D4529">
        <w:t>percentage</w:t>
      </w:r>
      <w:r w:rsidR="009A0847">
        <w:t xml:space="preserve"> </w:t>
      </w:r>
      <w:r w:rsidR="0021639A" w:rsidRPr="001D4529">
        <w:t>of</w:t>
      </w:r>
      <w:r w:rsidR="009A0847">
        <w:t xml:space="preserve"> </w:t>
      </w:r>
      <w:r w:rsidR="0021639A" w:rsidRPr="001D4529">
        <w:t>banks</w:t>
      </w:r>
      <w:r w:rsidR="009A0847">
        <w:t xml:space="preserve"> </w:t>
      </w:r>
      <w:r w:rsidR="0021639A" w:rsidRPr="001D4529">
        <w:t>that</w:t>
      </w:r>
      <w:r w:rsidR="009A0847">
        <w:t xml:space="preserve"> </w:t>
      </w:r>
      <w:r w:rsidR="0021639A" w:rsidRPr="001D4529">
        <w:t>choose</w:t>
      </w:r>
      <w:r w:rsidR="009A0847">
        <w:t xml:space="preserve"> </w:t>
      </w:r>
      <w:r w:rsidR="0021639A" w:rsidRPr="001D4529">
        <w:t>to</w:t>
      </w:r>
      <w:r w:rsidR="009A0847">
        <w:t xml:space="preserve"> </w:t>
      </w:r>
      <w:r w:rsidR="0021639A" w:rsidRPr="001D4529">
        <w:t>borrow</w:t>
      </w:r>
      <w:r w:rsidR="009A0847">
        <w:t xml:space="preserve"> </w:t>
      </w:r>
      <w:r w:rsidR="0021639A" w:rsidRPr="001D4529">
        <w:t>at</w:t>
      </w:r>
      <w:r w:rsidR="009A0847">
        <w:t xml:space="preserve"> </w:t>
      </w:r>
      <w:r w:rsidR="0021639A" w:rsidRPr="001D4529">
        <w:t>the</w:t>
      </w:r>
      <w:r w:rsidR="009A0847">
        <w:t xml:space="preserve"> </w:t>
      </w:r>
      <w:r w:rsidR="0021639A" w:rsidRPr="001D4529">
        <w:t>DW</w:t>
      </w:r>
      <w:r w:rsidR="009A0847">
        <w:t xml:space="preserve"> </w:t>
      </w:r>
      <w:r w:rsidR="0021639A" w:rsidRPr="001D4529">
        <w:t>when</w:t>
      </w:r>
      <w:r w:rsidR="009A0847">
        <w:t xml:space="preserve"> </w:t>
      </w:r>
      <w:r w:rsidR="001212A3">
        <w:t>solvent-illiquid</w:t>
      </w:r>
      <w:r w:rsidR="009A0847">
        <w:t xml:space="preserve"> </w:t>
      </w:r>
      <w:r w:rsidR="0021639A" w:rsidRPr="001D4529">
        <w:t>and</w:t>
      </w:r>
      <w:r w:rsidR="009A0847">
        <w:t xml:space="preserve"> </w:t>
      </w:r>
      <w:r w:rsidR="0021639A" w:rsidRPr="001D4529">
        <w:t>when</w:t>
      </w:r>
      <w:r w:rsidR="009A0847">
        <w:t xml:space="preserve"> </w:t>
      </w:r>
      <w:r w:rsidR="00790803">
        <w:t>insolvent-illiquid</w:t>
      </w:r>
      <w:r w:rsidR="0021639A">
        <w:t>.</w:t>
      </w:r>
      <w:r w:rsidR="009A0847">
        <w:t xml:space="preserve"> </w:t>
      </w:r>
      <w:r w:rsidRPr="001D4529">
        <w:t>Horizontal</w:t>
      </w:r>
      <w:r w:rsidR="009A0847">
        <w:t xml:space="preserve"> </w:t>
      </w:r>
      <w:r w:rsidRPr="001D4529">
        <w:t>lines</w:t>
      </w:r>
      <w:r w:rsidR="009A0847">
        <w:t xml:space="preserve"> </w:t>
      </w:r>
      <w:r w:rsidRPr="001D4529">
        <w:t>also</w:t>
      </w:r>
      <w:r w:rsidR="009A0847">
        <w:t xml:space="preserve"> </w:t>
      </w:r>
      <w:r w:rsidRPr="001D4529">
        <w:lastRenderedPageBreak/>
        <w:t>indicate</w:t>
      </w:r>
      <w:r w:rsidR="009A0847">
        <w:t xml:space="preserve"> </w:t>
      </w:r>
      <w:r w:rsidRPr="001D4529">
        <w:t>predicted</w:t>
      </w:r>
      <w:r w:rsidR="009A0847">
        <w:t xml:space="preserve"> </w:t>
      </w:r>
      <w:r w:rsidRPr="001D4529">
        <w:t>equilibrium</w:t>
      </w:r>
      <w:r w:rsidR="009A0847">
        <w:t xml:space="preserve"> </w:t>
      </w:r>
      <w:r w:rsidRPr="001D4529">
        <w:t>behavior</w:t>
      </w:r>
      <w:r w:rsidR="009A0847">
        <w:t xml:space="preserve"> </w:t>
      </w:r>
      <w:r w:rsidRPr="001D4529">
        <w:t>in</w:t>
      </w:r>
      <w:r w:rsidR="009A0847">
        <w:t xml:space="preserve"> </w:t>
      </w:r>
      <w:r w:rsidRPr="001D4529">
        <w:t>each</w:t>
      </w:r>
      <w:r w:rsidR="009A0847">
        <w:t xml:space="preserve"> </w:t>
      </w:r>
      <w:r w:rsidRPr="001D4529">
        <w:t>panel.</w:t>
      </w:r>
      <w:r w:rsidR="009A0847">
        <w:t xml:space="preserve"> </w:t>
      </w:r>
      <w:r w:rsidR="00070BBB">
        <w:t>Figures</w:t>
      </w:r>
      <w:r w:rsidR="009A0847">
        <w:t xml:space="preserve"> </w:t>
      </w:r>
      <w:r w:rsidR="00077CA1">
        <w:t>that</w:t>
      </w:r>
      <w:r w:rsidR="009A0847">
        <w:t xml:space="preserve"> </w:t>
      </w:r>
      <w:r w:rsidR="00077CA1">
        <w:t>display</w:t>
      </w:r>
      <w:r w:rsidR="009A0847">
        <w:t xml:space="preserve"> </w:t>
      </w:r>
      <w:r w:rsidR="00077CA1">
        <w:t>s</w:t>
      </w:r>
      <w:r w:rsidR="0021639A">
        <w:t>ession</w:t>
      </w:r>
      <w:r w:rsidR="009A0847">
        <w:t xml:space="preserve"> </w:t>
      </w:r>
      <w:r w:rsidR="0021639A">
        <w:t>level</w:t>
      </w:r>
      <w:r w:rsidR="009A0847">
        <w:t xml:space="preserve"> </w:t>
      </w:r>
      <w:r w:rsidR="00D820F4">
        <w:t>choices</w:t>
      </w:r>
      <w:r w:rsidR="009A0847">
        <w:t xml:space="preserve"> </w:t>
      </w:r>
      <w:r w:rsidR="00FD75B4">
        <w:t>in</w:t>
      </w:r>
      <w:r w:rsidR="009A0847">
        <w:t xml:space="preserve"> </w:t>
      </w:r>
      <w:r w:rsidR="00FD75B4">
        <w:t>each</w:t>
      </w:r>
      <w:r w:rsidR="009A0847">
        <w:t xml:space="preserve"> </w:t>
      </w:r>
      <w:r w:rsidR="00FD75B4">
        <w:t>treatment</w:t>
      </w:r>
      <w:r w:rsidR="009A0847">
        <w:t xml:space="preserve"> </w:t>
      </w:r>
      <w:r w:rsidR="00077CA1">
        <w:t>can</w:t>
      </w:r>
      <w:r w:rsidR="009A0847">
        <w:t xml:space="preserve"> </w:t>
      </w:r>
      <w:r w:rsidR="00077CA1">
        <w:t>be</w:t>
      </w:r>
      <w:r w:rsidR="009A0847">
        <w:t xml:space="preserve"> </w:t>
      </w:r>
      <w:r w:rsidR="00077CA1">
        <w:t>found</w:t>
      </w:r>
      <w:r w:rsidR="009A0847">
        <w:t xml:space="preserve"> </w:t>
      </w:r>
      <w:r w:rsidR="00FD75B4">
        <w:t>in</w:t>
      </w:r>
      <w:r w:rsidR="009A0847">
        <w:t xml:space="preserve"> </w:t>
      </w:r>
      <w:r w:rsidR="00D820F4">
        <w:t>Appendix</w:t>
      </w:r>
      <w:r w:rsidR="009A0847">
        <w:t xml:space="preserve"> </w:t>
      </w:r>
      <w:r w:rsidR="00AF2CC9">
        <w:t>4</w:t>
      </w:r>
      <w:r w:rsidR="008639F0" w:rsidRPr="001D4529">
        <w:t>.</w:t>
      </w:r>
      <w:r w:rsidR="009A0847">
        <w:t xml:space="preserve"> </w:t>
      </w:r>
      <w:bookmarkStart w:id="1" w:name="OLE_LINK3"/>
      <w:bookmarkStart w:id="2" w:name="OLE_LINK4"/>
    </w:p>
    <w:p w14:paraId="6EDD0238" w14:textId="77777777" w:rsidR="005B5956" w:rsidRPr="00107B69" w:rsidRDefault="005B5956" w:rsidP="005B5956">
      <w:pPr>
        <w:pStyle w:val="Olivier1"/>
        <w:spacing w:after="0" w:line="240" w:lineRule="auto"/>
        <w:rPr>
          <w:color w:val="FF0000"/>
          <w:sz w:val="8"/>
          <w:szCs w:val="8"/>
        </w:rPr>
      </w:pPr>
    </w:p>
    <w:p w14:paraId="7CF1B668" w14:textId="77777777" w:rsidR="005B5956" w:rsidRDefault="005B5956" w:rsidP="005B59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0"/>
        <w:jc w:val="center"/>
        <w:rPr>
          <w:b/>
          <w:u w:val="single"/>
        </w:rPr>
      </w:pPr>
      <w:r w:rsidRPr="00374730">
        <w:rPr>
          <w:b/>
          <w:color w:val="000000" w:themeColor="text1"/>
          <w:u w:val="single"/>
        </w:rPr>
        <w:t>Figure 1: Control Treatment</w:t>
      </w:r>
      <w:r w:rsidRPr="00E23E2F">
        <w:rPr>
          <w:sz w:val="20"/>
          <w:szCs w:val="20"/>
          <w:vertAlign w:val="superscript"/>
        </w:rPr>
        <w:t>*</w:t>
      </w:r>
    </w:p>
    <w:p w14:paraId="5FEF9BDB" w14:textId="77777777" w:rsidR="005B5956" w:rsidRPr="00562DD9" w:rsidRDefault="005B5956" w:rsidP="005B59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0"/>
        <w:rPr>
          <w:b/>
          <w:sz w:val="4"/>
          <w:szCs w:val="4"/>
          <w:u w:val="single"/>
        </w:rPr>
      </w:pPr>
    </w:p>
    <w:p w14:paraId="063B05F1" w14:textId="77777777" w:rsidR="005B5956" w:rsidRPr="00D927CE" w:rsidRDefault="005B5956" w:rsidP="005B59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0"/>
        <w:rPr>
          <w:color w:val="FFFF00"/>
          <w:sz w:val="2"/>
          <w:szCs w:val="2"/>
        </w:rPr>
      </w:pPr>
      <w:r>
        <w:rPr>
          <w:noProof/>
        </w:rPr>
        <w:drawing>
          <wp:inline distT="0" distB="0" distL="0" distR="0" wp14:anchorId="2EEE0ED2" wp14:editId="7DBB54F1">
            <wp:extent cx="2971800" cy="2470785"/>
            <wp:effectExtent l="0" t="0" r="25400" b="18415"/>
            <wp:docPr id="9" name="Chart 9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C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>
        <w:rPr>
          <w:noProof/>
          <w:sz w:val="12"/>
          <w:szCs w:val="12"/>
        </w:rPr>
        <w:t xml:space="preserve"> </w:t>
      </w:r>
      <w:r>
        <w:rPr>
          <w:noProof/>
        </w:rPr>
        <w:drawing>
          <wp:inline distT="0" distB="0" distL="0" distR="0" wp14:anchorId="16B6ACC5" wp14:editId="790EC7EC">
            <wp:extent cx="2971800" cy="2473085"/>
            <wp:effectExtent l="0" t="0" r="25400" b="16510"/>
            <wp:docPr id="10" name="Chart 10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1E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15F98D0" w14:textId="77777777" w:rsidR="005B5956" w:rsidRPr="00F636C6" w:rsidRDefault="005B5956" w:rsidP="005B59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" w:line="120" w:lineRule="exact"/>
        <w:ind w:left="90"/>
        <w:rPr>
          <w:sz w:val="16"/>
          <w:szCs w:val="16"/>
        </w:rPr>
      </w:pPr>
      <w:r w:rsidRPr="008F4D7F">
        <w:rPr>
          <w:sz w:val="14"/>
          <w:szCs w:val="14"/>
          <w:vertAlign w:val="superscript"/>
        </w:rPr>
        <w:t>*</w:t>
      </w:r>
      <w:r>
        <w:rPr>
          <w:sz w:val="16"/>
          <w:szCs w:val="16"/>
        </w:rPr>
        <w:t>Average across 6 sessions</w:t>
      </w:r>
    </w:p>
    <w:p w14:paraId="6B76281F" w14:textId="77777777" w:rsidR="005B5956" w:rsidRDefault="005B5956" w:rsidP="005B5956">
      <w:pPr>
        <w:pStyle w:val="Olivier1"/>
        <w:spacing w:after="0" w:line="240" w:lineRule="auto"/>
        <w:rPr>
          <w:color w:val="FF0000"/>
          <w:sz w:val="8"/>
          <w:szCs w:val="8"/>
        </w:rPr>
      </w:pPr>
    </w:p>
    <w:bookmarkEnd w:id="1"/>
    <w:bookmarkEnd w:id="2"/>
    <w:p w14:paraId="79502F47" w14:textId="07F0A160" w:rsidR="003B2BE2" w:rsidRDefault="0042118B" w:rsidP="00F86E09">
      <w:pPr>
        <w:pStyle w:val="Olivier1"/>
        <w:widowControl w:val="0"/>
        <w:spacing w:after="0"/>
        <w:ind w:right="-86" w:firstLine="360"/>
      </w:pPr>
      <w:r w:rsidRPr="001D4529">
        <w:t>Starting</w:t>
      </w:r>
      <w:r w:rsidR="009A0847">
        <w:t xml:space="preserve"> </w:t>
      </w:r>
      <w:r w:rsidRPr="001D4529">
        <w:t>with</w:t>
      </w:r>
      <w:r w:rsidR="009A0847">
        <w:t xml:space="preserve"> </w:t>
      </w:r>
      <w:r w:rsidRPr="001D4529">
        <w:t>the</w:t>
      </w:r>
      <w:r w:rsidR="009A0847">
        <w:t xml:space="preserve"> </w:t>
      </w:r>
      <w:r w:rsidR="000D7B77">
        <w:t>lef</w:t>
      </w:r>
      <w:r w:rsidRPr="001D4529">
        <w:t>t</w:t>
      </w:r>
      <w:r w:rsidR="009A0847">
        <w:t xml:space="preserve"> </w:t>
      </w:r>
      <w:r w:rsidRPr="001D4529">
        <w:t>panel,</w:t>
      </w:r>
      <w:r w:rsidR="009A0847">
        <w:t xml:space="preserve"> </w:t>
      </w:r>
      <w:r w:rsidR="00AF2CC9">
        <w:t>note</w:t>
      </w:r>
      <w:r w:rsidR="009A0847">
        <w:t xml:space="preserve"> </w:t>
      </w:r>
      <w:r w:rsidR="00AF2CC9">
        <w:t>that</w:t>
      </w:r>
      <w:r w:rsidR="009A0847">
        <w:t xml:space="preserve"> </w:t>
      </w:r>
      <w:r w:rsidR="00C04CCA" w:rsidRPr="001D4529">
        <w:t>most</w:t>
      </w:r>
      <w:r w:rsidR="009A0847">
        <w:t xml:space="preserve"> </w:t>
      </w:r>
      <w:r w:rsidR="00C04CCA" w:rsidRPr="00352688">
        <w:rPr>
          <w:color w:val="000000" w:themeColor="text1"/>
        </w:rPr>
        <w:t>investors</w:t>
      </w:r>
      <w:r w:rsidR="009A0847">
        <w:rPr>
          <w:color w:val="000000" w:themeColor="text1"/>
        </w:rPr>
        <w:t xml:space="preserve"> </w:t>
      </w:r>
      <w:r w:rsidR="008A5C46" w:rsidRPr="00352688">
        <w:rPr>
          <w:color w:val="000000" w:themeColor="text1"/>
        </w:rPr>
        <w:t>(81%</w:t>
      </w:r>
      <w:r w:rsidR="009A0847">
        <w:rPr>
          <w:color w:val="000000" w:themeColor="text1"/>
        </w:rPr>
        <w:t xml:space="preserve"> </w:t>
      </w:r>
      <w:r w:rsidR="008A5C46" w:rsidRPr="00352688">
        <w:rPr>
          <w:color w:val="000000" w:themeColor="text1"/>
        </w:rPr>
        <w:t>in</w:t>
      </w:r>
      <w:r w:rsidR="009A0847">
        <w:rPr>
          <w:color w:val="000000" w:themeColor="text1"/>
        </w:rPr>
        <w:t xml:space="preserve"> </w:t>
      </w:r>
      <w:r w:rsidR="008A5C46" w:rsidRPr="001D4529">
        <w:t>round</w:t>
      </w:r>
      <w:r w:rsidR="009A0847">
        <w:t xml:space="preserve"> </w:t>
      </w:r>
      <w:r w:rsidR="008A5C46" w:rsidRPr="001D4529">
        <w:t>1</w:t>
      </w:r>
      <w:r w:rsidR="008A5C46">
        <w:t>)</w:t>
      </w:r>
      <w:r w:rsidR="009A0847">
        <w:t xml:space="preserve"> </w:t>
      </w:r>
      <w:r w:rsidR="00C04CCA" w:rsidRPr="001D4529">
        <w:t>realize</w:t>
      </w:r>
      <w:r w:rsidR="009A0847">
        <w:t xml:space="preserve"> </w:t>
      </w:r>
      <w:r w:rsidR="008A5C46">
        <w:t>immediately</w:t>
      </w:r>
      <w:r w:rsidR="009A0847">
        <w:t xml:space="preserve"> </w:t>
      </w:r>
      <w:r w:rsidRPr="001D4529">
        <w:t>that</w:t>
      </w:r>
      <w:r w:rsidR="009A0847">
        <w:t xml:space="preserve"> </w:t>
      </w:r>
      <w:r w:rsidRPr="001D4529">
        <w:t>they</w:t>
      </w:r>
      <w:r w:rsidR="009A0847">
        <w:t xml:space="preserve"> </w:t>
      </w:r>
      <w:r w:rsidRPr="001D4529">
        <w:t>should</w:t>
      </w:r>
      <w:r w:rsidR="009A0847">
        <w:t xml:space="preserve"> </w:t>
      </w:r>
      <w:r w:rsidRPr="001D4529">
        <w:t>fund</w:t>
      </w:r>
      <w:r w:rsidR="009A0847">
        <w:t xml:space="preserve"> </w:t>
      </w:r>
      <w:r w:rsidRPr="001D4529">
        <w:t>a</w:t>
      </w:r>
      <w:r w:rsidR="009A0847">
        <w:t xml:space="preserve"> </w:t>
      </w:r>
      <w:r w:rsidR="00C04CCA" w:rsidRPr="001D4529">
        <w:t>bank</w:t>
      </w:r>
      <w:r w:rsidR="009A0847">
        <w:t xml:space="preserve"> </w:t>
      </w:r>
      <w:r w:rsidR="00C04CCA" w:rsidRPr="001D4529">
        <w:t>not</w:t>
      </w:r>
      <w:r w:rsidR="009A0847">
        <w:t xml:space="preserve"> </w:t>
      </w:r>
      <w:r w:rsidR="00C04CCA" w:rsidRPr="001D4529">
        <w:t>detected</w:t>
      </w:r>
      <w:r w:rsidR="009A0847">
        <w:t xml:space="preserve"> </w:t>
      </w:r>
      <w:r w:rsidR="00C04CCA" w:rsidRPr="001D4529">
        <w:t>at</w:t>
      </w:r>
      <w:r w:rsidR="009A0847">
        <w:t xml:space="preserve"> </w:t>
      </w:r>
      <w:r w:rsidR="00C04CCA" w:rsidRPr="001D4529">
        <w:t>the</w:t>
      </w:r>
      <w:r w:rsidR="009A0847">
        <w:t xml:space="preserve"> </w:t>
      </w:r>
      <w:r w:rsidR="00C04CCA" w:rsidRPr="001D4529">
        <w:t>DW.</w:t>
      </w:r>
      <w:r w:rsidR="009A0847">
        <w:t xml:space="preserve"> </w:t>
      </w:r>
      <w:r w:rsidR="00C04CCA" w:rsidRPr="001D4529">
        <w:t>Investors</w:t>
      </w:r>
      <w:r w:rsidR="009A0847">
        <w:t xml:space="preserve"> </w:t>
      </w:r>
      <w:r w:rsidR="00C04CCA" w:rsidRPr="001D4529">
        <w:t>also</w:t>
      </w:r>
      <w:r w:rsidR="009A0847">
        <w:t xml:space="preserve"> </w:t>
      </w:r>
      <w:r w:rsidR="00C04CCA" w:rsidRPr="001D4529">
        <w:t>learn</w:t>
      </w:r>
      <w:r w:rsidR="009A0847">
        <w:t xml:space="preserve"> </w:t>
      </w:r>
      <w:r w:rsidR="00C04CCA" w:rsidRPr="001D4529">
        <w:t>at</w:t>
      </w:r>
      <w:r w:rsidR="009A0847">
        <w:t xml:space="preserve"> </w:t>
      </w:r>
      <w:r w:rsidR="00C04CCA" w:rsidRPr="001D4529">
        <w:t>a</w:t>
      </w:r>
      <w:r w:rsidR="009A0847">
        <w:t xml:space="preserve"> </w:t>
      </w:r>
      <w:r w:rsidR="00C04CCA" w:rsidRPr="001D4529">
        <w:t>rapid</w:t>
      </w:r>
      <w:r w:rsidR="009A0847">
        <w:t xml:space="preserve"> </w:t>
      </w:r>
      <w:r w:rsidR="00C04CCA" w:rsidRPr="001D4529">
        <w:t>pace</w:t>
      </w:r>
      <w:r w:rsidR="009A0847">
        <w:t xml:space="preserve"> </w:t>
      </w:r>
      <w:r w:rsidRPr="001D4529">
        <w:t>not</w:t>
      </w:r>
      <w:r w:rsidR="009A0847">
        <w:t xml:space="preserve"> </w:t>
      </w:r>
      <w:r w:rsidR="00107B69">
        <w:t>to</w:t>
      </w:r>
      <w:r w:rsidR="009A0847">
        <w:t xml:space="preserve"> </w:t>
      </w:r>
      <w:r w:rsidRPr="001D4529">
        <w:t>fund</w:t>
      </w:r>
      <w:r w:rsidR="009A0847">
        <w:t xml:space="preserve"> </w:t>
      </w:r>
      <w:r w:rsidRPr="001D4529">
        <w:t>a</w:t>
      </w:r>
      <w:r w:rsidR="009A0847">
        <w:t xml:space="preserve"> </w:t>
      </w:r>
      <w:r w:rsidRPr="001D4529">
        <w:t>bank</w:t>
      </w:r>
      <w:r w:rsidR="009A0847">
        <w:t xml:space="preserve"> </w:t>
      </w:r>
      <w:r w:rsidRPr="001D4529">
        <w:t>detected</w:t>
      </w:r>
      <w:r w:rsidR="009A0847">
        <w:t xml:space="preserve"> </w:t>
      </w:r>
      <w:r w:rsidRPr="001D4529">
        <w:t>at</w:t>
      </w:r>
      <w:r w:rsidR="009A0847">
        <w:t xml:space="preserve"> </w:t>
      </w:r>
      <w:r w:rsidRPr="001D4529">
        <w:t>the</w:t>
      </w:r>
      <w:r w:rsidR="009A0847">
        <w:t xml:space="preserve"> </w:t>
      </w:r>
      <w:r w:rsidRPr="001D4529">
        <w:t>DW</w:t>
      </w:r>
      <w:r w:rsidR="00070BBB">
        <w:t>:</w:t>
      </w:r>
      <w:r w:rsidR="009A0847">
        <w:t xml:space="preserve"> </w:t>
      </w:r>
      <w:r w:rsidR="00107B69" w:rsidRPr="00A3047F">
        <w:rPr>
          <w:color w:val="000000" w:themeColor="text1"/>
        </w:rPr>
        <w:t>While</w:t>
      </w:r>
      <w:r w:rsidR="009A0847">
        <w:rPr>
          <w:color w:val="000000" w:themeColor="text1"/>
        </w:rPr>
        <w:t xml:space="preserve"> </w:t>
      </w:r>
      <w:r w:rsidR="00057ABC" w:rsidRPr="00A3047F">
        <w:rPr>
          <w:color w:val="000000" w:themeColor="text1"/>
        </w:rPr>
        <w:t>53%</w:t>
      </w:r>
      <w:r w:rsidR="009A0847">
        <w:rPr>
          <w:color w:val="000000" w:themeColor="text1"/>
        </w:rPr>
        <w:t xml:space="preserve"> </w:t>
      </w:r>
      <w:r w:rsidR="00107B69" w:rsidRPr="00A3047F">
        <w:rPr>
          <w:color w:val="000000" w:themeColor="text1"/>
        </w:rPr>
        <w:t>of</w:t>
      </w:r>
      <w:r w:rsidR="009A0847">
        <w:rPr>
          <w:color w:val="000000" w:themeColor="text1"/>
        </w:rPr>
        <w:t xml:space="preserve"> </w:t>
      </w:r>
      <w:r w:rsidR="00107B69" w:rsidRPr="00352688">
        <w:rPr>
          <w:color w:val="000000" w:themeColor="text1"/>
        </w:rPr>
        <w:t>investors</w:t>
      </w:r>
      <w:r w:rsidR="009A0847">
        <w:rPr>
          <w:color w:val="000000" w:themeColor="text1"/>
        </w:rPr>
        <w:t xml:space="preserve"> </w:t>
      </w:r>
      <w:r w:rsidR="00107B69" w:rsidRPr="00352688">
        <w:rPr>
          <w:color w:val="000000" w:themeColor="text1"/>
        </w:rPr>
        <w:t>fund</w:t>
      </w:r>
      <w:r w:rsidR="009A0847">
        <w:rPr>
          <w:color w:val="000000" w:themeColor="text1"/>
        </w:rPr>
        <w:t xml:space="preserve"> </w:t>
      </w:r>
      <w:r w:rsidR="00107B69" w:rsidRPr="00352688">
        <w:rPr>
          <w:color w:val="000000" w:themeColor="text1"/>
        </w:rPr>
        <w:t>a</w:t>
      </w:r>
      <w:r w:rsidR="009A0847">
        <w:rPr>
          <w:color w:val="000000" w:themeColor="text1"/>
        </w:rPr>
        <w:t xml:space="preserve"> </w:t>
      </w:r>
      <w:r w:rsidR="00107B69" w:rsidRPr="00352688">
        <w:rPr>
          <w:color w:val="000000" w:themeColor="text1"/>
        </w:rPr>
        <w:t>detected</w:t>
      </w:r>
      <w:r w:rsidR="009A0847">
        <w:rPr>
          <w:color w:val="000000" w:themeColor="text1"/>
        </w:rPr>
        <w:t xml:space="preserve"> </w:t>
      </w:r>
      <w:r w:rsidR="00107B69" w:rsidRPr="00352688">
        <w:rPr>
          <w:color w:val="000000" w:themeColor="text1"/>
        </w:rPr>
        <w:t>bank</w:t>
      </w:r>
      <w:r w:rsidR="009A0847">
        <w:rPr>
          <w:color w:val="000000" w:themeColor="text1"/>
        </w:rPr>
        <w:t xml:space="preserve"> </w:t>
      </w:r>
      <w:r w:rsidR="00057ABC" w:rsidRPr="00352688">
        <w:rPr>
          <w:color w:val="000000" w:themeColor="text1"/>
        </w:rPr>
        <w:t>in</w:t>
      </w:r>
      <w:r w:rsidR="009A0847">
        <w:rPr>
          <w:color w:val="000000" w:themeColor="text1"/>
        </w:rPr>
        <w:t xml:space="preserve"> </w:t>
      </w:r>
      <w:r w:rsidR="00057ABC" w:rsidRPr="00352688">
        <w:rPr>
          <w:color w:val="000000" w:themeColor="text1"/>
        </w:rPr>
        <w:t>round</w:t>
      </w:r>
      <w:r w:rsidR="009A0847">
        <w:rPr>
          <w:color w:val="000000" w:themeColor="text1"/>
        </w:rPr>
        <w:t xml:space="preserve"> </w:t>
      </w:r>
      <w:r w:rsidR="00057ABC" w:rsidRPr="00352688">
        <w:rPr>
          <w:color w:val="000000" w:themeColor="text1"/>
        </w:rPr>
        <w:t>1</w:t>
      </w:r>
      <w:r w:rsidR="00A7436E" w:rsidRPr="00352688">
        <w:rPr>
          <w:color w:val="000000" w:themeColor="text1"/>
        </w:rPr>
        <w:t>,</w:t>
      </w:r>
      <w:r w:rsidR="009A0847">
        <w:rPr>
          <w:color w:val="000000" w:themeColor="text1"/>
        </w:rPr>
        <w:t xml:space="preserve"> </w:t>
      </w:r>
      <w:r w:rsidR="00D820F4" w:rsidRPr="00A3047F">
        <w:rPr>
          <w:color w:val="000000" w:themeColor="text1"/>
        </w:rPr>
        <w:t>only</w:t>
      </w:r>
      <w:r w:rsidR="009A0847">
        <w:rPr>
          <w:color w:val="000000" w:themeColor="text1"/>
        </w:rPr>
        <w:t xml:space="preserve"> </w:t>
      </w:r>
      <w:r w:rsidR="00AF2CC9" w:rsidRPr="00A3047F">
        <w:rPr>
          <w:color w:val="000000" w:themeColor="text1"/>
        </w:rPr>
        <w:t>17%</w:t>
      </w:r>
      <w:r w:rsidR="009A0847">
        <w:rPr>
          <w:color w:val="000000" w:themeColor="text1"/>
        </w:rPr>
        <w:t xml:space="preserve"> </w:t>
      </w:r>
      <w:r w:rsidR="00FD75B4" w:rsidRPr="00A3047F">
        <w:rPr>
          <w:color w:val="000000" w:themeColor="text1"/>
        </w:rPr>
        <w:t>still</w:t>
      </w:r>
      <w:r w:rsidR="009A0847">
        <w:rPr>
          <w:color w:val="000000" w:themeColor="text1"/>
        </w:rPr>
        <w:t xml:space="preserve"> </w:t>
      </w:r>
      <w:r w:rsidR="00422339" w:rsidRPr="00352688">
        <w:rPr>
          <w:color w:val="000000" w:themeColor="text1"/>
        </w:rPr>
        <w:t>do</w:t>
      </w:r>
      <w:r w:rsidR="009A0847">
        <w:rPr>
          <w:color w:val="000000" w:themeColor="text1"/>
        </w:rPr>
        <w:t xml:space="preserve"> </w:t>
      </w:r>
      <w:r w:rsidR="00422339" w:rsidRPr="00352688">
        <w:rPr>
          <w:color w:val="000000" w:themeColor="text1"/>
        </w:rPr>
        <w:t>so</w:t>
      </w:r>
      <w:r w:rsidR="009A0847">
        <w:rPr>
          <w:color w:val="000000" w:themeColor="text1"/>
        </w:rPr>
        <w:t xml:space="preserve"> </w:t>
      </w:r>
      <w:r w:rsidR="00057ABC" w:rsidRPr="00352688">
        <w:rPr>
          <w:color w:val="000000" w:themeColor="text1"/>
        </w:rPr>
        <w:t>in</w:t>
      </w:r>
      <w:r w:rsidR="009A0847">
        <w:rPr>
          <w:color w:val="000000" w:themeColor="text1"/>
        </w:rPr>
        <w:t xml:space="preserve"> </w:t>
      </w:r>
      <w:r w:rsidR="00057ABC" w:rsidRPr="00352688">
        <w:rPr>
          <w:color w:val="000000" w:themeColor="text1"/>
        </w:rPr>
        <w:t>round</w:t>
      </w:r>
      <w:r w:rsidR="009A0847">
        <w:rPr>
          <w:color w:val="000000" w:themeColor="text1"/>
        </w:rPr>
        <w:t xml:space="preserve"> </w:t>
      </w:r>
      <w:r w:rsidR="00057ABC" w:rsidRPr="00352688">
        <w:rPr>
          <w:color w:val="000000" w:themeColor="text1"/>
        </w:rPr>
        <w:t>10.</w:t>
      </w:r>
      <w:r w:rsidR="009A0847">
        <w:rPr>
          <w:color w:val="000000" w:themeColor="text1"/>
        </w:rPr>
        <w:t xml:space="preserve"> </w:t>
      </w:r>
      <w:r w:rsidR="00422339">
        <w:t>Over</w:t>
      </w:r>
      <w:r w:rsidR="009A0847">
        <w:t xml:space="preserve"> </w:t>
      </w:r>
      <w:r w:rsidR="00422339" w:rsidRPr="001428B6">
        <w:rPr>
          <w:color w:val="000000" w:themeColor="text1"/>
        </w:rPr>
        <w:t>the</w:t>
      </w:r>
      <w:r w:rsidR="009A0847">
        <w:rPr>
          <w:color w:val="000000" w:themeColor="text1"/>
        </w:rPr>
        <w:t xml:space="preserve"> </w:t>
      </w:r>
      <w:r w:rsidR="00422339" w:rsidRPr="001428B6">
        <w:rPr>
          <w:color w:val="000000" w:themeColor="text1"/>
        </w:rPr>
        <w:t>last</w:t>
      </w:r>
      <w:r w:rsidR="009A0847">
        <w:rPr>
          <w:color w:val="000000" w:themeColor="text1"/>
        </w:rPr>
        <w:t xml:space="preserve"> </w:t>
      </w:r>
      <w:r w:rsidR="00422339" w:rsidRPr="001428B6">
        <w:rPr>
          <w:color w:val="000000" w:themeColor="text1"/>
        </w:rPr>
        <w:t>10</w:t>
      </w:r>
      <w:r w:rsidR="009A0847">
        <w:rPr>
          <w:color w:val="000000" w:themeColor="text1"/>
        </w:rPr>
        <w:t xml:space="preserve"> </w:t>
      </w:r>
      <w:r w:rsidR="00422339" w:rsidRPr="001428B6">
        <w:rPr>
          <w:color w:val="000000" w:themeColor="text1"/>
        </w:rPr>
        <w:t>rounds,</w:t>
      </w:r>
      <w:r w:rsidR="009A0847">
        <w:rPr>
          <w:color w:val="000000" w:themeColor="text1"/>
        </w:rPr>
        <w:t xml:space="preserve"> </w:t>
      </w:r>
      <w:r w:rsidR="00077CA1" w:rsidRPr="001428B6">
        <w:rPr>
          <w:color w:val="000000" w:themeColor="text1"/>
        </w:rPr>
        <w:t>investors</w:t>
      </w:r>
      <w:r w:rsidR="009A0847">
        <w:rPr>
          <w:color w:val="000000" w:themeColor="text1"/>
        </w:rPr>
        <w:t xml:space="preserve"> </w:t>
      </w:r>
      <w:r w:rsidR="00422339" w:rsidRPr="001428B6">
        <w:rPr>
          <w:color w:val="000000" w:themeColor="text1"/>
        </w:rPr>
        <w:t>overwhelmingly</w:t>
      </w:r>
      <w:r w:rsidR="009A0847">
        <w:rPr>
          <w:color w:val="000000" w:themeColor="text1"/>
        </w:rPr>
        <w:t xml:space="preserve"> </w:t>
      </w:r>
      <w:r w:rsidR="0060281B">
        <w:rPr>
          <w:color w:val="000000" w:themeColor="text1"/>
        </w:rPr>
        <w:t>stigmatize</w:t>
      </w:r>
      <w:r w:rsidR="009A0847">
        <w:rPr>
          <w:color w:val="000000" w:themeColor="text1"/>
        </w:rPr>
        <w:t xml:space="preserve"> </w:t>
      </w:r>
      <w:r w:rsidR="00077CA1" w:rsidRPr="001428B6">
        <w:rPr>
          <w:color w:val="000000" w:themeColor="text1"/>
        </w:rPr>
        <w:t>DW</w:t>
      </w:r>
      <w:r w:rsidR="009A0847">
        <w:rPr>
          <w:color w:val="000000" w:themeColor="text1"/>
        </w:rPr>
        <w:t xml:space="preserve"> </w:t>
      </w:r>
      <w:r w:rsidR="00077CA1" w:rsidRPr="001428B6">
        <w:rPr>
          <w:color w:val="000000" w:themeColor="text1"/>
        </w:rPr>
        <w:t>borrowers</w:t>
      </w:r>
      <w:r w:rsidR="009A0847">
        <w:rPr>
          <w:color w:val="000000" w:themeColor="text1"/>
        </w:rPr>
        <w:t xml:space="preserve"> </w:t>
      </w:r>
      <w:r w:rsidR="00422339" w:rsidRPr="001428B6">
        <w:rPr>
          <w:color w:val="000000" w:themeColor="text1"/>
        </w:rPr>
        <w:t>as</w:t>
      </w:r>
      <w:r w:rsidR="009A0847">
        <w:rPr>
          <w:color w:val="000000" w:themeColor="text1"/>
        </w:rPr>
        <w:t xml:space="preserve"> </w:t>
      </w:r>
      <w:r w:rsidR="00422339" w:rsidRPr="00A3047F">
        <w:rPr>
          <w:color w:val="000000" w:themeColor="text1"/>
        </w:rPr>
        <w:t>only</w:t>
      </w:r>
      <w:r w:rsidR="009A0847">
        <w:rPr>
          <w:color w:val="000000" w:themeColor="text1"/>
        </w:rPr>
        <w:t xml:space="preserve"> </w:t>
      </w:r>
      <w:r w:rsidR="00422339" w:rsidRPr="00A3047F">
        <w:rPr>
          <w:color w:val="000000" w:themeColor="text1"/>
        </w:rPr>
        <w:t>4%</w:t>
      </w:r>
      <w:r w:rsidR="009A0847">
        <w:rPr>
          <w:color w:val="000000" w:themeColor="text1"/>
        </w:rPr>
        <w:t xml:space="preserve"> </w:t>
      </w:r>
      <w:r w:rsidR="00422339" w:rsidRPr="00A3047F">
        <w:rPr>
          <w:color w:val="000000" w:themeColor="text1"/>
        </w:rPr>
        <w:t>of</w:t>
      </w:r>
      <w:r w:rsidR="009A0847">
        <w:rPr>
          <w:color w:val="000000" w:themeColor="text1"/>
        </w:rPr>
        <w:t xml:space="preserve"> </w:t>
      </w:r>
      <w:r w:rsidR="00077CA1">
        <w:t>detected</w:t>
      </w:r>
      <w:r w:rsidR="009A0847">
        <w:t xml:space="preserve"> </w:t>
      </w:r>
      <w:r w:rsidR="00077CA1">
        <w:t>banks</w:t>
      </w:r>
      <w:r w:rsidR="009A0847">
        <w:t xml:space="preserve"> </w:t>
      </w:r>
      <w:r w:rsidR="00077CA1">
        <w:t>are</w:t>
      </w:r>
      <w:r w:rsidR="009A0847">
        <w:t xml:space="preserve"> </w:t>
      </w:r>
      <w:r w:rsidR="00077CA1">
        <w:t>funded</w:t>
      </w:r>
      <w:r w:rsidR="00422339">
        <w:t>.</w:t>
      </w:r>
      <w:r w:rsidR="009A0847">
        <w:t xml:space="preserve"> </w:t>
      </w:r>
      <w:r w:rsidR="00C04CCA" w:rsidRPr="001D4529">
        <w:t>Overall,</w:t>
      </w:r>
      <w:r w:rsidR="009A0847">
        <w:t xml:space="preserve"> </w:t>
      </w:r>
      <w:r w:rsidR="000B480A" w:rsidRPr="001D4529">
        <w:t>investors’</w:t>
      </w:r>
      <w:r w:rsidR="009A0847">
        <w:t xml:space="preserve"> </w:t>
      </w:r>
      <w:r w:rsidR="000B480A">
        <w:t>choices</w:t>
      </w:r>
      <w:r w:rsidR="009A0847">
        <w:t xml:space="preserve"> </w:t>
      </w:r>
      <w:r w:rsidR="000B480A">
        <w:t>in</w:t>
      </w:r>
      <w:r w:rsidR="009A0847">
        <w:t xml:space="preserve"> </w:t>
      </w:r>
      <w:r w:rsidR="000B480A">
        <w:t>the</w:t>
      </w:r>
      <w:r w:rsidR="009A0847">
        <w:t xml:space="preserve"> </w:t>
      </w:r>
      <w:r w:rsidR="000B480A">
        <w:t>control</w:t>
      </w:r>
      <w:r w:rsidR="009A0847">
        <w:t xml:space="preserve"> </w:t>
      </w:r>
      <w:r w:rsidR="000B480A">
        <w:t>treatment</w:t>
      </w:r>
      <w:r w:rsidR="009A0847">
        <w:t xml:space="preserve"> </w:t>
      </w:r>
      <w:r w:rsidR="000B480A">
        <w:t>become</w:t>
      </w:r>
      <w:r w:rsidR="009A0847">
        <w:t xml:space="preserve"> </w:t>
      </w:r>
      <w:r w:rsidR="000B480A" w:rsidRPr="001D4529">
        <w:t>consistent</w:t>
      </w:r>
      <w:r w:rsidR="009A0847">
        <w:t xml:space="preserve"> </w:t>
      </w:r>
      <w:r w:rsidR="000B480A" w:rsidRPr="001D4529">
        <w:t>with</w:t>
      </w:r>
      <w:r w:rsidR="009A0847">
        <w:t xml:space="preserve"> </w:t>
      </w:r>
      <w:r w:rsidR="000B480A">
        <w:t>equilibrium</w:t>
      </w:r>
      <w:r w:rsidR="009A0847">
        <w:t xml:space="preserve"> </w:t>
      </w:r>
      <w:r w:rsidR="000B480A">
        <w:t>behavior</w:t>
      </w:r>
      <w:r w:rsidR="008A5C46">
        <w:t>,</w:t>
      </w:r>
      <w:r w:rsidR="009A0847">
        <w:t xml:space="preserve"> </w:t>
      </w:r>
      <w:r w:rsidR="008A5C46">
        <w:t>which</w:t>
      </w:r>
      <w:r w:rsidR="009A0847">
        <w:t xml:space="preserve"> </w:t>
      </w:r>
      <w:r w:rsidR="000B480A" w:rsidRPr="001D4529">
        <w:t>provide</w:t>
      </w:r>
      <w:r w:rsidR="008A5C46">
        <w:t>s</w:t>
      </w:r>
      <w:r w:rsidR="009A0847">
        <w:t xml:space="preserve"> </w:t>
      </w:r>
      <w:r w:rsidR="00C04CCA" w:rsidRPr="001D4529">
        <w:t>support</w:t>
      </w:r>
      <w:r w:rsidR="009A0847">
        <w:t xml:space="preserve"> </w:t>
      </w:r>
      <w:r w:rsidR="00C04CCA" w:rsidRPr="001D4529">
        <w:t>for</w:t>
      </w:r>
      <w:r w:rsidR="009A0847">
        <w:t xml:space="preserve"> </w:t>
      </w:r>
      <w:r w:rsidR="00C04CCA" w:rsidRPr="001D4529">
        <w:t>prediction</w:t>
      </w:r>
      <w:r w:rsidR="009A0847">
        <w:t xml:space="preserve"> </w:t>
      </w:r>
      <w:r w:rsidR="00077CA1">
        <w:rPr>
          <w:b/>
          <w:i/>
        </w:rPr>
        <w:t>P</w:t>
      </w:r>
      <w:r w:rsidR="00C04CCA" w:rsidRPr="007C303E">
        <w:rPr>
          <w:b/>
          <w:i/>
        </w:rPr>
        <w:t>1</w:t>
      </w:r>
      <w:r w:rsidR="00C04CCA" w:rsidRPr="001D4529">
        <w:t>.</w:t>
      </w:r>
      <w:r w:rsidR="009A0847">
        <w:t xml:space="preserve"> </w:t>
      </w:r>
    </w:p>
    <w:p w14:paraId="4718A84C" w14:textId="06C7C085" w:rsidR="00C04CCA" w:rsidRPr="001D4529" w:rsidRDefault="00077CA1" w:rsidP="00F86E09">
      <w:pPr>
        <w:pStyle w:val="Olivier1"/>
        <w:widowControl w:val="0"/>
        <w:ind w:firstLine="360"/>
      </w:pPr>
      <w:r>
        <w:t>Turning</w:t>
      </w:r>
      <w:r w:rsidR="009A0847">
        <w:t xml:space="preserve"> </w:t>
      </w:r>
      <w:r>
        <w:t>now</w:t>
      </w:r>
      <w:r w:rsidR="009A0847">
        <w:t xml:space="preserve"> </w:t>
      </w:r>
      <w:r>
        <w:t>to</w:t>
      </w:r>
      <w:r w:rsidR="009A0847">
        <w:t xml:space="preserve"> </w:t>
      </w:r>
      <w:r>
        <w:t>the</w:t>
      </w:r>
      <w:r w:rsidR="009A0847">
        <w:t xml:space="preserve"> </w:t>
      </w:r>
      <w:r>
        <w:t>righ</w:t>
      </w:r>
      <w:r w:rsidR="0042118B" w:rsidRPr="001D4529">
        <w:t>t</w:t>
      </w:r>
      <w:r w:rsidR="009A0847">
        <w:t xml:space="preserve"> </w:t>
      </w:r>
      <w:r w:rsidR="0042118B" w:rsidRPr="001D4529">
        <w:t>panel</w:t>
      </w:r>
      <w:r w:rsidR="009A0847">
        <w:t xml:space="preserve"> </w:t>
      </w:r>
      <w:r w:rsidR="00C04CCA" w:rsidRPr="001D4529">
        <w:t>of</w:t>
      </w:r>
      <w:r w:rsidR="009A0847">
        <w:t xml:space="preserve"> </w:t>
      </w:r>
      <w:r w:rsidR="00C04CCA" w:rsidRPr="001D4529">
        <w:t>Figure</w:t>
      </w:r>
      <w:r w:rsidR="009A0847">
        <w:t xml:space="preserve"> </w:t>
      </w:r>
      <w:r w:rsidR="00C04CCA" w:rsidRPr="001D4529">
        <w:t>1</w:t>
      </w:r>
      <w:r w:rsidR="0042118B" w:rsidRPr="001D4529">
        <w:t>,</w:t>
      </w:r>
      <w:r w:rsidR="009A0847">
        <w:t xml:space="preserve"> </w:t>
      </w:r>
      <w:r w:rsidR="007C303E">
        <w:t>observe</w:t>
      </w:r>
      <w:r w:rsidR="009A0847">
        <w:t xml:space="preserve"> </w:t>
      </w:r>
      <w:r w:rsidR="007C303E">
        <w:t>first</w:t>
      </w:r>
      <w:r w:rsidR="009A0847">
        <w:t xml:space="preserve"> </w:t>
      </w:r>
      <w:r w:rsidR="007C303E" w:rsidRPr="007C303E">
        <w:t>that,</w:t>
      </w:r>
      <w:r w:rsidR="009A0847">
        <w:t xml:space="preserve"> </w:t>
      </w:r>
      <w:r w:rsidR="007C303E" w:rsidRPr="007C303E">
        <w:t>consistent</w:t>
      </w:r>
      <w:r w:rsidR="009A0847">
        <w:t xml:space="preserve"> </w:t>
      </w:r>
      <w:r w:rsidR="007C303E" w:rsidRPr="007C303E">
        <w:t>with</w:t>
      </w:r>
      <w:r w:rsidR="009A0847">
        <w:t xml:space="preserve"> </w:t>
      </w:r>
      <w:r w:rsidR="007C303E" w:rsidRPr="007C303E">
        <w:t>theory</w:t>
      </w:r>
      <w:r w:rsidR="009A0847">
        <w:t xml:space="preserve"> </w:t>
      </w:r>
      <w:r w:rsidR="007C303E" w:rsidRPr="007C303E">
        <w:t>(since</w:t>
      </w:r>
      <w:r w:rsidR="009A0847">
        <w:t xml:space="preserve"> </w:t>
      </w:r>
      <w:r w:rsidR="007C303E" w:rsidRPr="007C303E">
        <w:t>the</w:t>
      </w:r>
      <w:r w:rsidR="008A5C46">
        <w:t>y</w:t>
      </w:r>
      <w:r w:rsidR="009A0847">
        <w:t xml:space="preserve"> </w:t>
      </w:r>
      <w:r w:rsidR="008A5C46">
        <w:t>have</w:t>
      </w:r>
      <w:r w:rsidR="009A0847">
        <w:t xml:space="preserve"> </w:t>
      </w:r>
      <w:r w:rsidR="008A5C46">
        <w:t>the</w:t>
      </w:r>
      <w:r w:rsidR="009A0847">
        <w:t xml:space="preserve"> </w:t>
      </w:r>
      <w:r w:rsidR="008A5C46">
        <w:t>same</w:t>
      </w:r>
      <w:r w:rsidR="009A0847">
        <w:t xml:space="preserve"> </w:t>
      </w:r>
      <w:r w:rsidR="008A5C46">
        <w:t>payoff</w:t>
      </w:r>
      <w:r w:rsidR="009A0847">
        <w:t xml:space="preserve"> </w:t>
      </w:r>
      <w:r w:rsidR="008A5C46">
        <w:t>function</w:t>
      </w:r>
      <w:r w:rsidR="007C303E" w:rsidRPr="007C303E">
        <w:t>),</w:t>
      </w:r>
      <w:r w:rsidR="009A0847">
        <w:t xml:space="preserve"> </w:t>
      </w:r>
      <w:r w:rsidR="007C303E" w:rsidRPr="007C303E">
        <w:t>illiquid</w:t>
      </w:r>
      <w:r w:rsidR="009A0847">
        <w:t xml:space="preserve"> </w:t>
      </w:r>
      <w:r w:rsidR="007C303E" w:rsidRPr="007C303E">
        <w:t>banks</w:t>
      </w:r>
      <w:r w:rsidR="009A0847">
        <w:t xml:space="preserve"> </w:t>
      </w:r>
      <w:r w:rsidR="007C303E" w:rsidRPr="007C303E">
        <w:t>behave</w:t>
      </w:r>
      <w:r w:rsidR="009A0847">
        <w:t xml:space="preserve"> </w:t>
      </w:r>
      <w:r w:rsidR="008A5C46">
        <w:t>essentially</w:t>
      </w:r>
      <w:r w:rsidR="009A0847">
        <w:t xml:space="preserve"> </w:t>
      </w:r>
      <w:r w:rsidR="008A5C46">
        <w:t>in</w:t>
      </w:r>
      <w:r w:rsidR="009A0847">
        <w:t xml:space="preserve"> </w:t>
      </w:r>
      <w:r w:rsidR="007C303E" w:rsidRPr="007C303E">
        <w:t>the</w:t>
      </w:r>
      <w:r w:rsidR="009A0847">
        <w:t xml:space="preserve"> </w:t>
      </w:r>
      <w:r w:rsidR="007C303E" w:rsidRPr="007C303E">
        <w:t>same</w:t>
      </w:r>
      <w:r w:rsidR="009A0847">
        <w:t xml:space="preserve"> </w:t>
      </w:r>
      <w:r w:rsidR="007C303E" w:rsidRPr="007C303E">
        <w:t>way</w:t>
      </w:r>
      <w:r w:rsidR="009A0847">
        <w:t xml:space="preserve"> </w:t>
      </w:r>
      <w:r w:rsidR="00AF2CC9">
        <w:t>throughout</w:t>
      </w:r>
      <w:r w:rsidR="009A0847">
        <w:t xml:space="preserve"> </w:t>
      </w:r>
      <w:r w:rsidR="00AF2CC9">
        <w:t>the</w:t>
      </w:r>
      <w:r w:rsidR="009A0847">
        <w:t xml:space="preserve"> </w:t>
      </w:r>
      <w:r w:rsidR="00AF2CC9">
        <w:t>experiment</w:t>
      </w:r>
      <w:r w:rsidR="009A0847">
        <w:t xml:space="preserve"> </w:t>
      </w:r>
      <w:r w:rsidR="007C303E" w:rsidRPr="007C303E">
        <w:t>when</w:t>
      </w:r>
      <w:r w:rsidR="009A0847">
        <w:t xml:space="preserve"> </w:t>
      </w:r>
      <w:r w:rsidR="007C303E" w:rsidRPr="007C303E">
        <w:t>they</w:t>
      </w:r>
      <w:r w:rsidR="009A0847">
        <w:t xml:space="preserve"> </w:t>
      </w:r>
      <w:r w:rsidR="007C303E" w:rsidRPr="007C303E">
        <w:t>are</w:t>
      </w:r>
      <w:r w:rsidR="009A0847">
        <w:t xml:space="preserve"> </w:t>
      </w:r>
      <w:r w:rsidR="007C303E" w:rsidRPr="007C303E">
        <w:t>solvent</w:t>
      </w:r>
      <w:r w:rsidR="009A0847">
        <w:t xml:space="preserve"> </w:t>
      </w:r>
      <w:r w:rsidR="008A5C46">
        <w:t>or</w:t>
      </w:r>
      <w:r w:rsidR="009A0847">
        <w:t xml:space="preserve"> </w:t>
      </w:r>
      <w:r w:rsidR="007C303E" w:rsidRPr="007C303E">
        <w:t>insolvent.</w:t>
      </w:r>
      <w:r w:rsidR="009A0847">
        <w:t xml:space="preserve"> </w:t>
      </w:r>
      <w:r w:rsidR="008A5C46" w:rsidRPr="001428B6">
        <w:rPr>
          <w:color w:val="000000" w:themeColor="text1"/>
        </w:rPr>
        <w:t>Note</w:t>
      </w:r>
      <w:r w:rsidR="009A0847">
        <w:rPr>
          <w:color w:val="000000" w:themeColor="text1"/>
        </w:rPr>
        <w:t xml:space="preserve"> </w:t>
      </w:r>
      <w:r w:rsidR="008A5C46" w:rsidRPr="001428B6">
        <w:rPr>
          <w:color w:val="000000" w:themeColor="text1"/>
        </w:rPr>
        <w:t>also</w:t>
      </w:r>
      <w:r w:rsidR="009A0847">
        <w:rPr>
          <w:color w:val="000000" w:themeColor="text1"/>
        </w:rPr>
        <w:t xml:space="preserve"> </w:t>
      </w:r>
      <w:r w:rsidR="008A5C46" w:rsidRPr="001428B6">
        <w:rPr>
          <w:color w:val="000000" w:themeColor="text1"/>
        </w:rPr>
        <w:t>that</w:t>
      </w:r>
      <w:r w:rsidR="009A0847">
        <w:rPr>
          <w:color w:val="000000" w:themeColor="text1"/>
        </w:rPr>
        <w:t xml:space="preserve"> </w:t>
      </w:r>
      <w:r w:rsidR="008A5C46" w:rsidRPr="001428B6">
        <w:rPr>
          <w:color w:val="000000" w:themeColor="text1"/>
        </w:rPr>
        <w:t>a</w:t>
      </w:r>
      <w:r w:rsidR="009A0847">
        <w:rPr>
          <w:color w:val="000000" w:themeColor="text1"/>
        </w:rPr>
        <w:t xml:space="preserve"> </w:t>
      </w:r>
      <w:r w:rsidR="00057ABC" w:rsidRPr="001428B6">
        <w:rPr>
          <w:color w:val="000000" w:themeColor="text1"/>
        </w:rPr>
        <w:t>majority</w:t>
      </w:r>
      <w:r w:rsidR="009A0847">
        <w:rPr>
          <w:color w:val="000000" w:themeColor="text1"/>
        </w:rPr>
        <w:t xml:space="preserve"> </w:t>
      </w:r>
      <w:r w:rsidR="00070BBB">
        <w:rPr>
          <w:color w:val="000000" w:themeColor="text1"/>
        </w:rPr>
        <w:t>(60</w:t>
      </w:r>
      <w:r w:rsidR="00422339" w:rsidRPr="001428B6">
        <w:rPr>
          <w:color w:val="000000" w:themeColor="text1"/>
        </w:rPr>
        <w:t>%)</w:t>
      </w:r>
      <w:r w:rsidR="009A0847">
        <w:rPr>
          <w:color w:val="000000" w:themeColor="text1"/>
        </w:rPr>
        <w:t xml:space="preserve"> </w:t>
      </w:r>
      <w:r w:rsidR="00057ABC" w:rsidRPr="001428B6">
        <w:rPr>
          <w:color w:val="000000" w:themeColor="text1"/>
        </w:rPr>
        <w:t>of</w:t>
      </w:r>
      <w:r w:rsidR="009A0847">
        <w:rPr>
          <w:color w:val="000000" w:themeColor="text1"/>
        </w:rPr>
        <w:t xml:space="preserve"> </w:t>
      </w:r>
      <w:r w:rsidR="00C04CCA" w:rsidRPr="001428B6">
        <w:rPr>
          <w:color w:val="000000" w:themeColor="text1"/>
        </w:rPr>
        <w:t>banks</w:t>
      </w:r>
      <w:r w:rsidR="009A0847">
        <w:rPr>
          <w:color w:val="000000" w:themeColor="text1"/>
        </w:rPr>
        <w:t xml:space="preserve"> </w:t>
      </w:r>
      <w:r w:rsidR="00C04CCA" w:rsidRPr="001428B6">
        <w:rPr>
          <w:color w:val="000000" w:themeColor="text1"/>
        </w:rPr>
        <w:t>cho</w:t>
      </w:r>
      <w:r w:rsidR="00D820F4" w:rsidRPr="001428B6">
        <w:rPr>
          <w:color w:val="000000" w:themeColor="text1"/>
        </w:rPr>
        <w:t>o</w:t>
      </w:r>
      <w:r w:rsidR="00C04CCA" w:rsidRPr="001428B6">
        <w:rPr>
          <w:color w:val="000000" w:themeColor="text1"/>
        </w:rPr>
        <w:t>se</w:t>
      </w:r>
      <w:r w:rsidRPr="001428B6">
        <w:rPr>
          <w:color w:val="000000" w:themeColor="text1"/>
        </w:rPr>
        <w:t>s</w:t>
      </w:r>
      <w:r w:rsidR="009A0847">
        <w:rPr>
          <w:color w:val="000000" w:themeColor="text1"/>
        </w:rPr>
        <w:t xml:space="preserve"> </w:t>
      </w:r>
      <w:r w:rsidR="00C04CCA" w:rsidRPr="001428B6">
        <w:rPr>
          <w:color w:val="000000" w:themeColor="text1"/>
        </w:rPr>
        <w:t>to</w:t>
      </w:r>
      <w:r w:rsidR="009A0847">
        <w:rPr>
          <w:color w:val="000000" w:themeColor="text1"/>
        </w:rPr>
        <w:t xml:space="preserve"> </w:t>
      </w:r>
      <w:r w:rsidR="00C04CCA" w:rsidRPr="001428B6">
        <w:rPr>
          <w:color w:val="000000" w:themeColor="text1"/>
        </w:rPr>
        <w:t>borrow</w:t>
      </w:r>
      <w:r w:rsidR="009A0847">
        <w:rPr>
          <w:color w:val="000000" w:themeColor="text1"/>
        </w:rPr>
        <w:t xml:space="preserve"> </w:t>
      </w:r>
      <w:r w:rsidR="00C04CCA" w:rsidRPr="001428B6">
        <w:rPr>
          <w:color w:val="000000" w:themeColor="text1"/>
        </w:rPr>
        <w:t>at</w:t>
      </w:r>
      <w:r w:rsidR="009A0847">
        <w:rPr>
          <w:color w:val="000000" w:themeColor="text1"/>
        </w:rPr>
        <w:t xml:space="preserve"> </w:t>
      </w:r>
      <w:r w:rsidR="00C04CCA" w:rsidRPr="001428B6">
        <w:rPr>
          <w:color w:val="000000" w:themeColor="text1"/>
        </w:rPr>
        <w:t>the</w:t>
      </w:r>
      <w:r w:rsidR="009A0847">
        <w:rPr>
          <w:color w:val="000000" w:themeColor="text1"/>
        </w:rPr>
        <w:t xml:space="preserve"> </w:t>
      </w:r>
      <w:r w:rsidR="00C04CCA" w:rsidRPr="001428B6">
        <w:rPr>
          <w:color w:val="000000" w:themeColor="text1"/>
        </w:rPr>
        <w:t>DW</w:t>
      </w:r>
      <w:r w:rsidR="009A0847">
        <w:rPr>
          <w:color w:val="000000" w:themeColor="text1"/>
        </w:rPr>
        <w:t xml:space="preserve"> </w:t>
      </w:r>
      <w:r w:rsidR="00422339" w:rsidRPr="001428B6">
        <w:rPr>
          <w:color w:val="000000" w:themeColor="text1"/>
        </w:rPr>
        <w:t>in</w:t>
      </w:r>
      <w:r w:rsidR="009A0847">
        <w:rPr>
          <w:color w:val="000000" w:themeColor="text1"/>
        </w:rPr>
        <w:t xml:space="preserve"> </w:t>
      </w:r>
      <w:r w:rsidR="00422339" w:rsidRPr="001428B6">
        <w:rPr>
          <w:color w:val="000000" w:themeColor="text1"/>
        </w:rPr>
        <w:t>round</w:t>
      </w:r>
      <w:r w:rsidR="009A0847">
        <w:rPr>
          <w:color w:val="000000" w:themeColor="text1"/>
        </w:rPr>
        <w:t xml:space="preserve"> </w:t>
      </w:r>
      <w:r w:rsidR="00422339" w:rsidRPr="001428B6">
        <w:rPr>
          <w:color w:val="000000" w:themeColor="text1"/>
        </w:rPr>
        <w:t>1</w:t>
      </w:r>
      <w:r w:rsidR="009A0847">
        <w:rPr>
          <w:color w:val="000000" w:themeColor="text1"/>
        </w:rPr>
        <w:t xml:space="preserve"> </w:t>
      </w:r>
      <w:r w:rsidR="007C303E" w:rsidRPr="001428B6">
        <w:rPr>
          <w:color w:val="000000" w:themeColor="text1"/>
        </w:rPr>
        <w:t>when</w:t>
      </w:r>
      <w:r w:rsidR="009A0847">
        <w:rPr>
          <w:color w:val="000000" w:themeColor="text1"/>
        </w:rPr>
        <w:t xml:space="preserve"> </w:t>
      </w:r>
      <w:r w:rsidR="007C303E" w:rsidRPr="001428B6">
        <w:rPr>
          <w:color w:val="000000" w:themeColor="text1"/>
        </w:rPr>
        <w:t>illiquid</w:t>
      </w:r>
      <w:r w:rsidR="00057ABC" w:rsidRPr="001428B6">
        <w:rPr>
          <w:color w:val="000000" w:themeColor="text1"/>
        </w:rPr>
        <w:t>.</w:t>
      </w:r>
      <w:r w:rsidR="009A0847">
        <w:t xml:space="preserve"> </w:t>
      </w:r>
      <w:r w:rsidR="00422339">
        <w:t>Further</w:t>
      </w:r>
      <w:r w:rsidR="00057ABC" w:rsidRPr="001D4529">
        <w:t>,</w:t>
      </w:r>
      <w:r w:rsidR="009A0847">
        <w:t xml:space="preserve"> </w:t>
      </w:r>
      <w:r w:rsidR="00057ABC" w:rsidRPr="001D4529">
        <w:t>there</w:t>
      </w:r>
      <w:r w:rsidR="009A0847">
        <w:t xml:space="preserve"> </w:t>
      </w:r>
      <w:r w:rsidR="00057ABC" w:rsidRPr="001D4529">
        <w:t>is</w:t>
      </w:r>
      <w:r w:rsidR="009A0847">
        <w:t xml:space="preserve"> </w:t>
      </w:r>
      <w:r w:rsidR="00057ABC" w:rsidRPr="001D4529">
        <w:t>some</w:t>
      </w:r>
      <w:r w:rsidR="009A0847">
        <w:t xml:space="preserve"> </w:t>
      </w:r>
      <w:r w:rsidR="00057ABC" w:rsidRPr="001D4529">
        <w:t>evidence</w:t>
      </w:r>
      <w:r w:rsidR="009A0847">
        <w:t xml:space="preserve"> </w:t>
      </w:r>
      <w:r w:rsidR="00057ABC" w:rsidRPr="001D4529">
        <w:t>that</w:t>
      </w:r>
      <w:r w:rsidR="009A0847">
        <w:t xml:space="preserve"> </w:t>
      </w:r>
      <w:r w:rsidR="00057ABC" w:rsidRPr="001D4529">
        <w:t>banks</w:t>
      </w:r>
      <w:r w:rsidR="009A0847">
        <w:t xml:space="preserve"> </w:t>
      </w:r>
      <w:r w:rsidR="00C04CCA" w:rsidRPr="001D4529">
        <w:t>initially</w:t>
      </w:r>
      <w:r w:rsidR="009A0847">
        <w:t xml:space="preserve"> </w:t>
      </w:r>
      <w:r w:rsidR="00C04CCA" w:rsidRPr="001D4529">
        <w:t>try</w:t>
      </w:r>
      <w:r w:rsidR="009A0847">
        <w:t xml:space="preserve"> </w:t>
      </w:r>
      <w:r w:rsidR="00C04CCA" w:rsidRPr="001D4529">
        <w:t>to</w:t>
      </w:r>
      <w:r w:rsidR="009A0847">
        <w:t xml:space="preserve"> </w:t>
      </w:r>
      <w:r w:rsidR="00C04CCA" w:rsidRPr="001D4529">
        <w:t>coordinate</w:t>
      </w:r>
      <w:r w:rsidR="009A0847">
        <w:t xml:space="preserve"> </w:t>
      </w:r>
      <w:r w:rsidR="00C04CCA" w:rsidRPr="001D4529">
        <w:t>on</w:t>
      </w:r>
      <w:r w:rsidR="009A0847">
        <w:t xml:space="preserve"> </w:t>
      </w:r>
      <w:r w:rsidR="00C04CCA" w:rsidRPr="001D4529">
        <w:t>the</w:t>
      </w:r>
      <w:r w:rsidR="009A0847">
        <w:t xml:space="preserve"> </w:t>
      </w:r>
      <w:r w:rsidR="00C04CCA" w:rsidRPr="001D4529">
        <w:t>good</w:t>
      </w:r>
      <w:r w:rsidR="009A0847">
        <w:t xml:space="preserve"> </w:t>
      </w:r>
      <w:r w:rsidR="00C04CCA" w:rsidRPr="001D4529">
        <w:t>equilibrium</w:t>
      </w:r>
      <w:r w:rsidR="00057ABC" w:rsidRPr="001D4529">
        <w:t>.</w:t>
      </w:r>
      <w:r w:rsidR="009A0847">
        <w:t xml:space="preserve"> </w:t>
      </w:r>
      <w:r w:rsidR="00057ABC" w:rsidRPr="001D4529">
        <w:t>Indeed,</w:t>
      </w:r>
      <w:r w:rsidR="009A0847">
        <w:t xml:space="preserve"> </w:t>
      </w:r>
      <w:r w:rsidR="00C04CCA" w:rsidRPr="001D4529">
        <w:t>the</w:t>
      </w:r>
      <w:r w:rsidR="009A0847">
        <w:t xml:space="preserve"> </w:t>
      </w:r>
      <w:r w:rsidR="00C04CCA" w:rsidRPr="001D4529">
        <w:t>proportion</w:t>
      </w:r>
      <w:r w:rsidR="009A0847">
        <w:t xml:space="preserve"> </w:t>
      </w:r>
      <w:r w:rsidR="00C04CCA" w:rsidRPr="001D4529">
        <w:t>of</w:t>
      </w:r>
      <w:r w:rsidR="009A0847">
        <w:t xml:space="preserve"> </w:t>
      </w:r>
      <w:r w:rsidR="00C04CCA" w:rsidRPr="001D4529">
        <w:t>DW</w:t>
      </w:r>
      <w:r w:rsidR="009A0847">
        <w:t xml:space="preserve"> </w:t>
      </w:r>
      <w:r w:rsidR="00C04CCA" w:rsidRPr="001D4529">
        <w:t>borrower</w:t>
      </w:r>
      <w:r w:rsidR="00057ABC" w:rsidRPr="001D4529">
        <w:t>s</w:t>
      </w:r>
      <w:r w:rsidR="009A0847">
        <w:t xml:space="preserve"> </w:t>
      </w:r>
      <w:r w:rsidR="00C04CCA" w:rsidRPr="001D4529">
        <w:t>incre</w:t>
      </w:r>
      <w:r w:rsidR="00293A60">
        <w:t>ases</w:t>
      </w:r>
      <w:r w:rsidR="009A0847">
        <w:t xml:space="preserve"> </w:t>
      </w:r>
      <w:r w:rsidR="00293A60">
        <w:t>over</w:t>
      </w:r>
      <w:r w:rsidR="009A0847">
        <w:t xml:space="preserve"> </w:t>
      </w:r>
      <w:r w:rsidR="00293A60">
        <w:t>the</w:t>
      </w:r>
      <w:r w:rsidR="009A0847">
        <w:t xml:space="preserve"> </w:t>
      </w:r>
      <w:r w:rsidR="00293A60">
        <w:t>first</w:t>
      </w:r>
      <w:r w:rsidR="009A0847">
        <w:t xml:space="preserve"> </w:t>
      </w:r>
      <w:r w:rsidR="00293A60">
        <w:t>three</w:t>
      </w:r>
      <w:r w:rsidR="009A0847">
        <w:t xml:space="preserve"> </w:t>
      </w:r>
      <w:r w:rsidR="00293A60">
        <w:t>round</w:t>
      </w:r>
      <w:r w:rsidR="00294633" w:rsidRPr="001D4529">
        <w:t>s</w:t>
      </w:r>
      <w:r w:rsidR="00C04CCA" w:rsidRPr="001D4529">
        <w:t>.</w:t>
      </w:r>
      <w:r w:rsidR="009A0847">
        <w:t xml:space="preserve"> </w:t>
      </w:r>
      <w:r w:rsidR="00C04CCA" w:rsidRPr="001D4529">
        <w:t>This</w:t>
      </w:r>
      <w:r w:rsidR="009A0847">
        <w:t xml:space="preserve"> </w:t>
      </w:r>
      <w:r w:rsidR="00C04CCA" w:rsidRPr="001D4529">
        <w:t>effort,</w:t>
      </w:r>
      <w:r w:rsidR="009A0847">
        <w:t xml:space="preserve"> </w:t>
      </w:r>
      <w:r w:rsidR="00C04CCA" w:rsidRPr="001D4529">
        <w:t>how</w:t>
      </w:r>
      <w:r w:rsidR="00C04CCA" w:rsidRPr="001428B6">
        <w:rPr>
          <w:color w:val="000000" w:themeColor="text1"/>
        </w:rPr>
        <w:t>ever,</w:t>
      </w:r>
      <w:r w:rsidR="009A0847">
        <w:rPr>
          <w:color w:val="000000" w:themeColor="text1"/>
        </w:rPr>
        <w:t xml:space="preserve"> </w:t>
      </w:r>
      <w:r w:rsidR="00422339" w:rsidRPr="001428B6">
        <w:rPr>
          <w:color w:val="000000" w:themeColor="text1"/>
        </w:rPr>
        <w:t>is</w:t>
      </w:r>
      <w:r w:rsidR="009A0847">
        <w:rPr>
          <w:color w:val="000000" w:themeColor="text1"/>
        </w:rPr>
        <w:t xml:space="preserve"> </w:t>
      </w:r>
      <w:r w:rsidR="00422339" w:rsidRPr="001428B6">
        <w:rPr>
          <w:color w:val="000000" w:themeColor="text1"/>
        </w:rPr>
        <w:t>short</w:t>
      </w:r>
      <w:r w:rsidR="009A0847">
        <w:rPr>
          <w:color w:val="000000" w:themeColor="text1"/>
        </w:rPr>
        <w:t xml:space="preserve"> </w:t>
      </w:r>
      <w:r w:rsidR="00422339" w:rsidRPr="001428B6">
        <w:rPr>
          <w:color w:val="000000" w:themeColor="text1"/>
        </w:rPr>
        <w:t>lived</w:t>
      </w:r>
      <w:r w:rsidR="009A0847">
        <w:rPr>
          <w:color w:val="000000" w:themeColor="text1"/>
        </w:rPr>
        <w:t xml:space="preserve"> </w:t>
      </w:r>
      <w:r w:rsidR="00422339" w:rsidRPr="001428B6">
        <w:rPr>
          <w:color w:val="000000" w:themeColor="text1"/>
        </w:rPr>
        <w:t>and</w:t>
      </w:r>
      <w:r w:rsidR="009A0847">
        <w:rPr>
          <w:color w:val="000000" w:themeColor="text1"/>
        </w:rPr>
        <w:t xml:space="preserve"> </w:t>
      </w:r>
      <w:r w:rsidR="00C04CCA" w:rsidRPr="001428B6">
        <w:rPr>
          <w:color w:val="000000" w:themeColor="text1"/>
        </w:rPr>
        <w:t>quickly</w:t>
      </w:r>
      <w:r w:rsidR="009A0847">
        <w:rPr>
          <w:color w:val="000000" w:themeColor="text1"/>
        </w:rPr>
        <w:t xml:space="preserve"> </w:t>
      </w:r>
      <w:r w:rsidR="00C04CCA" w:rsidRPr="001428B6">
        <w:rPr>
          <w:color w:val="000000" w:themeColor="text1"/>
        </w:rPr>
        <w:t>unravels</w:t>
      </w:r>
      <w:r w:rsidR="00422339" w:rsidRPr="001428B6">
        <w:rPr>
          <w:color w:val="000000" w:themeColor="text1"/>
        </w:rPr>
        <w:t>.</w:t>
      </w:r>
      <w:r w:rsidR="009A0847">
        <w:rPr>
          <w:color w:val="000000" w:themeColor="text1"/>
        </w:rPr>
        <w:t xml:space="preserve"> </w:t>
      </w:r>
      <w:r w:rsidR="00422339" w:rsidRPr="001428B6">
        <w:rPr>
          <w:color w:val="000000" w:themeColor="text1"/>
        </w:rPr>
        <w:t>Over</w:t>
      </w:r>
      <w:r w:rsidR="009A0847">
        <w:rPr>
          <w:color w:val="000000" w:themeColor="text1"/>
        </w:rPr>
        <w:t xml:space="preserve"> </w:t>
      </w:r>
      <w:r w:rsidR="00422339" w:rsidRPr="001428B6">
        <w:rPr>
          <w:color w:val="000000" w:themeColor="text1"/>
        </w:rPr>
        <w:t>the</w:t>
      </w:r>
      <w:r w:rsidR="009A0847">
        <w:rPr>
          <w:color w:val="000000" w:themeColor="text1"/>
        </w:rPr>
        <w:t xml:space="preserve"> </w:t>
      </w:r>
      <w:r w:rsidR="00422339" w:rsidRPr="001428B6">
        <w:rPr>
          <w:color w:val="000000" w:themeColor="text1"/>
        </w:rPr>
        <w:t>last</w:t>
      </w:r>
      <w:r w:rsidR="009A0847">
        <w:rPr>
          <w:color w:val="000000" w:themeColor="text1"/>
        </w:rPr>
        <w:t xml:space="preserve"> </w:t>
      </w:r>
      <w:r w:rsidR="00422339" w:rsidRPr="001428B6">
        <w:rPr>
          <w:color w:val="000000" w:themeColor="text1"/>
        </w:rPr>
        <w:t>10</w:t>
      </w:r>
      <w:r w:rsidR="009A0847">
        <w:rPr>
          <w:color w:val="000000" w:themeColor="text1"/>
        </w:rPr>
        <w:t xml:space="preserve"> </w:t>
      </w:r>
      <w:r w:rsidR="00422339" w:rsidRPr="001428B6">
        <w:rPr>
          <w:color w:val="000000" w:themeColor="text1"/>
        </w:rPr>
        <w:t>rounds,</w:t>
      </w:r>
      <w:r w:rsidR="009A0847">
        <w:rPr>
          <w:color w:val="000000" w:themeColor="text1"/>
        </w:rPr>
        <w:t xml:space="preserve"> </w:t>
      </w:r>
      <w:r w:rsidR="00422339" w:rsidRPr="001428B6">
        <w:rPr>
          <w:color w:val="000000" w:themeColor="text1"/>
        </w:rPr>
        <w:t>stigma</w:t>
      </w:r>
      <w:r w:rsidR="009A0847">
        <w:rPr>
          <w:color w:val="000000" w:themeColor="text1"/>
        </w:rPr>
        <w:t xml:space="preserve"> </w:t>
      </w:r>
      <w:r w:rsidR="00422339" w:rsidRPr="001428B6">
        <w:rPr>
          <w:color w:val="000000" w:themeColor="text1"/>
        </w:rPr>
        <w:t>is</w:t>
      </w:r>
      <w:r w:rsidR="009A0847">
        <w:rPr>
          <w:color w:val="000000" w:themeColor="text1"/>
        </w:rPr>
        <w:t xml:space="preserve"> </w:t>
      </w:r>
      <w:r w:rsidRPr="001428B6">
        <w:rPr>
          <w:color w:val="000000" w:themeColor="text1"/>
        </w:rPr>
        <w:t>prevalent</w:t>
      </w:r>
      <w:r w:rsidR="009A0847">
        <w:rPr>
          <w:color w:val="000000" w:themeColor="text1"/>
        </w:rPr>
        <w:t xml:space="preserve"> </w:t>
      </w:r>
      <w:r w:rsidR="00422339" w:rsidRPr="001428B6">
        <w:rPr>
          <w:color w:val="000000" w:themeColor="text1"/>
        </w:rPr>
        <w:t>as</w:t>
      </w:r>
      <w:r w:rsidR="009A0847">
        <w:rPr>
          <w:color w:val="000000" w:themeColor="text1"/>
        </w:rPr>
        <w:t xml:space="preserve"> </w:t>
      </w:r>
      <w:r w:rsidR="00422339" w:rsidRPr="001428B6">
        <w:rPr>
          <w:color w:val="000000" w:themeColor="text1"/>
        </w:rPr>
        <w:t>only</w:t>
      </w:r>
      <w:r w:rsidR="009A0847">
        <w:rPr>
          <w:color w:val="000000" w:themeColor="text1"/>
        </w:rPr>
        <w:t xml:space="preserve"> </w:t>
      </w:r>
      <w:r w:rsidR="001428B6" w:rsidRPr="001428B6">
        <w:rPr>
          <w:color w:val="000000" w:themeColor="text1"/>
        </w:rPr>
        <w:t>20</w:t>
      </w:r>
      <w:r w:rsidR="00422339" w:rsidRPr="001428B6">
        <w:rPr>
          <w:color w:val="000000" w:themeColor="text1"/>
        </w:rPr>
        <w:t>%</w:t>
      </w:r>
      <w:r w:rsidR="009A0847">
        <w:rPr>
          <w:color w:val="000000" w:themeColor="text1"/>
        </w:rPr>
        <w:t xml:space="preserve"> </w:t>
      </w:r>
      <w:r w:rsidR="00422339" w:rsidRPr="001428B6">
        <w:rPr>
          <w:color w:val="000000" w:themeColor="text1"/>
        </w:rPr>
        <w:t>o</w:t>
      </w:r>
      <w:r w:rsidR="00422339">
        <w:t>f</w:t>
      </w:r>
      <w:r w:rsidR="009A0847">
        <w:t xml:space="preserve"> </w:t>
      </w:r>
      <w:r w:rsidR="00422339">
        <w:t>illiquid</w:t>
      </w:r>
      <w:r w:rsidR="009A0847">
        <w:t xml:space="preserve"> </w:t>
      </w:r>
      <w:r w:rsidR="00422339">
        <w:t>banks</w:t>
      </w:r>
      <w:r w:rsidR="009A0847">
        <w:t xml:space="preserve"> </w:t>
      </w:r>
      <w:r w:rsidR="00422339">
        <w:t>are</w:t>
      </w:r>
      <w:r w:rsidR="009A0847">
        <w:t xml:space="preserve"> </w:t>
      </w:r>
      <w:r w:rsidR="00422339">
        <w:t>willing</w:t>
      </w:r>
      <w:r w:rsidR="009A0847">
        <w:t xml:space="preserve"> </w:t>
      </w:r>
      <w:r w:rsidR="00422339">
        <w:t>to</w:t>
      </w:r>
      <w:r w:rsidR="009A0847">
        <w:t xml:space="preserve"> </w:t>
      </w:r>
      <w:r w:rsidR="00422339">
        <w:t>borrow</w:t>
      </w:r>
      <w:r w:rsidR="009A0847">
        <w:t xml:space="preserve"> </w:t>
      </w:r>
      <w:r w:rsidR="00422339">
        <w:t>at</w:t>
      </w:r>
      <w:r w:rsidR="009A0847">
        <w:t xml:space="preserve"> </w:t>
      </w:r>
      <w:r w:rsidR="00422339">
        <w:t>the</w:t>
      </w:r>
      <w:r w:rsidR="009A0847">
        <w:t xml:space="preserve"> </w:t>
      </w:r>
      <w:r w:rsidR="00422339">
        <w:t>DW.</w:t>
      </w:r>
      <w:r w:rsidR="009A0847">
        <w:t xml:space="preserve"> </w:t>
      </w:r>
      <w:r w:rsidR="00AF2CC9">
        <w:t>Thus</w:t>
      </w:r>
      <w:r w:rsidR="00294633" w:rsidRPr="001D4529">
        <w:t>,</w:t>
      </w:r>
      <w:r w:rsidR="009A0847">
        <w:t xml:space="preserve"> </w:t>
      </w:r>
      <w:r w:rsidR="00294633" w:rsidRPr="001D4529">
        <w:t>the</w:t>
      </w:r>
      <w:r w:rsidR="009A0847">
        <w:t xml:space="preserve"> </w:t>
      </w:r>
      <w:r w:rsidR="00294633" w:rsidRPr="001D4529">
        <w:t>banks</w:t>
      </w:r>
      <w:r>
        <w:t>’</w:t>
      </w:r>
      <w:r w:rsidR="009A0847">
        <w:t xml:space="preserve"> </w:t>
      </w:r>
      <w:r w:rsidR="009400E8">
        <w:t>choices</w:t>
      </w:r>
      <w:r w:rsidR="009A0847">
        <w:t xml:space="preserve"> </w:t>
      </w:r>
      <w:r w:rsidR="007C303E">
        <w:t>at</w:t>
      </w:r>
      <w:r w:rsidR="009A0847">
        <w:t xml:space="preserve"> </w:t>
      </w:r>
      <w:r w:rsidR="007C303E">
        <w:t>the</w:t>
      </w:r>
      <w:r w:rsidR="009A0847">
        <w:t xml:space="preserve"> </w:t>
      </w:r>
      <w:r w:rsidR="007C303E">
        <w:t>end</w:t>
      </w:r>
      <w:r w:rsidR="009A0847">
        <w:t xml:space="preserve"> </w:t>
      </w:r>
      <w:r w:rsidR="007C303E">
        <w:t>of</w:t>
      </w:r>
      <w:r w:rsidR="009A0847">
        <w:t xml:space="preserve"> </w:t>
      </w:r>
      <w:r w:rsidR="007C303E">
        <w:t>the</w:t>
      </w:r>
      <w:r w:rsidR="009A0847">
        <w:t xml:space="preserve"> </w:t>
      </w:r>
      <w:r w:rsidR="008A5C46">
        <w:t>control</w:t>
      </w:r>
      <w:r w:rsidR="009A0847">
        <w:t xml:space="preserve"> </w:t>
      </w:r>
      <w:r w:rsidR="008A5C46">
        <w:t>treatment</w:t>
      </w:r>
      <w:r w:rsidR="009A0847">
        <w:t xml:space="preserve"> </w:t>
      </w:r>
      <w:r w:rsidR="009400E8">
        <w:t>are</w:t>
      </w:r>
      <w:r w:rsidR="009A0847">
        <w:t xml:space="preserve"> </w:t>
      </w:r>
      <w:r>
        <w:t>generally</w:t>
      </w:r>
      <w:r w:rsidR="009A0847">
        <w:t xml:space="preserve"> </w:t>
      </w:r>
      <w:r w:rsidR="00294633" w:rsidRPr="001D4529">
        <w:t>consistent</w:t>
      </w:r>
      <w:r w:rsidR="009A0847">
        <w:t xml:space="preserve"> </w:t>
      </w:r>
      <w:r w:rsidR="00294633" w:rsidRPr="001D4529">
        <w:t>with</w:t>
      </w:r>
      <w:r w:rsidR="009A0847">
        <w:t xml:space="preserve"> </w:t>
      </w:r>
      <w:r w:rsidR="009400E8">
        <w:t>the</w:t>
      </w:r>
      <w:r w:rsidR="009A0847">
        <w:t xml:space="preserve"> </w:t>
      </w:r>
      <w:r w:rsidR="00294633" w:rsidRPr="001D4529">
        <w:t>DW</w:t>
      </w:r>
      <w:r w:rsidR="009A0847">
        <w:t xml:space="preserve"> </w:t>
      </w:r>
      <w:r w:rsidR="00294633" w:rsidRPr="001D4529">
        <w:t>stigma</w:t>
      </w:r>
      <w:r w:rsidR="009A0847">
        <w:t xml:space="preserve"> </w:t>
      </w:r>
      <w:r w:rsidR="009400E8">
        <w:t>equilibrium</w:t>
      </w:r>
      <w:r w:rsidR="00294633" w:rsidRPr="001D4529">
        <w:t>.</w:t>
      </w:r>
      <w:r w:rsidR="009A0847">
        <w:t xml:space="preserve"> </w:t>
      </w:r>
      <w:r>
        <w:t>Figure</w:t>
      </w:r>
      <w:r w:rsidR="009A0847">
        <w:t xml:space="preserve"> </w:t>
      </w:r>
      <w:r>
        <w:t>1.1</w:t>
      </w:r>
      <w:r w:rsidR="009A0847">
        <w:t xml:space="preserve"> </w:t>
      </w:r>
      <w:r>
        <w:t>of</w:t>
      </w:r>
      <w:r w:rsidR="009A0847">
        <w:t xml:space="preserve"> </w:t>
      </w:r>
      <w:r w:rsidR="00FD75B4">
        <w:t>Appendix</w:t>
      </w:r>
      <w:r w:rsidR="009A0847">
        <w:t xml:space="preserve"> </w:t>
      </w:r>
      <w:r w:rsidR="00AF2CC9">
        <w:t>4</w:t>
      </w:r>
      <w:r w:rsidR="009A0847">
        <w:t xml:space="preserve"> </w:t>
      </w:r>
      <w:r w:rsidR="007C303E">
        <w:t>reveal</w:t>
      </w:r>
      <w:r w:rsidR="008A5C46">
        <w:t>s</w:t>
      </w:r>
      <w:r w:rsidR="009A0847">
        <w:t xml:space="preserve"> </w:t>
      </w:r>
      <w:r w:rsidR="009400E8">
        <w:t>that</w:t>
      </w:r>
      <w:r w:rsidR="009A0847">
        <w:t xml:space="preserve"> </w:t>
      </w:r>
      <w:r w:rsidR="009400E8">
        <w:t>this</w:t>
      </w:r>
      <w:r w:rsidR="009A0847">
        <w:t xml:space="preserve"> </w:t>
      </w:r>
      <w:r w:rsidR="009400E8">
        <w:t>behavior</w:t>
      </w:r>
      <w:r w:rsidR="009A0847">
        <w:t xml:space="preserve"> </w:t>
      </w:r>
      <w:r w:rsidR="009400E8">
        <w:t>is</w:t>
      </w:r>
      <w:r w:rsidR="009A0847">
        <w:t xml:space="preserve"> </w:t>
      </w:r>
      <w:r w:rsidR="009400E8">
        <w:t>systematic</w:t>
      </w:r>
      <w:r w:rsidR="009A0847">
        <w:t xml:space="preserve"> </w:t>
      </w:r>
      <w:r w:rsidR="009400E8">
        <w:t>as</w:t>
      </w:r>
      <w:r w:rsidR="009A0847">
        <w:t xml:space="preserve"> </w:t>
      </w:r>
      <w:r w:rsidR="009400E8">
        <w:t>co</w:t>
      </w:r>
      <w:r w:rsidR="00FD75B4">
        <w:t>ordination</w:t>
      </w:r>
      <w:r w:rsidR="009A0847">
        <w:t xml:space="preserve"> </w:t>
      </w:r>
      <w:r w:rsidR="00FD75B4">
        <w:t>on</w:t>
      </w:r>
      <w:r w:rsidR="009A0847">
        <w:t xml:space="preserve"> </w:t>
      </w:r>
      <w:r w:rsidR="009400E8">
        <w:t>the</w:t>
      </w:r>
      <w:r w:rsidR="009A0847">
        <w:t xml:space="preserve"> </w:t>
      </w:r>
      <w:r w:rsidR="009400E8">
        <w:t>stigma</w:t>
      </w:r>
      <w:r w:rsidR="009A0847">
        <w:t xml:space="preserve"> </w:t>
      </w:r>
      <w:r w:rsidR="00FD75B4">
        <w:t>strategy</w:t>
      </w:r>
      <w:r w:rsidR="009A0847">
        <w:t xml:space="preserve"> </w:t>
      </w:r>
      <w:r w:rsidR="009400E8">
        <w:t>is</w:t>
      </w:r>
      <w:r w:rsidR="009A0847">
        <w:t xml:space="preserve"> </w:t>
      </w:r>
      <w:r w:rsidR="009400E8">
        <w:t>observed</w:t>
      </w:r>
      <w:r w:rsidR="009A0847">
        <w:t xml:space="preserve"> </w:t>
      </w:r>
      <w:r w:rsidR="009400E8">
        <w:t>in</w:t>
      </w:r>
      <w:r w:rsidR="009A0847">
        <w:t xml:space="preserve"> </w:t>
      </w:r>
      <w:r w:rsidR="009400E8">
        <w:t>all</w:t>
      </w:r>
      <w:r w:rsidR="009A0847">
        <w:t xml:space="preserve"> </w:t>
      </w:r>
      <w:r w:rsidR="009400E8">
        <w:t>6</w:t>
      </w:r>
      <w:r w:rsidR="009A0847">
        <w:t xml:space="preserve"> </w:t>
      </w:r>
      <w:r w:rsidR="009400E8">
        <w:t>sessions</w:t>
      </w:r>
      <w:r w:rsidR="009A0847">
        <w:t xml:space="preserve"> </w:t>
      </w:r>
      <w:r w:rsidR="007C303E">
        <w:t>we</w:t>
      </w:r>
      <w:r w:rsidR="009A0847">
        <w:t xml:space="preserve"> </w:t>
      </w:r>
      <w:r w:rsidR="007C303E">
        <w:t>conducted</w:t>
      </w:r>
      <w:r w:rsidR="009400E8">
        <w:t>.</w:t>
      </w:r>
    </w:p>
    <w:p w14:paraId="1253B1F8" w14:textId="29A7C841" w:rsidR="00AB5924" w:rsidRDefault="00AB5924" w:rsidP="00F86E09">
      <w:pPr>
        <w:pStyle w:val="Olivier1"/>
        <w:widowControl w:val="0"/>
        <w:ind w:firstLine="360"/>
      </w:pPr>
      <w:r>
        <w:t>To</w:t>
      </w:r>
      <w:r w:rsidR="009A0847">
        <w:t xml:space="preserve"> </w:t>
      </w:r>
      <w:r>
        <w:t>sum</w:t>
      </w:r>
      <w:r w:rsidR="009A0847">
        <w:t xml:space="preserve"> </w:t>
      </w:r>
      <w:r>
        <w:t>up,</w:t>
      </w:r>
      <w:r w:rsidR="009A0847">
        <w:t xml:space="preserve"> </w:t>
      </w:r>
      <w:r w:rsidR="00057ABC">
        <w:t>behavior</w:t>
      </w:r>
      <w:r w:rsidR="009A0847">
        <w:t xml:space="preserve"> </w:t>
      </w:r>
      <w:r w:rsidR="00057ABC">
        <w:t>in</w:t>
      </w:r>
      <w:r w:rsidR="009A0847">
        <w:t xml:space="preserve"> </w:t>
      </w:r>
      <w:r w:rsidR="00057ABC">
        <w:t>the</w:t>
      </w:r>
      <w:r w:rsidR="009A0847">
        <w:t xml:space="preserve"> </w:t>
      </w:r>
      <w:r w:rsidR="00057ABC">
        <w:t>control</w:t>
      </w:r>
      <w:r w:rsidR="009A0847">
        <w:t xml:space="preserve"> </w:t>
      </w:r>
      <w:r w:rsidR="00057ABC">
        <w:t>treatment</w:t>
      </w:r>
      <w:r w:rsidR="009A0847">
        <w:t xml:space="preserve"> </w:t>
      </w:r>
      <w:r w:rsidR="00057ABC">
        <w:t>is</w:t>
      </w:r>
      <w:r w:rsidR="009A0847">
        <w:t xml:space="preserve"> </w:t>
      </w:r>
      <w:r w:rsidR="00057ABC">
        <w:t>g</w:t>
      </w:r>
      <w:r w:rsidR="009400E8">
        <w:t>enerally</w:t>
      </w:r>
      <w:r w:rsidR="009A0847">
        <w:t xml:space="preserve"> </w:t>
      </w:r>
      <w:r w:rsidR="009400E8">
        <w:t>consistent</w:t>
      </w:r>
      <w:r w:rsidR="009A0847">
        <w:t xml:space="preserve"> </w:t>
      </w:r>
      <w:r w:rsidR="009400E8">
        <w:t>with</w:t>
      </w:r>
      <w:r w:rsidR="009A0847">
        <w:t xml:space="preserve"> </w:t>
      </w:r>
      <w:r w:rsidR="009400E8">
        <w:t>theory.</w:t>
      </w:r>
      <w:r w:rsidR="009A0847">
        <w:t xml:space="preserve"> </w:t>
      </w:r>
      <w:r w:rsidR="00057ABC">
        <w:t>Further,</w:t>
      </w:r>
      <w:r w:rsidR="009A0847">
        <w:t xml:space="preserve"> </w:t>
      </w:r>
      <w:r w:rsidR="00057ABC">
        <w:t>banks</w:t>
      </w:r>
      <w:r w:rsidR="00FD75B4">
        <w:t>’</w:t>
      </w:r>
      <w:r w:rsidR="009A0847">
        <w:t xml:space="preserve"> </w:t>
      </w:r>
      <w:r w:rsidR="0038793D">
        <w:t>behavior</w:t>
      </w:r>
      <w:r w:rsidR="009A0847">
        <w:t xml:space="preserve"> </w:t>
      </w:r>
      <w:r w:rsidR="0038793D">
        <w:t>converg</w:t>
      </w:r>
      <w:r w:rsidR="005B5956">
        <w:t>es</w:t>
      </w:r>
      <w:r w:rsidR="009A0847">
        <w:t xml:space="preserve"> </w:t>
      </w:r>
      <w:r w:rsidR="001D4529">
        <w:t>toward</w:t>
      </w:r>
      <w:r w:rsidR="009A0847">
        <w:t xml:space="preserve"> </w:t>
      </w:r>
      <w:r w:rsidR="001D4529">
        <w:t>the</w:t>
      </w:r>
      <w:r w:rsidR="009A0847">
        <w:t xml:space="preserve"> </w:t>
      </w:r>
      <w:r w:rsidR="001D4529">
        <w:t>s</w:t>
      </w:r>
      <w:r w:rsidR="0038793D">
        <w:t>tigma</w:t>
      </w:r>
      <w:r w:rsidR="009A0847">
        <w:t xml:space="preserve"> </w:t>
      </w:r>
      <w:r w:rsidR="0038793D">
        <w:t>strategy</w:t>
      </w:r>
      <w:r w:rsidR="009A0847">
        <w:t xml:space="preserve"> </w:t>
      </w:r>
      <w:r w:rsidR="000D7B77">
        <w:t>in</w:t>
      </w:r>
      <w:r w:rsidR="009A0847">
        <w:t xml:space="preserve"> </w:t>
      </w:r>
      <w:r w:rsidR="000D7B77">
        <w:t>every</w:t>
      </w:r>
      <w:r w:rsidR="009A0847">
        <w:t xml:space="preserve"> </w:t>
      </w:r>
      <w:r w:rsidR="000D7B77">
        <w:t>session</w:t>
      </w:r>
      <w:r w:rsidR="009A0847">
        <w:t xml:space="preserve"> </w:t>
      </w:r>
      <w:r w:rsidR="000D7B77">
        <w:t>we</w:t>
      </w:r>
      <w:r w:rsidR="009A0847">
        <w:t xml:space="preserve"> </w:t>
      </w:r>
      <w:r w:rsidR="000D7B77">
        <w:t>conducted</w:t>
      </w:r>
      <w:r w:rsidR="0038793D">
        <w:t>.</w:t>
      </w:r>
      <w:r w:rsidR="009A0847">
        <w:t xml:space="preserve"> </w:t>
      </w:r>
      <w:r w:rsidR="009400E8">
        <w:t>Thus,</w:t>
      </w:r>
      <w:r w:rsidR="009A0847">
        <w:t xml:space="preserve"> </w:t>
      </w:r>
      <w:r w:rsidR="00AF2CC9">
        <w:t>we</w:t>
      </w:r>
      <w:r w:rsidR="009A0847">
        <w:t xml:space="preserve"> </w:t>
      </w:r>
      <w:r w:rsidR="00AF2CC9">
        <w:t>have</w:t>
      </w:r>
      <w:r w:rsidR="009A0847">
        <w:t xml:space="preserve"> </w:t>
      </w:r>
      <w:r w:rsidR="00AF2CC9">
        <w:t>been</w:t>
      </w:r>
      <w:r w:rsidR="009A0847">
        <w:t xml:space="preserve"> </w:t>
      </w:r>
      <w:r w:rsidR="00AF2CC9">
        <w:t>able</w:t>
      </w:r>
      <w:r w:rsidR="009A0847">
        <w:t xml:space="preserve"> </w:t>
      </w:r>
      <w:r w:rsidR="00AF2CC9">
        <w:t>to</w:t>
      </w:r>
      <w:r w:rsidR="009A0847">
        <w:t xml:space="preserve"> </w:t>
      </w:r>
      <w:r w:rsidR="00AF2CC9">
        <w:t>replicate</w:t>
      </w:r>
      <w:r w:rsidR="009A0847">
        <w:t xml:space="preserve"> </w:t>
      </w:r>
      <w:r>
        <w:t>in</w:t>
      </w:r>
      <w:r w:rsidR="009A0847">
        <w:t xml:space="preserve"> </w:t>
      </w:r>
      <w:r>
        <w:t>the</w:t>
      </w:r>
      <w:r w:rsidR="009A0847">
        <w:t xml:space="preserve"> </w:t>
      </w:r>
      <w:r>
        <w:t>lab</w:t>
      </w:r>
      <w:r w:rsidR="009A0847">
        <w:t xml:space="preserve"> </w:t>
      </w:r>
      <w:r w:rsidR="00AF2CC9">
        <w:t>DW</w:t>
      </w:r>
      <w:r w:rsidR="009A0847">
        <w:t xml:space="preserve"> </w:t>
      </w:r>
      <w:r w:rsidR="00AF2CC9">
        <w:t>stigma,</w:t>
      </w:r>
      <w:r w:rsidR="009A0847">
        <w:t xml:space="preserve"> </w:t>
      </w:r>
      <w:r w:rsidR="00AF2CC9">
        <w:t>a</w:t>
      </w:r>
      <w:r w:rsidR="009A0847">
        <w:t xml:space="preserve"> </w:t>
      </w:r>
      <w:r w:rsidR="00AF2CC9">
        <w:t>behavior</w:t>
      </w:r>
      <w:r w:rsidR="009A0847">
        <w:t xml:space="preserve"> </w:t>
      </w:r>
      <w:r>
        <w:t>widely</w:t>
      </w:r>
      <w:r w:rsidR="009A0847">
        <w:t xml:space="preserve"> </w:t>
      </w:r>
      <w:r>
        <w:t>believed</w:t>
      </w:r>
      <w:r w:rsidR="009A0847">
        <w:t xml:space="preserve"> </w:t>
      </w:r>
      <w:r>
        <w:t>to</w:t>
      </w:r>
      <w:r w:rsidR="009A0847">
        <w:t xml:space="preserve"> </w:t>
      </w:r>
      <w:r>
        <w:t>occur</w:t>
      </w:r>
      <w:r w:rsidR="00FD75B4">
        <w:t>,</w:t>
      </w:r>
      <w:r w:rsidR="009A0847">
        <w:t xml:space="preserve"> </w:t>
      </w:r>
      <w:r w:rsidR="00FD75B4">
        <w:t>but</w:t>
      </w:r>
      <w:r w:rsidR="009A0847">
        <w:t xml:space="preserve"> </w:t>
      </w:r>
      <w:r w:rsidR="00FD75B4">
        <w:t>rarely</w:t>
      </w:r>
      <w:r w:rsidR="009A0847">
        <w:t xml:space="preserve"> </w:t>
      </w:r>
      <w:r w:rsidR="00FD75B4">
        <w:t>observed</w:t>
      </w:r>
      <w:r w:rsidR="009A0847">
        <w:t xml:space="preserve"> </w:t>
      </w:r>
      <w:r>
        <w:t>in</w:t>
      </w:r>
      <w:r w:rsidR="009A0847">
        <w:t xml:space="preserve"> </w:t>
      </w:r>
      <w:r>
        <w:t>the</w:t>
      </w:r>
      <w:r w:rsidR="009A0847">
        <w:t xml:space="preserve"> </w:t>
      </w:r>
      <w:r>
        <w:t>field.</w:t>
      </w:r>
      <w:r w:rsidR="009A0847">
        <w:t xml:space="preserve"> </w:t>
      </w:r>
      <w:r w:rsidR="001C2282">
        <w:t>This,</w:t>
      </w:r>
      <w:r w:rsidR="009A0847">
        <w:t xml:space="preserve"> </w:t>
      </w:r>
      <w:r w:rsidR="001C2282">
        <w:t>in</w:t>
      </w:r>
      <w:r w:rsidR="009A0847">
        <w:t xml:space="preserve"> </w:t>
      </w:r>
      <w:r w:rsidR="001C2282">
        <w:t>itself,</w:t>
      </w:r>
      <w:r w:rsidR="009A0847">
        <w:t xml:space="preserve"> </w:t>
      </w:r>
      <w:r w:rsidR="001C2282">
        <w:t>may</w:t>
      </w:r>
      <w:r w:rsidR="009A0847">
        <w:t xml:space="preserve"> </w:t>
      </w:r>
      <w:r w:rsidR="001C2282">
        <w:t>be</w:t>
      </w:r>
      <w:r w:rsidR="009A0847">
        <w:t xml:space="preserve"> </w:t>
      </w:r>
      <w:r w:rsidR="001C2282">
        <w:t>considered</w:t>
      </w:r>
      <w:r w:rsidR="009A0847">
        <w:t xml:space="preserve"> </w:t>
      </w:r>
      <w:r w:rsidR="001C2282">
        <w:t>an</w:t>
      </w:r>
      <w:r w:rsidR="009A0847">
        <w:t xml:space="preserve"> </w:t>
      </w:r>
      <w:r w:rsidR="001C2282">
        <w:t>interesting</w:t>
      </w:r>
      <w:r w:rsidR="009A0847">
        <w:t xml:space="preserve"> </w:t>
      </w:r>
      <w:r w:rsidR="001C2282">
        <w:t>result.</w:t>
      </w:r>
      <w:r w:rsidR="009A0847">
        <w:t xml:space="preserve"> </w:t>
      </w:r>
      <w:r w:rsidR="0038793D">
        <w:t>Next,</w:t>
      </w:r>
      <w:r w:rsidR="009A0847">
        <w:t xml:space="preserve"> </w:t>
      </w:r>
      <w:r w:rsidR="0038793D">
        <w:t>we</w:t>
      </w:r>
      <w:r w:rsidR="009A0847">
        <w:t xml:space="preserve"> </w:t>
      </w:r>
      <w:r w:rsidR="0038793D">
        <w:t>look</w:t>
      </w:r>
      <w:r w:rsidR="009A0847">
        <w:t xml:space="preserve"> </w:t>
      </w:r>
      <w:r w:rsidR="0038793D">
        <w:t>at</w:t>
      </w:r>
      <w:r w:rsidR="009A0847">
        <w:t xml:space="preserve"> </w:t>
      </w:r>
      <w:r w:rsidR="0038793D">
        <w:t>fact</w:t>
      </w:r>
      <w:r w:rsidR="00AF2CC9">
        <w:t>ors</w:t>
      </w:r>
      <w:r w:rsidR="009A0847">
        <w:t xml:space="preserve"> </w:t>
      </w:r>
      <w:r w:rsidR="00AF2CC9">
        <w:t>that</w:t>
      </w:r>
      <w:r w:rsidR="009A0847">
        <w:t xml:space="preserve"> </w:t>
      </w:r>
      <w:r w:rsidR="00AF2CC9">
        <w:t>may</w:t>
      </w:r>
      <w:r w:rsidR="009A0847">
        <w:t xml:space="preserve"> </w:t>
      </w:r>
      <w:r w:rsidR="00AF2CC9">
        <w:t>shift</w:t>
      </w:r>
      <w:r w:rsidR="009A0847">
        <w:t xml:space="preserve"> </w:t>
      </w:r>
      <w:r w:rsidR="00A7436E">
        <w:t>banks</w:t>
      </w:r>
      <w:r w:rsidR="009A0847">
        <w:t xml:space="preserve"> </w:t>
      </w:r>
      <w:r w:rsidR="00A7436E">
        <w:t>from</w:t>
      </w:r>
      <w:r w:rsidR="009A0847">
        <w:t xml:space="preserve"> </w:t>
      </w:r>
      <w:r w:rsidR="00A7436E">
        <w:t>the</w:t>
      </w:r>
      <w:r w:rsidR="009A0847">
        <w:t xml:space="preserve"> </w:t>
      </w:r>
      <w:r w:rsidR="00A7436E">
        <w:t>bad</w:t>
      </w:r>
      <w:r w:rsidR="009A0847">
        <w:t xml:space="preserve"> </w:t>
      </w:r>
      <w:r w:rsidR="00A7436E">
        <w:t>equilibrium</w:t>
      </w:r>
      <w:r w:rsidR="009A0847">
        <w:t xml:space="preserve"> </w:t>
      </w:r>
      <w:r w:rsidR="0038793D">
        <w:t>to</w:t>
      </w:r>
      <w:r w:rsidR="009A0847">
        <w:t xml:space="preserve"> </w:t>
      </w:r>
      <w:r w:rsidR="0038793D">
        <w:t>the</w:t>
      </w:r>
      <w:r w:rsidR="009A0847">
        <w:t xml:space="preserve"> </w:t>
      </w:r>
      <w:r w:rsidR="0038793D">
        <w:t>go</w:t>
      </w:r>
      <w:r w:rsidR="00FD75B4">
        <w:t>o</w:t>
      </w:r>
      <w:r w:rsidR="0038793D">
        <w:t>d</w:t>
      </w:r>
      <w:r w:rsidR="007C303E">
        <w:t>,</w:t>
      </w:r>
      <w:r w:rsidR="009A0847">
        <w:t xml:space="preserve"> </w:t>
      </w:r>
      <w:r w:rsidR="000D7B77">
        <w:t>stigma-free</w:t>
      </w:r>
      <w:r w:rsidR="009A0847">
        <w:t xml:space="preserve"> </w:t>
      </w:r>
      <w:r w:rsidR="0038793D">
        <w:t>equilibrium.</w:t>
      </w:r>
      <w:r w:rsidR="009A0847">
        <w:t xml:space="preserve"> </w:t>
      </w:r>
    </w:p>
    <w:p w14:paraId="3C602BA2" w14:textId="13262A92" w:rsidR="00294633" w:rsidRDefault="001C2282" w:rsidP="00F86E09">
      <w:pPr>
        <w:pStyle w:val="Heading3"/>
        <w:widowControl w:val="0"/>
        <w:spacing w:line="276" w:lineRule="auto"/>
      </w:pPr>
      <w:r>
        <w:t>The</w:t>
      </w:r>
      <w:r w:rsidR="009A0847">
        <w:t xml:space="preserve"> </w:t>
      </w:r>
      <w:r w:rsidR="0038793D">
        <w:t>low</w:t>
      </w:r>
      <w:r w:rsidR="009A0847">
        <w:t xml:space="preserve"> </w:t>
      </w:r>
      <w:r>
        <w:t>DW</w:t>
      </w:r>
      <w:r w:rsidR="009A0847">
        <w:t xml:space="preserve"> </w:t>
      </w:r>
      <w:r w:rsidR="0038793D">
        <w:t>cost</w:t>
      </w:r>
      <w:r w:rsidR="009A0847">
        <w:t xml:space="preserve"> </w:t>
      </w:r>
      <w:r w:rsidR="0038793D">
        <w:t>treatment</w:t>
      </w:r>
    </w:p>
    <w:p w14:paraId="6F213878" w14:textId="15A2F387" w:rsidR="000B50FA" w:rsidRDefault="006D1D2D" w:rsidP="005B5956">
      <w:pPr>
        <w:pStyle w:val="Olivier1"/>
        <w:widowControl w:val="0"/>
        <w:spacing w:after="0"/>
        <w:rPr>
          <w:szCs w:val="24"/>
        </w:rPr>
      </w:pPr>
      <w:r w:rsidRPr="006D1D2D">
        <w:rPr>
          <w:szCs w:val="24"/>
        </w:rPr>
        <w:t>Figure</w:t>
      </w:r>
      <w:r w:rsidR="009A0847">
        <w:rPr>
          <w:szCs w:val="24"/>
        </w:rPr>
        <w:t xml:space="preserve"> </w:t>
      </w:r>
      <w:r w:rsidRPr="006D1D2D">
        <w:rPr>
          <w:szCs w:val="24"/>
        </w:rPr>
        <w:t>2</w:t>
      </w:r>
      <w:r w:rsidR="009A0847">
        <w:rPr>
          <w:szCs w:val="24"/>
        </w:rPr>
        <w:t xml:space="preserve"> </w:t>
      </w:r>
      <w:r w:rsidRPr="006D1D2D">
        <w:rPr>
          <w:szCs w:val="24"/>
        </w:rPr>
        <w:t>indicates</w:t>
      </w:r>
      <w:r w:rsidR="009A0847">
        <w:rPr>
          <w:szCs w:val="24"/>
        </w:rPr>
        <w:t xml:space="preserve"> </w:t>
      </w:r>
      <w:r>
        <w:rPr>
          <w:szCs w:val="24"/>
        </w:rPr>
        <w:t>that</w:t>
      </w:r>
      <w:r w:rsidR="001C2282">
        <w:rPr>
          <w:szCs w:val="24"/>
        </w:rPr>
        <w:t>,</w:t>
      </w:r>
      <w:r w:rsidR="009A0847">
        <w:rPr>
          <w:szCs w:val="24"/>
        </w:rPr>
        <w:t xml:space="preserve"> </w:t>
      </w:r>
      <w:r w:rsidR="001C2282">
        <w:rPr>
          <w:szCs w:val="24"/>
        </w:rPr>
        <w:t>by</w:t>
      </w:r>
      <w:r w:rsidR="009A0847">
        <w:rPr>
          <w:szCs w:val="24"/>
        </w:rPr>
        <w:t xml:space="preserve"> </w:t>
      </w:r>
      <w:r w:rsidR="001C2282">
        <w:rPr>
          <w:szCs w:val="24"/>
        </w:rPr>
        <w:t>and</w:t>
      </w:r>
      <w:r w:rsidR="009A0847">
        <w:rPr>
          <w:szCs w:val="24"/>
        </w:rPr>
        <w:t xml:space="preserve"> </w:t>
      </w:r>
      <w:r w:rsidR="0016329E">
        <w:rPr>
          <w:szCs w:val="24"/>
        </w:rPr>
        <w:t>large,</w:t>
      </w:r>
      <w:r w:rsidR="009A0847">
        <w:rPr>
          <w:szCs w:val="24"/>
        </w:rPr>
        <w:t xml:space="preserve"> </w:t>
      </w:r>
      <w:r>
        <w:rPr>
          <w:szCs w:val="24"/>
        </w:rPr>
        <w:t>behavior</w:t>
      </w:r>
      <w:r w:rsidR="009A0847">
        <w:rPr>
          <w:szCs w:val="24"/>
        </w:rPr>
        <w:t xml:space="preserve"> </w:t>
      </w:r>
      <w:r w:rsidR="0016329E">
        <w:rPr>
          <w:szCs w:val="24"/>
        </w:rPr>
        <w:t>in</w:t>
      </w:r>
      <w:r w:rsidR="009A0847">
        <w:rPr>
          <w:szCs w:val="24"/>
        </w:rPr>
        <w:t xml:space="preserve"> </w:t>
      </w:r>
      <w:r w:rsidR="0016329E">
        <w:rPr>
          <w:szCs w:val="24"/>
        </w:rPr>
        <w:t>the</w:t>
      </w:r>
      <w:r w:rsidR="009A0847">
        <w:rPr>
          <w:szCs w:val="24"/>
        </w:rPr>
        <w:t xml:space="preserve"> </w:t>
      </w:r>
      <w:r w:rsidR="0016329E">
        <w:rPr>
          <w:szCs w:val="24"/>
        </w:rPr>
        <w:t>low</w:t>
      </w:r>
      <w:r w:rsidR="009A0847">
        <w:rPr>
          <w:szCs w:val="24"/>
        </w:rPr>
        <w:t xml:space="preserve"> </w:t>
      </w:r>
      <w:r w:rsidR="0016329E">
        <w:rPr>
          <w:szCs w:val="24"/>
        </w:rPr>
        <w:t>DW</w:t>
      </w:r>
      <w:r w:rsidR="009A0847">
        <w:rPr>
          <w:szCs w:val="24"/>
        </w:rPr>
        <w:t xml:space="preserve"> </w:t>
      </w:r>
      <w:r w:rsidR="0016329E">
        <w:rPr>
          <w:szCs w:val="24"/>
        </w:rPr>
        <w:t>cost</w:t>
      </w:r>
      <w:r w:rsidR="009A0847">
        <w:rPr>
          <w:szCs w:val="24"/>
        </w:rPr>
        <w:t xml:space="preserve"> </w:t>
      </w:r>
      <w:r w:rsidR="0016329E">
        <w:rPr>
          <w:szCs w:val="24"/>
        </w:rPr>
        <w:t>treatment</w:t>
      </w:r>
      <w:r w:rsidR="009A0847">
        <w:rPr>
          <w:szCs w:val="24"/>
        </w:rPr>
        <w:t xml:space="preserve"> </w:t>
      </w:r>
      <w:r w:rsidR="007C303E">
        <w:rPr>
          <w:szCs w:val="24"/>
        </w:rPr>
        <w:t>is</w:t>
      </w:r>
      <w:r w:rsidR="009A0847">
        <w:rPr>
          <w:szCs w:val="24"/>
        </w:rPr>
        <w:t xml:space="preserve"> </w:t>
      </w:r>
      <w:r w:rsidR="007C303E">
        <w:rPr>
          <w:szCs w:val="24"/>
        </w:rPr>
        <w:t>consistent</w:t>
      </w:r>
      <w:r w:rsidR="009A0847">
        <w:rPr>
          <w:szCs w:val="24"/>
        </w:rPr>
        <w:t xml:space="preserve"> </w:t>
      </w:r>
      <w:r w:rsidR="007C303E">
        <w:rPr>
          <w:szCs w:val="24"/>
        </w:rPr>
        <w:t>with</w:t>
      </w:r>
      <w:r w:rsidR="009A0847">
        <w:rPr>
          <w:szCs w:val="24"/>
        </w:rPr>
        <w:t xml:space="preserve"> </w:t>
      </w:r>
      <w:r w:rsidR="007C303E">
        <w:rPr>
          <w:szCs w:val="24"/>
        </w:rPr>
        <w:lastRenderedPageBreak/>
        <w:t>behavior</w:t>
      </w:r>
      <w:r w:rsidR="009A0847">
        <w:rPr>
          <w:szCs w:val="24"/>
        </w:rPr>
        <w:t xml:space="preserve"> </w:t>
      </w:r>
      <w:r w:rsidR="0016329E">
        <w:rPr>
          <w:szCs w:val="24"/>
        </w:rPr>
        <w:t>in</w:t>
      </w:r>
      <w:r w:rsidR="009A0847">
        <w:rPr>
          <w:szCs w:val="24"/>
        </w:rPr>
        <w:t xml:space="preserve"> </w:t>
      </w:r>
      <w:r w:rsidR="0016329E">
        <w:rPr>
          <w:szCs w:val="24"/>
        </w:rPr>
        <w:t>t</w:t>
      </w:r>
      <w:r>
        <w:rPr>
          <w:szCs w:val="24"/>
        </w:rPr>
        <w:t>h</w:t>
      </w:r>
      <w:r w:rsidR="004A1545">
        <w:rPr>
          <w:szCs w:val="24"/>
        </w:rPr>
        <w:t>e</w:t>
      </w:r>
      <w:r w:rsidR="009A0847">
        <w:rPr>
          <w:szCs w:val="24"/>
        </w:rPr>
        <w:t xml:space="preserve"> </w:t>
      </w:r>
      <w:r>
        <w:rPr>
          <w:szCs w:val="24"/>
        </w:rPr>
        <w:t>control</w:t>
      </w:r>
      <w:r w:rsidR="009A0847">
        <w:rPr>
          <w:szCs w:val="24"/>
        </w:rPr>
        <w:t xml:space="preserve"> </w:t>
      </w:r>
      <w:r>
        <w:rPr>
          <w:szCs w:val="24"/>
        </w:rPr>
        <w:t>treatment.</w:t>
      </w:r>
      <w:r w:rsidR="009A0847">
        <w:rPr>
          <w:szCs w:val="24"/>
        </w:rPr>
        <w:t xml:space="preserve"> </w:t>
      </w:r>
      <w:r w:rsidR="000B50FA">
        <w:rPr>
          <w:szCs w:val="24"/>
        </w:rPr>
        <w:t>Similar</w:t>
      </w:r>
      <w:r w:rsidR="009A0847">
        <w:rPr>
          <w:szCs w:val="24"/>
        </w:rPr>
        <w:t xml:space="preserve"> </w:t>
      </w:r>
      <w:r w:rsidR="000B50FA">
        <w:rPr>
          <w:szCs w:val="24"/>
        </w:rPr>
        <w:t>to</w:t>
      </w:r>
      <w:r w:rsidR="009A0847">
        <w:rPr>
          <w:szCs w:val="24"/>
        </w:rPr>
        <w:t xml:space="preserve"> </w:t>
      </w:r>
      <w:r w:rsidR="000B50FA">
        <w:rPr>
          <w:szCs w:val="24"/>
        </w:rPr>
        <w:t>the</w:t>
      </w:r>
      <w:r w:rsidR="009A0847">
        <w:rPr>
          <w:szCs w:val="24"/>
        </w:rPr>
        <w:t xml:space="preserve"> </w:t>
      </w:r>
      <w:r w:rsidR="000B50FA">
        <w:rPr>
          <w:szCs w:val="24"/>
        </w:rPr>
        <w:t>control</w:t>
      </w:r>
      <w:r w:rsidR="009A0847">
        <w:rPr>
          <w:szCs w:val="24"/>
        </w:rPr>
        <w:t xml:space="preserve"> </w:t>
      </w:r>
      <w:r w:rsidR="000B50FA">
        <w:rPr>
          <w:szCs w:val="24"/>
        </w:rPr>
        <w:t>treatment,</w:t>
      </w:r>
      <w:r w:rsidR="009A0847">
        <w:rPr>
          <w:szCs w:val="24"/>
        </w:rPr>
        <w:t xml:space="preserve"> </w:t>
      </w:r>
      <w:r w:rsidR="000B50FA">
        <w:rPr>
          <w:szCs w:val="24"/>
        </w:rPr>
        <w:t>investors</w:t>
      </w:r>
      <w:r w:rsidR="009A0847">
        <w:rPr>
          <w:szCs w:val="24"/>
        </w:rPr>
        <w:t xml:space="preserve"> </w:t>
      </w:r>
      <w:r w:rsidR="000B50FA">
        <w:rPr>
          <w:szCs w:val="24"/>
        </w:rPr>
        <w:t>realize</w:t>
      </w:r>
      <w:r w:rsidR="009A0847">
        <w:rPr>
          <w:szCs w:val="24"/>
        </w:rPr>
        <w:t xml:space="preserve"> </w:t>
      </w:r>
      <w:r w:rsidR="000B50FA">
        <w:rPr>
          <w:szCs w:val="24"/>
        </w:rPr>
        <w:t>almost</w:t>
      </w:r>
      <w:r w:rsidR="009A0847">
        <w:rPr>
          <w:szCs w:val="24"/>
        </w:rPr>
        <w:t xml:space="preserve"> </w:t>
      </w:r>
      <w:r w:rsidR="000B50FA">
        <w:rPr>
          <w:szCs w:val="24"/>
        </w:rPr>
        <w:t>immediately</w:t>
      </w:r>
      <w:r w:rsidR="009A0847">
        <w:rPr>
          <w:szCs w:val="24"/>
        </w:rPr>
        <w:t xml:space="preserve"> </w:t>
      </w:r>
      <w:r w:rsidR="000B50FA">
        <w:rPr>
          <w:szCs w:val="24"/>
        </w:rPr>
        <w:t>that</w:t>
      </w:r>
      <w:r w:rsidR="009A0847">
        <w:rPr>
          <w:szCs w:val="24"/>
        </w:rPr>
        <w:t xml:space="preserve"> </w:t>
      </w:r>
      <w:r w:rsidR="000B50FA">
        <w:rPr>
          <w:szCs w:val="24"/>
        </w:rPr>
        <w:t>they</w:t>
      </w:r>
      <w:r w:rsidR="009A0847">
        <w:rPr>
          <w:szCs w:val="24"/>
        </w:rPr>
        <w:t xml:space="preserve"> </w:t>
      </w:r>
      <w:r w:rsidR="000B50FA">
        <w:rPr>
          <w:szCs w:val="24"/>
        </w:rPr>
        <w:t>should</w:t>
      </w:r>
      <w:r w:rsidR="009A0847">
        <w:rPr>
          <w:szCs w:val="24"/>
        </w:rPr>
        <w:t xml:space="preserve"> </w:t>
      </w:r>
      <w:r w:rsidR="000B50FA">
        <w:rPr>
          <w:szCs w:val="24"/>
        </w:rPr>
        <w:t>fund</w:t>
      </w:r>
      <w:r w:rsidR="009A0847">
        <w:rPr>
          <w:szCs w:val="24"/>
        </w:rPr>
        <w:t xml:space="preserve"> </w:t>
      </w:r>
      <w:r w:rsidR="000B50FA">
        <w:rPr>
          <w:szCs w:val="24"/>
        </w:rPr>
        <w:t>a</w:t>
      </w:r>
      <w:r w:rsidR="009A0847">
        <w:rPr>
          <w:szCs w:val="24"/>
        </w:rPr>
        <w:t xml:space="preserve"> </w:t>
      </w:r>
      <w:r w:rsidR="000B50FA">
        <w:rPr>
          <w:szCs w:val="24"/>
        </w:rPr>
        <w:t>bank</w:t>
      </w:r>
      <w:r w:rsidR="009A0847">
        <w:rPr>
          <w:szCs w:val="24"/>
        </w:rPr>
        <w:t xml:space="preserve"> </w:t>
      </w:r>
      <w:r w:rsidR="007C303E">
        <w:rPr>
          <w:szCs w:val="24"/>
        </w:rPr>
        <w:t>not</w:t>
      </w:r>
      <w:r w:rsidR="009A0847">
        <w:rPr>
          <w:szCs w:val="24"/>
        </w:rPr>
        <w:t xml:space="preserve"> </w:t>
      </w:r>
      <w:r w:rsidR="000B50FA">
        <w:rPr>
          <w:szCs w:val="24"/>
        </w:rPr>
        <w:t>detected</w:t>
      </w:r>
      <w:r w:rsidR="009A0847">
        <w:rPr>
          <w:szCs w:val="24"/>
        </w:rPr>
        <w:t xml:space="preserve"> </w:t>
      </w:r>
      <w:r w:rsidR="000B50FA">
        <w:rPr>
          <w:szCs w:val="24"/>
        </w:rPr>
        <w:t>a</w:t>
      </w:r>
      <w:r w:rsidR="00FD75B4">
        <w:rPr>
          <w:szCs w:val="24"/>
        </w:rPr>
        <w:t>t</w:t>
      </w:r>
      <w:r w:rsidR="009A0847">
        <w:rPr>
          <w:szCs w:val="24"/>
        </w:rPr>
        <w:t xml:space="preserve"> </w:t>
      </w:r>
      <w:r w:rsidR="00FD75B4">
        <w:rPr>
          <w:szCs w:val="24"/>
        </w:rPr>
        <w:t>the</w:t>
      </w:r>
      <w:r w:rsidR="009A0847">
        <w:rPr>
          <w:szCs w:val="24"/>
        </w:rPr>
        <w:t xml:space="preserve"> </w:t>
      </w:r>
      <w:r w:rsidR="00FD75B4">
        <w:rPr>
          <w:szCs w:val="24"/>
        </w:rPr>
        <w:t>DW,</w:t>
      </w:r>
      <w:r w:rsidR="009A0847">
        <w:rPr>
          <w:szCs w:val="24"/>
        </w:rPr>
        <w:t xml:space="preserve"> </w:t>
      </w:r>
      <w:r w:rsidR="00FD75B4">
        <w:rPr>
          <w:szCs w:val="24"/>
        </w:rPr>
        <w:t>and</w:t>
      </w:r>
      <w:r w:rsidR="009A0847">
        <w:rPr>
          <w:szCs w:val="24"/>
        </w:rPr>
        <w:t xml:space="preserve"> </w:t>
      </w:r>
      <w:r w:rsidR="00FD75B4">
        <w:rPr>
          <w:szCs w:val="24"/>
        </w:rPr>
        <w:t>they</w:t>
      </w:r>
      <w:r w:rsidR="009A0847">
        <w:rPr>
          <w:szCs w:val="24"/>
        </w:rPr>
        <w:t xml:space="preserve"> </w:t>
      </w:r>
      <w:r w:rsidR="00FD75B4">
        <w:rPr>
          <w:szCs w:val="24"/>
        </w:rPr>
        <w:t>quickly</w:t>
      </w:r>
      <w:r w:rsidR="009A0847">
        <w:rPr>
          <w:szCs w:val="24"/>
        </w:rPr>
        <w:t xml:space="preserve"> </w:t>
      </w:r>
      <w:r w:rsidR="00FD75B4">
        <w:rPr>
          <w:szCs w:val="24"/>
        </w:rPr>
        <w:t>learn</w:t>
      </w:r>
      <w:r w:rsidR="009A0847">
        <w:rPr>
          <w:szCs w:val="24"/>
        </w:rPr>
        <w:t xml:space="preserve"> </w:t>
      </w:r>
      <w:r w:rsidR="00986402">
        <w:rPr>
          <w:szCs w:val="24"/>
        </w:rPr>
        <w:t>to</w:t>
      </w:r>
      <w:r w:rsidR="009A0847">
        <w:rPr>
          <w:szCs w:val="24"/>
        </w:rPr>
        <w:t xml:space="preserve"> </w:t>
      </w:r>
      <w:r w:rsidR="00986402">
        <w:rPr>
          <w:szCs w:val="24"/>
        </w:rPr>
        <w:t>stigmatize</w:t>
      </w:r>
      <w:r w:rsidR="009A0847">
        <w:rPr>
          <w:szCs w:val="24"/>
        </w:rPr>
        <w:t xml:space="preserve"> </w:t>
      </w:r>
      <w:r w:rsidR="00986402">
        <w:rPr>
          <w:szCs w:val="24"/>
        </w:rPr>
        <w:t>DW</w:t>
      </w:r>
      <w:r w:rsidR="009A0847">
        <w:rPr>
          <w:szCs w:val="24"/>
        </w:rPr>
        <w:t xml:space="preserve"> </w:t>
      </w:r>
      <w:r w:rsidR="00986402">
        <w:rPr>
          <w:szCs w:val="24"/>
        </w:rPr>
        <w:t>borrowers</w:t>
      </w:r>
      <w:r w:rsidR="009A0847">
        <w:rPr>
          <w:szCs w:val="24"/>
        </w:rPr>
        <w:t xml:space="preserve"> </w:t>
      </w:r>
      <w:r w:rsidR="008A5C46">
        <w:rPr>
          <w:szCs w:val="24"/>
        </w:rPr>
        <w:t>(i.e.</w:t>
      </w:r>
      <w:r w:rsidR="009A0847">
        <w:rPr>
          <w:szCs w:val="24"/>
        </w:rPr>
        <w:t xml:space="preserve"> </w:t>
      </w:r>
      <w:r w:rsidR="00986402">
        <w:rPr>
          <w:szCs w:val="24"/>
        </w:rPr>
        <w:t>not</w:t>
      </w:r>
      <w:r w:rsidR="009A0847">
        <w:rPr>
          <w:szCs w:val="24"/>
        </w:rPr>
        <w:t xml:space="preserve"> </w:t>
      </w:r>
      <w:r w:rsidR="00986402">
        <w:rPr>
          <w:szCs w:val="24"/>
        </w:rPr>
        <w:t>to</w:t>
      </w:r>
      <w:r w:rsidR="009A0847">
        <w:rPr>
          <w:szCs w:val="24"/>
        </w:rPr>
        <w:t xml:space="preserve"> </w:t>
      </w:r>
      <w:r w:rsidR="00986402">
        <w:rPr>
          <w:szCs w:val="24"/>
        </w:rPr>
        <w:t>fu</w:t>
      </w:r>
      <w:r w:rsidR="008A5C46">
        <w:rPr>
          <w:szCs w:val="24"/>
        </w:rPr>
        <w:t>nd</w:t>
      </w:r>
      <w:r w:rsidR="009A0847">
        <w:rPr>
          <w:szCs w:val="24"/>
        </w:rPr>
        <w:t xml:space="preserve"> </w:t>
      </w:r>
      <w:r w:rsidR="00986402">
        <w:rPr>
          <w:szCs w:val="24"/>
        </w:rPr>
        <w:t>detected</w:t>
      </w:r>
      <w:r w:rsidR="009A0847">
        <w:rPr>
          <w:szCs w:val="24"/>
        </w:rPr>
        <w:t xml:space="preserve"> </w:t>
      </w:r>
      <w:r w:rsidR="00986402">
        <w:rPr>
          <w:szCs w:val="24"/>
        </w:rPr>
        <w:t>bank</w:t>
      </w:r>
      <w:r w:rsidR="008A5C46">
        <w:rPr>
          <w:szCs w:val="24"/>
        </w:rPr>
        <w:t>s)</w:t>
      </w:r>
      <w:r w:rsidR="000B50FA">
        <w:rPr>
          <w:szCs w:val="24"/>
        </w:rPr>
        <w:t>.</w:t>
      </w:r>
      <w:r w:rsidR="009A0847">
        <w:rPr>
          <w:szCs w:val="24"/>
        </w:rPr>
        <w:t xml:space="preserve"> </w:t>
      </w:r>
      <w:r w:rsidR="000B50FA">
        <w:rPr>
          <w:szCs w:val="24"/>
        </w:rPr>
        <w:t>In</w:t>
      </w:r>
      <w:r w:rsidR="009A0847">
        <w:rPr>
          <w:szCs w:val="24"/>
        </w:rPr>
        <w:t xml:space="preserve"> </w:t>
      </w:r>
      <w:r w:rsidR="000B50FA">
        <w:rPr>
          <w:szCs w:val="24"/>
        </w:rPr>
        <w:t>fact,</w:t>
      </w:r>
      <w:r w:rsidR="009A0847">
        <w:rPr>
          <w:szCs w:val="24"/>
        </w:rPr>
        <w:t xml:space="preserve"> </w:t>
      </w:r>
      <w:r w:rsidR="000B50FA">
        <w:rPr>
          <w:szCs w:val="24"/>
        </w:rPr>
        <w:t>we</w:t>
      </w:r>
      <w:r w:rsidR="009A0847">
        <w:rPr>
          <w:szCs w:val="24"/>
        </w:rPr>
        <w:t xml:space="preserve"> </w:t>
      </w:r>
      <w:r w:rsidR="000B50FA">
        <w:rPr>
          <w:szCs w:val="24"/>
        </w:rPr>
        <w:t>are</w:t>
      </w:r>
      <w:r w:rsidR="009A0847">
        <w:rPr>
          <w:szCs w:val="24"/>
        </w:rPr>
        <w:t xml:space="preserve"> </w:t>
      </w:r>
      <w:r w:rsidR="000B50FA">
        <w:rPr>
          <w:szCs w:val="24"/>
        </w:rPr>
        <w:t>unable</w:t>
      </w:r>
      <w:r w:rsidR="009A0847">
        <w:rPr>
          <w:szCs w:val="24"/>
        </w:rPr>
        <w:t xml:space="preserve"> </w:t>
      </w:r>
      <w:r w:rsidR="000B50FA">
        <w:rPr>
          <w:szCs w:val="24"/>
        </w:rPr>
        <w:t>to</w:t>
      </w:r>
      <w:r w:rsidR="009A0847">
        <w:rPr>
          <w:szCs w:val="24"/>
        </w:rPr>
        <w:t xml:space="preserve"> </w:t>
      </w:r>
      <w:r w:rsidR="00FD75B4">
        <w:rPr>
          <w:szCs w:val="24"/>
        </w:rPr>
        <w:t>find</w:t>
      </w:r>
      <w:r w:rsidR="009A0847">
        <w:rPr>
          <w:szCs w:val="24"/>
        </w:rPr>
        <w:t xml:space="preserve"> </w:t>
      </w:r>
      <w:r w:rsidR="005B5956">
        <w:rPr>
          <w:szCs w:val="24"/>
        </w:rPr>
        <w:t>a</w:t>
      </w:r>
      <w:r w:rsidR="009A0847">
        <w:rPr>
          <w:szCs w:val="24"/>
        </w:rPr>
        <w:t xml:space="preserve"> </w:t>
      </w:r>
      <w:r w:rsidR="000B50FA">
        <w:rPr>
          <w:szCs w:val="24"/>
        </w:rPr>
        <w:t>statistical</w:t>
      </w:r>
      <w:r w:rsidR="009A0847">
        <w:rPr>
          <w:szCs w:val="24"/>
        </w:rPr>
        <w:t xml:space="preserve"> </w:t>
      </w:r>
      <w:r w:rsidR="000B50FA">
        <w:rPr>
          <w:szCs w:val="24"/>
        </w:rPr>
        <w:t>difference</w:t>
      </w:r>
      <w:r w:rsidR="009A0847">
        <w:rPr>
          <w:szCs w:val="24"/>
        </w:rPr>
        <w:t xml:space="preserve"> </w:t>
      </w:r>
      <w:r w:rsidR="000B50FA">
        <w:rPr>
          <w:szCs w:val="24"/>
        </w:rPr>
        <w:t>in</w:t>
      </w:r>
      <w:r w:rsidR="009A0847">
        <w:rPr>
          <w:szCs w:val="24"/>
        </w:rPr>
        <w:t xml:space="preserve"> </w:t>
      </w:r>
      <w:r w:rsidR="000B50FA">
        <w:rPr>
          <w:szCs w:val="24"/>
        </w:rPr>
        <w:t>the</w:t>
      </w:r>
      <w:r w:rsidR="009A0847">
        <w:rPr>
          <w:szCs w:val="24"/>
        </w:rPr>
        <w:t xml:space="preserve"> </w:t>
      </w:r>
      <w:r w:rsidR="000B50FA">
        <w:rPr>
          <w:szCs w:val="24"/>
        </w:rPr>
        <w:t>investors’</w:t>
      </w:r>
      <w:r w:rsidR="009A0847">
        <w:rPr>
          <w:szCs w:val="24"/>
        </w:rPr>
        <w:t xml:space="preserve"> </w:t>
      </w:r>
      <w:r w:rsidR="000B50FA">
        <w:rPr>
          <w:szCs w:val="24"/>
        </w:rPr>
        <w:t>decisions</w:t>
      </w:r>
      <w:r w:rsidR="009A0847">
        <w:rPr>
          <w:szCs w:val="24"/>
        </w:rPr>
        <w:t xml:space="preserve"> </w:t>
      </w:r>
      <w:r w:rsidR="000B50FA">
        <w:rPr>
          <w:szCs w:val="24"/>
        </w:rPr>
        <w:t>between</w:t>
      </w:r>
      <w:r w:rsidR="009A0847">
        <w:rPr>
          <w:szCs w:val="24"/>
        </w:rPr>
        <w:t xml:space="preserve"> </w:t>
      </w:r>
      <w:r w:rsidR="000B50FA">
        <w:rPr>
          <w:szCs w:val="24"/>
        </w:rPr>
        <w:t>the</w:t>
      </w:r>
      <w:r w:rsidR="009A0847">
        <w:rPr>
          <w:szCs w:val="24"/>
        </w:rPr>
        <w:t xml:space="preserve"> </w:t>
      </w:r>
      <w:r w:rsidR="000B50FA">
        <w:rPr>
          <w:szCs w:val="24"/>
        </w:rPr>
        <w:t>control</w:t>
      </w:r>
      <w:r w:rsidR="009A0847">
        <w:rPr>
          <w:szCs w:val="24"/>
        </w:rPr>
        <w:t xml:space="preserve"> </w:t>
      </w:r>
      <w:r w:rsidR="000B50FA">
        <w:rPr>
          <w:szCs w:val="24"/>
        </w:rPr>
        <w:t>and</w:t>
      </w:r>
      <w:r w:rsidR="009A0847">
        <w:rPr>
          <w:szCs w:val="24"/>
        </w:rPr>
        <w:t xml:space="preserve"> </w:t>
      </w:r>
      <w:r w:rsidR="00986402">
        <w:rPr>
          <w:szCs w:val="24"/>
        </w:rPr>
        <w:t>the</w:t>
      </w:r>
      <w:r w:rsidR="009A0847">
        <w:rPr>
          <w:szCs w:val="24"/>
        </w:rPr>
        <w:t xml:space="preserve"> </w:t>
      </w:r>
      <w:r w:rsidR="00986402">
        <w:rPr>
          <w:szCs w:val="24"/>
        </w:rPr>
        <w:t>low</w:t>
      </w:r>
      <w:r w:rsidR="009A0847">
        <w:rPr>
          <w:szCs w:val="24"/>
        </w:rPr>
        <w:t xml:space="preserve"> </w:t>
      </w:r>
      <w:r w:rsidR="00986402">
        <w:rPr>
          <w:szCs w:val="24"/>
        </w:rPr>
        <w:t>DW</w:t>
      </w:r>
      <w:r w:rsidR="009A0847">
        <w:rPr>
          <w:szCs w:val="24"/>
        </w:rPr>
        <w:t xml:space="preserve"> </w:t>
      </w:r>
      <w:r w:rsidR="00986402">
        <w:rPr>
          <w:szCs w:val="24"/>
        </w:rPr>
        <w:t>cost</w:t>
      </w:r>
      <w:r w:rsidR="009A0847">
        <w:rPr>
          <w:szCs w:val="24"/>
        </w:rPr>
        <w:t xml:space="preserve"> </w:t>
      </w:r>
      <w:r w:rsidR="00986402">
        <w:rPr>
          <w:szCs w:val="24"/>
        </w:rPr>
        <w:t>treatment</w:t>
      </w:r>
      <w:r w:rsidR="009A0847">
        <w:rPr>
          <w:szCs w:val="24"/>
        </w:rPr>
        <w:t xml:space="preserve"> </w:t>
      </w:r>
      <w:r w:rsidR="00FD75B4">
        <w:rPr>
          <w:szCs w:val="24"/>
        </w:rPr>
        <w:t>at</w:t>
      </w:r>
      <w:r w:rsidR="009A0847">
        <w:rPr>
          <w:szCs w:val="24"/>
        </w:rPr>
        <w:t xml:space="preserve"> </w:t>
      </w:r>
      <w:r w:rsidR="00FD75B4">
        <w:rPr>
          <w:szCs w:val="24"/>
        </w:rPr>
        <w:t>usual</w:t>
      </w:r>
      <w:r w:rsidR="009A0847">
        <w:rPr>
          <w:szCs w:val="24"/>
        </w:rPr>
        <w:t xml:space="preserve"> </w:t>
      </w:r>
      <w:r w:rsidR="00FD75B4">
        <w:rPr>
          <w:szCs w:val="24"/>
        </w:rPr>
        <w:t>significance</w:t>
      </w:r>
      <w:r w:rsidR="009A0847">
        <w:rPr>
          <w:szCs w:val="24"/>
        </w:rPr>
        <w:t xml:space="preserve"> </w:t>
      </w:r>
      <w:r w:rsidR="00FD75B4">
        <w:rPr>
          <w:szCs w:val="24"/>
        </w:rPr>
        <w:t>levels</w:t>
      </w:r>
      <w:r w:rsidR="00986402">
        <w:rPr>
          <w:szCs w:val="24"/>
        </w:rPr>
        <w:t>.</w:t>
      </w:r>
      <w:r w:rsidR="000D7B77">
        <w:rPr>
          <w:rStyle w:val="FootnoteReference"/>
        </w:rPr>
        <w:footnoteReference w:id="27"/>
      </w:r>
      <w:r w:rsidR="009A0847">
        <w:rPr>
          <w:szCs w:val="24"/>
        </w:rPr>
        <w:t xml:space="preserve"> </w:t>
      </w:r>
      <w:r w:rsidR="00986402">
        <w:rPr>
          <w:szCs w:val="24"/>
        </w:rPr>
        <w:t>Th</w:t>
      </w:r>
      <w:r w:rsidR="007C303E">
        <w:rPr>
          <w:szCs w:val="24"/>
        </w:rPr>
        <w:t>us,</w:t>
      </w:r>
      <w:r w:rsidR="009A0847">
        <w:rPr>
          <w:szCs w:val="24"/>
        </w:rPr>
        <w:t xml:space="preserve"> </w:t>
      </w:r>
      <w:r w:rsidR="00986402">
        <w:rPr>
          <w:szCs w:val="24"/>
        </w:rPr>
        <w:t>investors’</w:t>
      </w:r>
      <w:r w:rsidR="009A0847">
        <w:rPr>
          <w:szCs w:val="24"/>
        </w:rPr>
        <w:t xml:space="preserve"> </w:t>
      </w:r>
      <w:r w:rsidR="00986402">
        <w:rPr>
          <w:szCs w:val="24"/>
        </w:rPr>
        <w:t>behavior</w:t>
      </w:r>
      <w:r w:rsidR="009A0847">
        <w:rPr>
          <w:szCs w:val="24"/>
        </w:rPr>
        <w:t xml:space="preserve"> </w:t>
      </w:r>
      <w:r w:rsidR="0016329E">
        <w:rPr>
          <w:szCs w:val="24"/>
        </w:rPr>
        <w:t>is</w:t>
      </w:r>
      <w:r w:rsidR="009A0847">
        <w:rPr>
          <w:szCs w:val="24"/>
        </w:rPr>
        <w:t xml:space="preserve"> </w:t>
      </w:r>
      <w:r w:rsidR="00FD75B4">
        <w:rPr>
          <w:szCs w:val="24"/>
        </w:rPr>
        <w:t>again</w:t>
      </w:r>
      <w:r w:rsidR="009A0847">
        <w:rPr>
          <w:szCs w:val="24"/>
        </w:rPr>
        <w:t xml:space="preserve"> </w:t>
      </w:r>
      <w:r w:rsidR="00FD75B4">
        <w:rPr>
          <w:szCs w:val="24"/>
        </w:rPr>
        <w:t>generally</w:t>
      </w:r>
      <w:r w:rsidR="009A0847">
        <w:rPr>
          <w:szCs w:val="24"/>
        </w:rPr>
        <w:t xml:space="preserve"> </w:t>
      </w:r>
      <w:r w:rsidR="0016329E">
        <w:rPr>
          <w:szCs w:val="24"/>
        </w:rPr>
        <w:t>consistent</w:t>
      </w:r>
      <w:r w:rsidR="009A0847">
        <w:rPr>
          <w:szCs w:val="24"/>
        </w:rPr>
        <w:t xml:space="preserve"> </w:t>
      </w:r>
      <w:r w:rsidR="00986402">
        <w:rPr>
          <w:szCs w:val="24"/>
        </w:rPr>
        <w:t>with</w:t>
      </w:r>
      <w:r w:rsidR="009A0847">
        <w:rPr>
          <w:szCs w:val="24"/>
        </w:rPr>
        <w:t xml:space="preserve"> </w:t>
      </w:r>
      <w:r w:rsidR="0016329E">
        <w:rPr>
          <w:szCs w:val="24"/>
        </w:rPr>
        <w:t>theory</w:t>
      </w:r>
      <w:r w:rsidR="007C303E">
        <w:rPr>
          <w:szCs w:val="24"/>
        </w:rPr>
        <w:t>,</w:t>
      </w:r>
      <w:r w:rsidR="009A0847">
        <w:rPr>
          <w:szCs w:val="24"/>
        </w:rPr>
        <w:t xml:space="preserve"> </w:t>
      </w:r>
      <w:r w:rsidR="007C303E">
        <w:rPr>
          <w:szCs w:val="24"/>
        </w:rPr>
        <w:t>which</w:t>
      </w:r>
      <w:r w:rsidR="009A0847">
        <w:rPr>
          <w:szCs w:val="24"/>
        </w:rPr>
        <w:t xml:space="preserve"> </w:t>
      </w:r>
      <w:r w:rsidR="000B50FA">
        <w:rPr>
          <w:szCs w:val="24"/>
        </w:rPr>
        <w:t>provides</w:t>
      </w:r>
      <w:r w:rsidR="009A0847">
        <w:rPr>
          <w:szCs w:val="24"/>
        </w:rPr>
        <w:t xml:space="preserve"> </w:t>
      </w:r>
      <w:r w:rsidR="00895AE3">
        <w:rPr>
          <w:szCs w:val="24"/>
        </w:rPr>
        <w:t>additional</w:t>
      </w:r>
      <w:r w:rsidR="009A0847">
        <w:rPr>
          <w:szCs w:val="24"/>
        </w:rPr>
        <w:t xml:space="preserve"> </w:t>
      </w:r>
      <w:r w:rsidR="000B50FA">
        <w:rPr>
          <w:szCs w:val="24"/>
        </w:rPr>
        <w:t>support</w:t>
      </w:r>
      <w:r w:rsidR="009A0847">
        <w:rPr>
          <w:szCs w:val="24"/>
        </w:rPr>
        <w:t xml:space="preserve"> </w:t>
      </w:r>
      <w:r w:rsidR="000B50FA">
        <w:rPr>
          <w:szCs w:val="24"/>
        </w:rPr>
        <w:t>for</w:t>
      </w:r>
      <w:r w:rsidR="009A0847">
        <w:rPr>
          <w:szCs w:val="24"/>
        </w:rPr>
        <w:t xml:space="preserve"> </w:t>
      </w:r>
      <w:r w:rsidR="000D7B77">
        <w:rPr>
          <w:b/>
          <w:i/>
          <w:szCs w:val="24"/>
        </w:rPr>
        <w:t>P</w:t>
      </w:r>
      <w:r w:rsidR="000D7B77" w:rsidRPr="007C303E">
        <w:rPr>
          <w:b/>
          <w:i/>
          <w:szCs w:val="24"/>
        </w:rPr>
        <w:t>1</w:t>
      </w:r>
      <w:r w:rsidR="000B50FA">
        <w:rPr>
          <w:szCs w:val="24"/>
        </w:rPr>
        <w:t>.</w:t>
      </w:r>
    </w:p>
    <w:p w14:paraId="2E712C72" w14:textId="77777777" w:rsidR="00E962B0" w:rsidRPr="00107B69" w:rsidRDefault="00E962B0" w:rsidP="00F86E09">
      <w:pPr>
        <w:pStyle w:val="Olivier1"/>
        <w:widowControl w:val="0"/>
        <w:spacing w:after="0"/>
        <w:rPr>
          <w:color w:val="FF0000"/>
          <w:sz w:val="8"/>
          <w:szCs w:val="8"/>
        </w:rPr>
      </w:pPr>
    </w:p>
    <w:p w14:paraId="46C2DA9F" w14:textId="1C1503BF" w:rsidR="00E962B0" w:rsidRDefault="00E962B0" w:rsidP="005B59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0"/>
        <w:jc w:val="center"/>
        <w:rPr>
          <w:b/>
          <w:u w:val="single"/>
        </w:rPr>
      </w:pPr>
      <w:r w:rsidRPr="00374730">
        <w:rPr>
          <w:b/>
          <w:color w:val="000000" w:themeColor="text1"/>
          <w:u w:val="single"/>
        </w:rPr>
        <w:t>Figure</w:t>
      </w:r>
      <w:r w:rsidR="009A0847" w:rsidRPr="00374730">
        <w:rPr>
          <w:b/>
          <w:color w:val="000000" w:themeColor="text1"/>
          <w:u w:val="single"/>
        </w:rPr>
        <w:t xml:space="preserve"> </w:t>
      </w:r>
      <w:r w:rsidRPr="00374730">
        <w:rPr>
          <w:b/>
          <w:color w:val="000000" w:themeColor="text1"/>
          <w:u w:val="single"/>
        </w:rPr>
        <w:t>2:</w:t>
      </w:r>
      <w:r w:rsidR="009A0847" w:rsidRPr="00374730">
        <w:rPr>
          <w:b/>
          <w:color w:val="000000" w:themeColor="text1"/>
          <w:u w:val="single"/>
        </w:rPr>
        <w:t xml:space="preserve"> </w:t>
      </w:r>
      <w:r w:rsidRPr="00374730">
        <w:rPr>
          <w:b/>
          <w:color w:val="000000" w:themeColor="text1"/>
          <w:u w:val="single"/>
        </w:rPr>
        <w:t>Low</w:t>
      </w:r>
      <w:r w:rsidR="009A0847" w:rsidRPr="00374730">
        <w:rPr>
          <w:b/>
          <w:color w:val="000000" w:themeColor="text1"/>
          <w:u w:val="single"/>
        </w:rPr>
        <w:t xml:space="preserve"> </w:t>
      </w:r>
      <w:r w:rsidRPr="00374730">
        <w:rPr>
          <w:b/>
          <w:color w:val="000000" w:themeColor="text1"/>
          <w:u w:val="single"/>
        </w:rPr>
        <w:t>DW</w:t>
      </w:r>
      <w:r w:rsidR="009A0847" w:rsidRPr="00374730">
        <w:rPr>
          <w:b/>
          <w:color w:val="000000" w:themeColor="text1"/>
          <w:u w:val="single"/>
        </w:rPr>
        <w:t xml:space="preserve"> </w:t>
      </w:r>
      <w:r w:rsidRPr="00374730">
        <w:rPr>
          <w:b/>
          <w:color w:val="000000" w:themeColor="text1"/>
          <w:u w:val="single"/>
        </w:rPr>
        <w:t>Cost</w:t>
      </w:r>
      <w:r w:rsidR="009A0847" w:rsidRPr="00374730">
        <w:rPr>
          <w:b/>
          <w:color w:val="000000" w:themeColor="text1"/>
          <w:u w:val="single"/>
        </w:rPr>
        <w:t xml:space="preserve"> </w:t>
      </w:r>
      <w:r w:rsidRPr="00374730">
        <w:rPr>
          <w:b/>
          <w:color w:val="000000" w:themeColor="text1"/>
          <w:u w:val="single"/>
        </w:rPr>
        <w:t>Treatment</w:t>
      </w:r>
      <w:r w:rsidRPr="00E23E2F">
        <w:rPr>
          <w:sz w:val="20"/>
          <w:szCs w:val="20"/>
          <w:vertAlign w:val="superscript"/>
        </w:rPr>
        <w:t>*</w:t>
      </w:r>
    </w:p>
    <w:p w14:paraId="3C49D8A2" w14:textId="77777777" w:rsidR="00E962B0" w:rsidRPr="00562DD9" w:rsidRDefault="00E962B0" w:rsidP="005B59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0"/>
        <w:rPr>
          <w:b/>
          <w:sz w:val="4"/>
          <w:szCs w:val="4"/>
          <w:u w:val="single"/>
        </w:rPr>
      </w:pPr>
    </w:p>
    <w:p w14:paraId="780894A4" w14:textId="68ED8B20" w:rsidR="00E962B0" w:rsidRPr="00D927CE" w:rsidRDefault="00E962B0" w:rsidP="005B59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0"/>
        <w:rPr>
          <w:color w:val="FFFF00"/>
          <w:sz w:val="2"/>
          <w:szCs w:val="2"/>
        </w:rPr>
      </w:pPr>
      <w:r>
        <w:rPr>
          <w:noProof/>
        </w:rPr>
        <w:drawing>
          <wp:inline distT="0" distB="0" distL="0" distR="0" wp14:anchorId="596C942E" wp14:editId="1088775C">
            <wp:extent cx="2971800" cy="2470785"/>
            <wp:effectExtent l="0" t="0" r="25400" b="18415"/>
            <wp:docPr id="11" name="Chart 1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C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9A0847">
        <w:rPr>
          <w:noProof/>
          <w:sz w:val="12"/>
          <w:szCs w:val="12"/>
        </w:rPr>
        <w:t xml:space="preserve"> </w:t>
      </w:r>
      <w:r>
        <w:rPr>
          <w:noProof/>
        </w:rPr>
        <w:drawing>
          <wp:inline distT="0" distB="0" distL="0" distR="0" wp14:anchorId="2F7599D0" wp14:editId="1D06F765">
            <wp:extent cx="2971800" cy="2473085"/>
            <wp:effectExtent l="0" t="0" r="25400" b="16510"/>
            <wp:docPr id="14" name="Chart 1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1E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7C3B56F4" w14:textId="77318BE8" w:rsidR="00E962B0" w:rsidRPr="00F636C6" w:rsidRDefault="00E962B0" w:rsidP="005B59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" w:line="120" w:lineRule="exact"/>
        <w:ind w:left="90"/>
        <w:rPr>
          <w:sz w:val="16"/>
          <w:szCs w:val="16"/>
        </w:rPr>
      </w:pPr>
      <w:r w:rsidRPr="008F4D7F">
        <w:rPr>
          <w:sz w:val="14"/>
          <w:szCs w:val="14"/>
          <w:vertAlign w:val="superscript"/>
        </w:rPr>
        <w:t>*</w:t>
      </w:r>
      <w:r>
        <w:rPr>
          <w:sz w:val="16"/>
          <w:szCs w:val="16"/>
        </w:rPr>
        <w:t>Average</w:t>
      </w:r>
      <w:r w:rsidR="009A0847">
        <w:rPr>
          <w:sz w:val="16"/>
          <w:szCs w:val="16"/>
        </w:rPr>
        <w:t xml:space="preserve"> </w:t>
      </w:r>
      <w:r>
        <w:rPr>
          <w:sz w:val="16"/>
          <w:szCs w:val="16"/>
        </w:rPr>
        <w:t>across</w:t>
      </w:r>
      <w:r w:rsidR="009A0847">
        <w:rPr>
          <w:sz w:val="16"/>
          <w:szCs w:val="16"/>
        </w:rPr>
        <w:t xml:space="preserve"> </w:t>
      </w:r>
      <w:r>
        <w:rPr>
          <w:sz w:val="16"/>
          <w:szCs w:val="16"/>
        </w:rPr>
        <w:t>6</w:t>
      </w:r>
      <w:r w:rsidR="009A0847">
        <w:rPr>
          <w:sz w:val="16"/>
          <w:szCs w:val="16"/>
        </w:rPr>
        <w:t xml:space="preserve"> </w:t>
      </w:r>
      <w:r>
        <w:rPr>
          <w:sz w:val="16"/>
          <w:szCs w:val="16"/>
        </w:rPr>
        <w:t>sessions</w:t>
      </w:r>
    </w:p>
    <w:p w14:paraId="0B83C6C1" w14:textId="77777777" w:rsidR="00E962B0" w:rsidRDefault="00E962B0" w:rsidP="005B5956">
      <w:pPr>
        <w:pStyle w:val="Olivier1"/>
        <w:spacing w:after="0" w:line="240" w:lineRule="auto"/>
        <w:ind w:left="90"/>
        <w:rPr>
          <w:color w:val="FF0000"/>
          <w:sz w:val="8"/>
          <w:szCs w:val="8"/>
        </w:rPr>
      </w:pPr>
    </w:p>
    <w:p w14:paraId="6880403D" w14:textId="1CE64014" w:rsidR="000B50FA" w:rsidRDefault="000B50FA" w:rsidP="00F86E09">
      <w:pPr>
        <w:pStyle w:val="Olivier1"/>
        <w:widowControl w:val="0"/>
        <w:ind w:firstLine="360"/>
        <w:rPr>
          <w:szCs w:val="24"/>
        </w:rPr>
      </w:pPr>
      <w:r>
        <w:rPr>
          <w:szCs w:val="24"/>
        </w:rPr>
        <w:t>Similar</w:t>
      </w:r>
      <w:r w:rsidR="009A0847">
        <w:rPr>
          <w:szCs w:val="24"/>
        </w:rPr>
        <w:t xml:space="preserve"> </w:t>
      </w:r>
      <w:r>
        <w:rPr>
          <w:szCs w:val="24"/>
        </w:rPr>
        <w:t>to</w:t>
      </w:r>
      <w:r w:rsidR="009A0847">
        <w:rPr>
          <w:szCs w:val="24"/>
        </w:rPr>
        <w:t xml:space="preserve"> </w:t>
      </w:r>
      <w:r>
        <w:rPr>
          <w:szCs w:val="24"/>
        </w:rPr>
        <w:t>the</w:t>
      </w:r>
      <w:r w:rsidR="009A0847">
        <w:rPr>
          <w:szCs w:val="24"/>
        </w:rPr>
        <w:t xml:space="preserve"> </w:t>
      </w:r>
      <w:r>
        <w:rPr>
          <w:szCs w:val="24"/>
        </w:rPr>
        <w:t>control</w:t>
      </w:r>
      <w:r w:rsidR="009A0847">
        <w:rPr>
          <w:szCs w:val="24"/>
        </w:rPr>
        <w:t xml:space="preserve"> </w:t>
      </w:r>
      <w:r>
        <w:rPr>
          <w:szCs w:val="24"/>
        </w:rPr>
        <w:t>treatment,</w:t>
      </w:r>
      <w:r w:rsidR="009A0847">
        <w:rPr>
          <w:szCs w:val="24"/>
        </w:rPr>
        <w:t xml:space="preserve"> </w:t>
      </w:r>
      <w:r>
        <w:rPr>
          <w:szCs w:val="24"/>
        </w:rPr>
        <w:t>the</w:t>
      </w:r>
      <w:r w:rsidR="009A0847">
        <w:rPr>
          <w:szCs w:val="24"/>
        </w:rPr>
        <w:t xml:space="preserve"> </w:t>
      </w:r>
      <w:r>
        <w:rPr>
          <w:szCs w:val="24"/>
        </w:rPr>
        <w:t>majority</w:t>
      </w:r>
      <w:r w:rsidR="009A0847">
        <w:rPr>
          <w:szCs w:val="24"/>
        </w:rPr>
        <w:t xml:space="preserve"> </w:t>
      </w:r>
      <w:r>
        <w:rPr>
          <w:szCs w:val="24"/>
        </w:rPr>
        <w:t>of</w:t>
      </w:r>
      <w:r w:rsidR="009A0847">
        <w:rPr>
          <w:szCs w:val="24"/>
        </w:rPr>
        <w:t xml:space="preserve"> </w:t>
      </w:r>
      <w:r>
        <w:rPr>
          <w:szCs w:val="24"/>
        </w:rPr>
        <w:t>banks</w:t>
      </w:r>
      <w:r w:rsidR="009A0847">
        <w:rPr>
          <w:szCs w:val="24"/>
        </w:rPr>
        <w:t xml:space="preserve"> </w:t>
      </w:r>
      <w:r>
        <w:rPr>
          <w:szCs w:val="24"/>
        </w:rPr>
        <w:t>borrow</w:t>
      </w:r>
      <w:r w:rsidR="009A0847">
        <w:rPr>
          <w:szCs w:val="24"/>
        </w:rPr>
        <w:t xml:space="preserve"> </w:t>
      </w:r>
      <w:r>
        <w:rPr>
          <w:szCs w:val="24"/>
        </w:rPr>
        <w:t>at</w:t>
      </w:r>
      <w:r w:rsidR="009A0847">
        <w:rPr>
          <w:szCs w:val="24"/>
        </w:rPr>
        <w:t xml:space="preserve"> </w:t>
      </w:r>
      <w:r>
        <w:rPr>
          <w:szCs w:val="24"/>
        </w:rPr>
        <w:t>the</w:t>
      </w:r>
      <w:r w:rsidR="009A0847">
        <w:rPr>
          <w:szCs w:val="24"/>
        </w:rPr>
        <w:t xml:space="preserve"> </w:t>
      </w:r>
      <w:r>
        <w:rPr>
          <w:szCs w:val="24"/>
        </w:rPr>
        <w:t>DW</w:t>
      </w:r>
      <w:r w:rsidR="009A0847">
        <w:rPr>
          <w:szCs w:val="24"/>
        </w:rPr>
        <w:t xml:space="preserve"> </w:t>
      </w:r>
      <w:r w:rsidR="00895AE3">
        <w:rPr>
          <w:szCs w:val="24"/>
        </w:rPr>
        <w:t>in</w:t>
      </w:r>
      <w:r w:rsidR="009A0847">
        <w:rPr>
          <w:szCs w:val="24"/>
        </w:rPr>
        <w:t xml:space="preserve"> </w:t>
      </w:r>
      <w:r w:rsidR="00895AE3" w:rsidRPr="001428B6">
        <w:rPr>
          <w:color w:val="000000" w:themeColor="text1"/>
          <w:szCs w:val="24"/>
        </w:rPr>
        <w:t>early</w:t>
      </w:r>
      <w:r w:rsidR="009A0847">
        <w:rPr>
          <w:color w:val="000000" w:themeColor="text1"/>
          <w:szCs w:val="24"/>
        </w:rPr>
        <w:t xml:space="preserve"> </w:t>
      </w:r>
      <w:r w:rsidR="00895AE3" w:rsidRPr="001428B6">
        <w:rPr>
          <w:color w:val="000000" w:themeColor="text1"/>
          <w:szCs w:val="24"/>
        </w:rPr>
        <w:t>rounds</w:t>
      </w:r>
      <w:r w:rsidR="009A0847">
        <w:rPr>
          <w:color w:val="000000" w:themeColor="text1"/>
          <w:szCs w:val="24"/>
        </w:rPr>
        <w:t xml:space="preserve"> </w:t>
      </w:r>
      <w:r w:rsidRPr="001428B6">
        <w:rPr>
          <w:color w:val="000000" w:themeColor="text1"/>
          <w:szCs w:val="24"/>
        </w:rPr>
        <w:t>(64%</w:t>
      </w:r>
      <w:r w:rsidR="009A0847">
        <w:rPr>
          <w:color w:val="000000" w:themeColor="text1"/>
          <w:szCs w:val="24"/>
        </w:rPr>
        <w:t xml:space="preserve"> </w:t>
      </w:r>
      <w:r w:rsidRPr="001428B6">
        <w:rPr>
          <w:color w:val="000000" w:themeColor="text1"/>
          <w:szCs w:val="24"/>
        </w:rPr>
        <w:t>in</w:t>
      </w:r>
      <w:r w:rsidR="009A0847">
        <w:rPr>
          <w:color w:val="000000" w:themeColor="text1"/>
          <w:szCs w:val="24"/>
        </w:rPr>
        <w:t xml:space="preserve"> </w:t>
      </w:r>
      <w:r w:rsidRPr="001428B6">
        <w:rPr>
          <w:color w:val="000000" w:themeColor="text1"/>
          <w:szCs w:val="24"/>
        </w:rPr>
        <w:t>round</w:t>
      </w:r>
      <w:r w:rsidR="009A0847">
        <w:rPr>
          <w:color w:val="000000" w:themeColor="text1"/>
          <w:szCs w:val="24"/>
        </w:rPr>
        <w:t xml:space="preserve"> </w:t>
      </w:r>
      <w:r w:rsidRPr="001428B6">
        <w:rPr>
          <w:color w:val="000000" w:themeColor="text1"/>
          <w:szCs w:val="24"/>
        </w:rPr>
        <w:t>1),</w:t>
      </w:r>
      <w:r w:rsidR="009A0847">
        <w:rPr>
          <w:color w:val="000000" w:themeColor="text1"/>
          <w:szCs w:val="24"/>
        </w:rPr>
        <w:t xml:space="preserve"> </w:t>
      </w:r>
      <w:r w:rsidR="00895AE3">
        <w:rPr>
          <w:szCs w:val="24"/>
        </w:rPr>
        <w:t>but</w:t>
      </w:r>
      <w:r w:rsidR="009A0847">
        <w:rPr>
          <w:szCs w:val="24"/>
        </w:rPr>
        <w:t xml:space="preserve"> </w:t>
      </w:r>
      <w:r>
        <w:rPr>
          <w:szCs w:val="24"/>
        </w:rPr>
        <w:t>DW</w:t>
      </w:r>
      <w:r w:rsidR="009A0847">
        <w:rPr>
          <w:szCs w:val="24"/>
        </w:rPr>
        <w:t xml:space="preserve"> </w:t>
      </w:r>
      <w:r>
        <w:rPr>
          <w:szCs w:val="24"/>
        </w:rPr>
        <w:t>borrowing</w:t>
      </w:r>
      <w:r w:rsidR="009A0847">
        <w:rPr>
          <w:szCs w:val="24"/>
        </w:rPr>
        <w:t xml:space="preserve"> </w:t>
      </w:r>
      <w:r>
        <w:rPr>
          <w:szCs w:val="24"/>
        </w:rPr>
        <w:t>then</w:t>
      </w:r>
      <w:r w:rsidR="009A0847">
        <w:rPr>
          <w:szCs w:val="24"/>
        </w:rPr>
        <w:t xml:space="preserve"> </w:t>
      </w:r>
      <w:r>
        <w:rPr>
          <w:szCs w:val="24"/>
        </w:rPr>
        <w:t>declines</w:t>
      </w:r>
      <w:r w:rsidR="009A0847">
        <w:rPr>
          <w:szCs w:val="24"/>
        </w:rPr>
        <w:t xml:space="preserve"> </w:t>
      </w:r>
      <w:r w:rsidR="00895AE3">
        <w:rPr>
          <w:szCs w:val="24"/>
        </w:rPr>
        <w:t>and</w:t>
      </w:r>
      <w:r w:rsidR="009A0847">
        <w:rPr>
          <w:szCs w:val="24"/>
        </w:rPr>
        <w:t xml:space="preserve"> </w:t>
      </w:r>
      <w:r w:rsidR="00895AE3">
        <w:rPr>
          <w:szCs w:val="24"/>
        </w:rPr>
        <w:t>stigma</w:t>
      </w:r>
      <w:r w:rsidR="009A0847">
        <w:rPr>
          <w:szCs w:val="24"/>
        </w:rPr>
        <w:t xml:space="preserve"> </w:t>
      </w:r>
      <w:r w:rsidR="00895AE3">
        <w:rPr>
          <w:szCs w:val="24"/>
        </w:rPr>
        <w:t>becomes</w:t>
      </w:r>
      <w:r w:rsidR="009A0847">
        <w:rPr>
          <w:szCs w:val="24"/>
        </w:rPr>
        <w:t xml:space="preserve"> </w:t>
      </w:r>
      <w:r w:rsidR="00895AE3">
        <w:rPr>
          <w:szCs w:val="24"/>
        </w:rPr>
        <w:t>prevalent</w:t>
      </w:r>
      <w:r>
        <w:rPr>
          <w:szCs w:val="24"/>
        </w:rPr>
        <w:t>.</w:t>
      </w:r>
      <w:r w:rsidR="009A0847">
        <w:rPr>
          <w:szCs w:val="24"/>
        </w:rPr>
        <w:t xml:space="preserve"> </w:t>
      </w:r>
      <w:r>
        <w:rPr>
          <w:szCs w:val="24"/>
        </w:rPr>
        <w:t>Average</w:t>
      </w:r>
      <w:r w:rsidR="009A0847">
        <w:rPr>
          <w:szCs w:val="24"/>
        </w:rPr>
        <w:t xml:space="preserve"> </w:t>
      </w:r>
      <w:r>
        <w:rPr>
          <w:szCs w:val="24"/>
        </w:rPr>
        <w:t>DW</w:t>
      </w:r>
      <w:r w:rsidR="009A0847">
        <w:rPr>
          <w:szCs w:val="24"/>
        </w:rPr>
        <w:t xml:space="preserve"> </w:t>
      </w:r>
      <w:r>
        <w:rPr>
          <w:szCs w:val="24"/>
        </w:rPr>
        <w:t>borrowing</w:t>
      </w:r>
      <w:r w:rsidR="009A0847">
        <w:rPr>
          <w:szCs w:val="24"/>
        </w:rPr>
        <w:t xml:space="preserve"> </w:t>
      </w:r>
      <w:r>
        <w:rPr>
          <w:szCs w:val="24"/>
        </w:rPr>
        <w:t>over</w:t>
      </w:r>
      <w:r w:rsidR="009A0847">
        <w:rPr>
          <w:szCs w:val="24"/>
        </w:rPr>
        <w:t xml:space="preserve"> </w:t>
      </w:r>
      <w:r>
        <w:rPr>
          <w:szCs w:val="24"/>
        </w:rPr>
        <w:t>the</w:t>
      </w:r>
      <w:r w:rsidR="009A0847">
        <w:rPr>
          <w:szCs w:val="24"/>
        </w:rPr>
        <w:t xml:space="preserve"> </w:t>
      </w:r>
      <w:r>
        <w:rPr>
          <w:szCs w:val="24"/>
        </w:rPr>
        <w:t>last</w:t>
      </w:r>
      <w:r w:rsidR="009A0847">
        <w:rPr>
          <w:szCs w:val="24"/>
        </w:rPr>
        <w:t xml:space="preserve"> </w:t>
      </w:r>
      <w:r>
        <w:rPr>
          <w:szCs w:val="24"/>
        </w:rPr>
        <w:t>10</w:t>
      </w:r>
      <w:r w:rsidR="009A0847">
        <w:rPr>
          <w:szCs w:val="24"/>
        </w:rPr>
        <w:t xml:space="preserve"> </w:t>
      </w:r>
      <w:r w:rsidR="00D820F4">
        <w:rPr>
          <w:szCs w:val="24"/>
        </w:rPr>
        <w:t>round</w:t>
      </w:r>
      <w:r>
        <w:rPr>
          <w:szCs w:val="24"/>
        </w:rPr>
        <w:t>s,</w:t>
      </w:r>
      <w:r w:rsidR="009A0847">
        <w:rPr>
          <w:szCs w:val="24"/>
        </w:rPr>
        <w:t xml:space="preserve"> </w:t>
      </w:r>
      <w:r>
        <w:rPr>
          <w:szCs w:val="24"/>
        </w:rPr>
        <w:t>however,</w:t>
      </w:r>
      <w:r w:rsidR="009A0847">
        <w:rPr>
          <w:szCs w:val="24"/>
        </w:rPr>
        <w:t xml:space="preserve"> </w:t>
      </w:r>
      <w:r>
        <w:rPr>
          <w:szCs w:val="24"/>
        </w:rPr>
        <w:t>is</w:t>
      </w:r>
      <w:r w:rsidR="009A0847">
        <w:rPr>
          <w:szCs w:val="24"/>
        </w:rPr>
        <w:t xml:space="preserve"> </w:t>
      </w:r>
      <w:r>
        <w:rPr>
          <w:szCs w:val="24"/>
        </w:rPr>
        <w:t>higher</w:t>
      </w:r>
      <w:r w:rsidR="009A0847">
        <w:rPr>
          <w:szCs w:val="24"/>
        </w:rPr>
        <w:t xml:space="preserve"> </w:t>
      </w:r>
      <w:r>
        <w:rPr>
          <w:szCs w:val="24"/>
        </w:rPr>
        <w:t>(albeit</w:t>
      </w:r>
      <w:r w:rsidR="009A0847">
        <w:rPr>
          <w:szCs w:val="24"/>
        </w:rPr>
        <w:t xml:space="preserve"> </w:t>
      </w:r>
      <w:r>
        <w:rPr>
          <w:szCs w:val="24"/>
        </w:rPr>
        <w:t>not</w:t>
      </w:r>
      <w:r w:rsidR="009A0847">
        <w:rPr>
          <w:szCs w:val="24"/>
        </w:rPr>
        <w:t xml:space="preserve"> </w:t>
      </w:r>
      <w:r>
        <w:rPr>
          <w:szCs w:val="24"/>
        </w:rPr>
        <w:t>significantly)</w:t>
      </w:r>
      <w:r w:rsidR="009A0847">
        <w:rPr>
          <w:szCs w:val="24"/>
        </w:rPr>
        <w:t xml:space="preserve"> </w:t>
      </w:r>
      <w:r>
        <w:rPr>
          <w:szCs w:val="24"/>
        </w:rPr>
        <w:t>in</w:t>
      </w:r>
      <w:r w:rsidR="009A0847">
        <w:rPr>
          <w:szCs w:val="24"/>
        </w:rPr>
        <w:t xml:space="preserve"> </w:t>
      </w:r>
      <w:r>
        <w:rPr>
          <w:szCs w:val="24"/>
        </w:rPr>
        <w:t>the</w:t>
      </w:r>
      <w:r w:rsidR="009A0847">
        <w:rPr>
          <w:szCs w:val="24"/>
        </w:rPr>
        <w:t xml:space="preserve"> </w:t>
      </w:r>
      <w:r>
        <w:rPr>
          <w:szCs w:val="24"/>
        </w:rPr>
        <w:t>low</w:t>
      </w:r>
      <w:r w:rsidR="009A0847">
        <w:rPr>
          <w:szCs w:val="24"/>
        </w:rPr>
        <w:t xml:space="preserve"> </w:t>
      </w:r>
      <w:r>
        <w:rPr>
          <w:szCs w:val="24"/>
        </w:rPr>
        <w:t>DW</w:t>
      </w:r>
      <w:r w:rsidR="009A0847">
        <w:rPr>
          <w:szCs w:val="24"/>
        </w:rPr>
        <w:t xml:space="preserve"> </w:t>
      </w:r>
      <w:r>
        <w:rPr>
          <w:szCs w:val="24"/>
        </w:rPr>
        <w:t>cost</w:t>
      </w:r>
      <w:r w:rsidR="009A0847">
        <w:rPr>
          <w:szCs w:val="24"/>
        </w:rPr>
        <w:t xml:space="preserve"> </w:t>
      </w:r>
      <w:r>
        <w:rPr>
          <w:szCs w:val="24"/>
        </w:rPr>
        <w:t>treatment</w:t>
      </w:r>
      <w:r w:rsidR="009A0847">
        <w:rPr>
          <w:szCs w:val="24"/>
        </w:rPr>
        <w:t xml:space="preserve"> </w:t>
      </w:r>
      <w:r w:rsidRPr="001428B6">
        <w:rPr>
          <w:color w:val="000000" w:themeColor="text1"/>
          <w:szCs w:val="24"/>
        </w:rPr>
        <w:t>(32%)</w:t>
      </w:r>
      <w:r w:rsidR="009A0847">
        <w:rPr>
          <w:color w:val="000000" w:themeColor="text1"/>
          <w:szCs w:val="24"/>
        </w:rPr>
        <w:t xml:space="preserve"> </w:t>
      </w:r>
      <w:r w:rsidR="00895AE3" w:rsidRPr="001428B6">
        <w:rPr>
          <w:color w:val="000000" w:themeColor="text1"/>
          <w:szCs w:val="24"/>
        </w:rPr>
        <w:t>than</w:t>
      </w:r>
      <w:r w:rsidR="009A0847">
        <w:rPr>
          <w:color w:val="000000" w:themeColor="text1"/>
          <w:szCs w:val="24"/>
        </w:rPr>
        <w:t xml:space="preserve"> </w:t>
      </w:r>
      <w:r w:rsidR="00895AE3" w:rsidRPr="001428B6">
        <w:rPr>
          <w:color w:val="000000" w:themeColor="text1"/>
          <w:szCs w:val="24"/>
        </w:rPr>
        <w:t>in</w:t>
      </w:r>
      <w:r w:rsidR="009A0847">
        <w:rPr>
          <w:color w:val="000000" w:themeColor="text1"/>
          <w:szCs w:val="24"/>
        </w:rPr>
        <w:t xml:space="preserve"> </w:t>
      </w:r>
      <w:r w:rsidRPr="001428B6">
        <w:rPr>
          <w:color w:val="000000" w:themeColor="text1"/>
          <w:szCs w:val="24"/>
        </w:rPr>
        <w:t>the</w:t>
      </w:r>
      <w:r w:rsidR="009A0847">
        <w:rPr>
          <w:color w:val="000000" w:themeColor="text1"/>
          <w:szCs w:val="24"/>
        </w:rPr>
        <w:t xml:space="preserve"> </w:t>
      </w:r>
      <w:r w:rsidRPr="001428B6">
        <w:rPr>
          <w:color w:val="000000" w:themeColor="text1"/>
          <w:szCs w:val="24"/>
        </w:rPr>
        <w:t>control</w:t>
      </w:r>
      <w:r w:rsidR="009A0847">
        <w:rPr>
          <w:color w:val="000000" w:themeColor="text1"/>
          <w:szCs w:val="24"/>
        </w:rPr>
        <w:t xml:space="preserve"> </w:t>
      </w:r>
      <w:r w:rsidRPr="001428B6">
        <w:rPr>
          <w:color w:val="000000" w:themeColor="text1"/>
          <w:szCs w:val="24"/>
        </w:rPr>
        <w:t>treatment</w:t>
      </w:r>
      <w:r w:rsidR="009A0847">
        <w:rPr>
          <w:color w:val="000000" w:themeColor="text1"/>
          <w:szCs w:val="24"/>
        </w:rPr>
        <w:t xml:space="preserve"> </w:t>
      </w:r>
      <w:r w:rsidRPr="001428B6">
        <w:rPr>
          <w:color w:val="000000" w:themeColor="text1"/>
          <w:szCs w:val="24"/>
        </w:rPr>
        <w:t>(</w:t>
      </w:r>
      <w:r w:rsidR="001428B6" w:rsidRPr="001428B6">
        <w:rPr>
          <w:color w:val="000000" w:themeColor="text1"/>
          <w:szCs w:val="24"/>
        </w:rPr>
        <w:t>20</w:t>
      </w:r>
      <w:r w:rsidRPr="001428B6">
        <w:rPr>
          <w:color w:val="000000" w:themeColor="text1"/>
          <w:szCs w:val="24"/>
        </w:rPr>
        <w:t>%).</w:t>
      </w:r>
      <w:r w:rsidR="009A0847">
        <w:rPr>
          <w:color w:val="000000" w:themeColor="text1"/>
          <w:szCs w:val="24"/>
        </w:rPr>
        <w:t xml:space="preserve"> </w:t>
      </w:r>
      <w:r>
        <w:rPr>
          <w:szCs w:val="24"/>
        </w:rPr>
        <w:t>As</w:t>
      </w:r>
      <w:r w:rsidR="009A0847">
        <w:rPr>
          <w:szCs w:val="24"/>
        </w:rPr>
        <w:t xml:space="preserve"> </w:t>
      </w:r>
      <w:r>
        <w:rPr>
          <w:szCs w:val="24"/>
        </w:rPr>
        <w:t>indicated</w:t>
      </w:r>
      <w:r w:rsidR="009A0847">
        <w:rPr>
          <w:szCs w:val="24"/>
        </w:rPr>
        <w:t xml:space="preserve"> </w:t>
      </w:r>
      <w:r>
        <w:rPr>
          <w:szCs w:val="24"/>
        </w:rPr>
        <w:t>on</w:t>
      </w:r>
      <w:r w:rsidR="009A0847">
        <w:rPr>
          <w:szCs w:val="24"/>
        </w:rPr>
        <w:t xml:space="preserve"> </w:t>
      </w:r>
      <w:r>
        <w:rPr>
          <w:szCs w:val="24"/>
        </w:rPr>
        <w:t>Figure</w:t>
      </w:r>
      <w:r w:rsidR="009A0847">
        <w:rPr>
          <w:szCs w:val="24"/>
        </w:rPr>
        <w:t xml:space="preserve"> </w:t>
      </w:r>
      <w:r w:rsidR="00445AAD">
        <w:rPr>
          <w:szCs w:val="24"/>
        </w:rPr>
        <w:t>2.1</w:t>
      </w:r>
      <w:r w:rsidR="009A0847">
        <w:rPr>
          <w:szCs w:val="24"/>
        </w:rPr>
        <w:t xml:space="preserve"> </w:t>
      </w:r>
      <w:r w:rsidR="00445AAD">
        <w:rPr>
          <w:szCs w:val="24"/>
        </w:rPr>
        <w:t>of</w:t>
      </w:r>
      <w:r w:rsidR="009A0847">
        <w:rPr>
          <w:szCs w:val="24"/>
        </w:rPr>
        <w:t xml:space="preserve"> </w:t>
      </w:r>
      <w:r w:rsidR="00445AAD">
        <w:rPr>
          <w:szCs w:val="24"/>
        </w:rPr>
        <w:t>Appendix</w:t>
      </w:r>
      <w:r w:rsidR="009A0847">
        <w:rPr>
          <w:szCs w:val="24"/>
        </w:rPr>
        <w:t xml:space="preserve"> </w:t>
      </w:r>
      <w:r w:rsidR="00CD4792">
        <w:rPr>
          <w:szCs w:val="24"/>
        </w:rPr>
        <w:t>4</w:t>
      </w:r>
      <w:r w:rsidR="00895AE3">
        <w:rPr>
          <w:szCs w:val="24"/>
        </w:rPr>
        <w:t>,</w:t>
      </w:r>
      <w:r w:rsidR="009A0847">
        <w:rPr>
          <w:szCs w:val="24"/>
        </w:rPr>
        <w:t xml:space="preserve"> </w:t>
      </w:r>
      <w:r>
        <w:rPr>
          <w:szCs w:val="24"/>
        </w:rPr>
        <w:t>this</w:t>
      </w:r>
      <w:r w:rsidR="009A0847">
        <w:rPr>
          <w:szCs w:val="24"/>
        </w:rPr>
        <w:t xml:space="preserve"> </w:t>
      </w:r>
      <w:r>
        <w:rPr>
          <w:szCs w:val="24"/>
        </w:rPr>
        <w:t>difference</w:t>
      </w:r>
      <w:r w:rsidR="009A0847">
        <w:rPr>
          <w:szCs w:val="24"/>
        </w:rPr>
        <w:t xml:space="preserve"> </w:t>
      </w:r>
      <w:r>
        <w:rPr>
          <w:szCs w:val="24"/>
        </w:rPr>
        <w:t>is</w:t>
      </w:r>
      <w:r w:rsidR="009A0847">
        <w:rPr>
          <w:szCs w:val="24"/>
        </w:rPr>
        <w:t xml:space="preserve"> </w:t>
      </w:r>
      <w:r>
        <w:rPr>
          <w:szCs w:val="24"/>
        </w:rPr>
        <w:t>driven</w:t>
      </w:r>
      <w:r w:rsidR="009A0847">
        <w:rPr>
          <w:szCs w:val="24"/>
        </w:rPr>
        <w:t xml:space="preserve"> </w:t>
      </w:r>
      <w:r>
        <w:rPr>
          <w:szCs w:val="24"/>
        </w:rPr>
        <w:t>by</w:t>
      </w:r>
      <w:r w:rsidR="009A0847">
        <w:rPr>
          <w:szCs w:val="24"/>
        </w:rPr>
        <w:t xml:space="preserve"> </w:t>
      </w:r>
      <w:r>
        <w:rPr>
          <w:szCs w:val="24"/>
        </w:rPr>
        <w:t>a</w:t>
      </w:r>
      <w:r w:rsidR="009A0847">
        <w:rPr>
          <w:szCs w:val="24"/>
        </w:rPr>
        <w:t xml:space="preserve"> </w:t>
      </w:r>
      <w:r>
        <w:rPr>
          <w:szCs w:val="24"/>
        </w:rPr>
        <w:t>single</w:t>
      </w:r>
      <w:r w:rsidR="009A0847">
        <w:rPr>
          <w:szCs w:val="24"/>
        </w:rPr>
        <w:t xml:space="preserve"> </w:t>
      </w:r>
      <w:r>
        <w:rPr>
          <w:szCs w:val="24"/>
        </w:rPr>
        <w:t>session,</w:t>
      </w:r>
      <w:r w:rsidR="009A0847">
        <w:rPr>
          <w:szCs w:val="24"/>
        </w:rPr>
        <w:t xml:space="preserve"> </w:t>
      </w:r>
      <w:r>
        <w:rPr>
          <w:szCs w:val="24"/>
        </w:rPr>
        <w:t>session</w:t>
      </w:r>
      <w:r w:rsidR="009A0847">
        <w:rPr>
          <w:szCs w:val="24"/>
        </w:rPr>
        <w:t xml:space="preserve"> </w:t>
      </w:r>
      <w:r>
        <w:rPr>
          <w:szCs w:val="24"/>
        </w:rPr>
        <w:t>5</w:t>
      </w:r>
      <w:r w:rsidR="009A0847">
        <w:rPr>
          <w:szCs w:val="24"/>
        </w:rPr>
        <w:t xml:space="preserve"> </w:t>
      </w:r>
      <w:r>
        <w:rPr>
          <w:szCs w:val="24"/>
        </w:rPr>
        <w:t>of</w:t>
      </w:r>
      <w:r w:rsidR="009A0847">
        <w:rPr>
          <w:szCs w:val="24"/>
        </w:rPr>
        <w:t xml:space="preserve"> </w:t>
      </w:r>
      <w:r>
        <w:rPr>
          <w:szCs w:val="24"/>
        </w:rPr>
        <w:t>the</w:t>
      </w:r>
      <w:r w:rsidR="009A0847">
        <w:rPr>
          <w:szCs w:val="24"/>
        </w:rPr>
        <w:t xml:space="preserve"> </w:t>
      </w:r>
      <w:r>
        <w:rPr>
          <w:szCs w:val="24"/>
        </w:rPr>
        <w:t>low</w:t>
      </w:r>
      <w:r w:rsidR="009A0847">
        <w:rPr>
          <w:szCs w:val="24"/>
        </w:rPr>
        <w:t xml:space="preserve"> </w:t>
      </w:r>
      <w:r>
        <w:rPr>
          <w:szCs w:val="24"/>
        </w:rPr>
        <w:t>DW</w:t>
      </w:r>
      <w:r w:rsidR="009A0847">
        <w:rPr>
          <w:szCs w:val="24"/>
        </w:rPr>
        <w:t xml:space="preserve"> </w:t>
      </w:r>
      <w:r>
        <w:rPr>
          <w:szCs w:val="24"/>
        </w:rPr>
        <w:t>cost</w:t>
      </w:r>
      <w:r w:rsidR="009A0847">
        <w:rPr>
          <w:szCs w:val="24"/>
        </w:rPr>
        <w:t xml:space="preserve"> </w:t>
      </w:r>
      <w:r>
        <w:rPr>
          <w:szCs w:val="24"/>
        </w:rPr>
        <w:t>treatment,</w:t>
      </w:r>
      <w:r w:rsidR="009A0847">
        <w:rPr>
          <w:szCs w:val="24"/>
        </w:rPr>
        <w:t xml:space="preserve"> </w:t>
      </w:r>
      <w:r>
        <w:rPr>
          <w:szCs w:val="24"/>
        </w:rPr>
        <w:t>in</w:t>
      </w:r>
      <w:r w:rsidR="009A0847">
        <w:rPr>
          <w:szCs w:val="24"/>
        </w:rPr>
        <w:t xml:space="preserve"> </w:t>
      </w:r>
      <w:r>
        <w:rPr>
          <w:szCs w:val="24"/>
        </w:rPr>
        <w:t>which</w:t>
      </w:r>
      <w:r w:rsidR="009A0847">
        <w:rPr>
          <w:szCs w:val="24"/>
        </w:rPr>
        <w:t xml:space="preserve"> </w:t>
      </w:r>
      <w:r>
        <w:rPr>
          <w:szCs w:val="24"/>
        </w:rPr>
        <w:t>subjects</w:t>
      </w:r>
      <w:r w:rsidR="009A0847">
        <w:rPr>
          <w:szCs w:val="24"/>
        </w:rPr>
        <w:t xml:space="preserve"> </w:t>
      </w:r>
      <w:r>
        <w:rPr>
          <w:szCs w:val="24"/>
        </w:rPr>
        <w:t>were</w:t>
      </w:r>
      <w:r w:rsidR="009A0847">
        <w:rPr>
          <w:szCs w:val="24"/>
        </w:rPr>
        <w:t xml:space="preserve"> </w:t>
      </w:r>
      <w:r>
        <w:rPr>
          <w:szCs w:val="24"/>
        </w:rPr>
        <w:t>actually</w:t>
      </w:r>
      <w:r w:rsidR="009A0847">
        <w:rPr>
          <w:szCs w:val="24"/>
        </w:rPr>
        <w:t xml:space="preserve"> </w:t>
      </w:r>
      <w:r>
        <w:rPr>
          <w:szCs w:val="24"/>
        </w:rPr>
        <w:t>abl</w:t>
      </w:r>
      <w:r w:rsidR="008A5C46">
        <w:rPr>
          <w:szCs w:val="24"/>
        </w:rPr>
        <w:t>e</w:t>
      </w:r>
      <w:r w:rsidR="009A0847">
        <w:rPr>
          <w:szCs w:val="24"/>
        </w:rPr>
        <w:t xml:space="preserve"> </w:t>
      </w:r>
      <w:r w:rsidR="008A5C46">
        <w:rPr>
          <w:szCs w:val="24"/>
        </w:rPr>
        <w:t>to</w:t>
      </w:r>
      <w:r w:rsidR="009A0847">
        <w:rPr>
          <w:szCs w:val="24"/>
        </w:rPr>
        <w:t xml:space="preserve"> </w:t>
      </w:r>
      <w:r w:rsidR="008A5C46">
        <w:rPr>
          <w:szCs w:val="24"/>
        </w:rPr>
        <w:t>coordinate</w:t>
      </w:r>
      <w:r w:rsidR="009A0847">
        <w:rPr>
          <w:szCs w:val="24"/>
        </w:rPr>
        <w:t xml:space="preserve"> </w:t>
      </w:r>
      <w:r w:rsidR="008A5C46">
        <w:rPr>
          <w:szCs w:val="24"/>
        </w:rPr>
        <w:t>on</w:t>
      </w:r>
      <w:r w:rsidR="009A0847">
        <w:rPr>
          <w:szCs w:val="24"/>
        </w:rPr>
        <w:t xml:space="preserve"> </w:t>
      </w:r>
      <w:r w:rsidR="008A5C46">
        <w:rPr>
          <w:szCs w:val="24"/>
        </w:rPr>
        <w:t>the</w:t>
      </w:r>
      <w:r w:rsidR="009A0847">
        <w:rPr>
          <w:szCs w:val="24"/>
        </w:rPr>
        <w:t xml:space="preserve"> </w:t>
      </w:r>
      <w:r w:rsidR="000D7B77">
        <w:rPr>
          <w:szCs w:val="24"/>
        </w:rPr>
        <w:t>no-</w:t>
      </w:r>
      <w:r>
        <w:rPr>
          <w:szCs w:val="24"/>
        </w:rPr>
        <w:t>stigma</w:t>
      </w:r>
      <w:r w:rsidR="009A0847">
        <w:rPr>
          <w:szCs w:val="24"/>
        </w:rPr>
        <w:t xml:space="preserve"> </w:t>
      </w:r>
      <w:r>
        <w:rPr>
          <w:szCs w:val="24"/>
        </w:rPr>
        <w:t>strategy.</w:t>
      </w:r>
      <w:r w:rsidR="009A0847">
        <w:rPr>
          <w:color w:val="000000" w:themeColor="text1"/>
          <w:szCs w:val="24"/>
        </w:rPr>
        <w:t xml:space="preserve"> </w:t>
      </w:r>
      <w:r w:rsidRPr="001428B6">
        <w:rPr>
          <w:color w:val="000000" w:themeColor="text1"/>
          <w:szCs w:val="24"/>
        </w:rPr>
        <w:t>Without</w:t>
      </w:r>
      <w:r w:rsidR="009A0847">
        <w:rPr>
          <w:color w:val="000000" w:themeColor="text1"/>
          <w:szCs w:val="24"/>
        </w:rPr>
        <w:t xml:space="preserve"> </w:t>
      </w:r>
      <w:r w:rsidRPr="001428B6">
        <w:rPr>
          <w:color w:val="000000" w:themeColor="text1"/>
          <w:szCs w:val="24"/>
        </w:rPr>
        <w:t>session</w:t>
      </w:r>
      <w:r w:rsidR="009A0847">
        <w:rPr>
          <w:color w:val="000000" w:themeColor="text1"/>
          <w:szCs w:val="24"/>
        </w:rPr>
        <w:t xml:space="preserve"> </w:t>
      </w:r>
      <w:r w:rsidRPr="001428B6">
        <w:rPr>
          <w:color w:val="000000" w:themeColor="text1"/>
          <w:szCs w:val="24"/>
        </w:rPr>
        <w:t>5,</w:t>
      </w:r>
      <w:r w:rsidR="009A0847">
        <w:rPr>
          <w:color w:val="000000" w:themeColor="text1"/>
          <w:szCs w:val="24"/>
        </w:rPr>
        <w:t xml:space="preserve"> </w:t>
      </w:r>
      <w:r w:rsidRPr="001428B6">
        <w:rPr>
          <w:color w:val="000000" w:themeColor="text1"/>
          <w:szCs w:val="24"/>
        </w:rPr>
        <w:t>DW</w:t>
      </w:r>
      <w:r w:rsidR="009A0847">
        <w:rPr>
          <w:color w:val="000000" w:themeColor="text1"/>
          <w:szCs w:val="24"/>
        </w:rPr>
        <w:t xml:space="preserve"> </w:t>
      </w:r>
      <w:r w:rsidRPr="001428B6">
        <w:rPr>
          <w:color w:val="000000" w:themeColor="text1"/>
          <w:szCs w:val="24"/>
        </w:rPr>
        <w:t>borrowing</w:t>
      </w:r>
      <w:r w:rsidR="009A0847">
        <w:rPr>
          <w:color w:val="000000" w:themeColor="text1"/>
          <w:szCs w:val="24"/>
        </w:rPr>
        <w:t xml:space="preserve"> </w:t>
      </w:r>
      <w:r w:rsidR="00895AE3" w:rsidRPr="001428B6">
        <w:rPr>
          <w:color w:val="000000" w:themeColor="text1"/>
          <w:szCs w:val="24"/>
        </w:rPr>
        <w:t>over</w:t>
      </w:r>
      <w:r w:rsidR="009A0847">
        <w:rPr>
          <w:color w:val="000000" w:themeColor="text1"/>
          <w:szCs w:val="24"/>
        </w:rPr>
        <w:t xml:space="preserve"> </w:t>
      </w:r>
      <w:r w:rsidR="00895AE3" w:rsidRPr="001428B6">
        <w:rPr>
          <w:color w:val="000000" w:themeColor="text1"/>
          <w:szCs w:val="24"/>
        </w:rPr>
        <w:t>the</w:t>
      </w:r>
      <w:r w:rsidR="009A0847">
        <w:rPr>
          <w:color w:val="000000" w:themeColor="text1"/>
          <w:szCs w:val="24"/>
        </w:rPr>
        <w:t xml:space="preserve"> </w:t>
      </w:r>
      <w:r w:rsidR="00895AE3" w:rsidRPr="001428B6">
        <w:rPr>
          <w:color w:val="000000" w:themeColor="text1"/>
          <w:szCs w:val="24"/>
        </w:rPr>
        <w:t>last</w:t>
      </w:r>
      <w:r w:rsidR="009A0847">
        <w:rPr>
          <w:color w:val="000000" w:themeColor="text1"/>
          <w:szCs w:val="24"/>
        </w:rPr>
        <w:t xml:space="preserve"> </w:t>
      </w:r>
      <w:r w:rsidR="0021639A" w:rsidRPr="001428B6">
        <w:rPr>
          <w:color w:val="000000" w:themeColor="text1"/>
          <w:szCs w:val="24"/>
        </w:rPr>
        <w:t>10</w:t>
      </w:r>
      <w:r w:rsidR="009A0847">
        <w:rPr>
          <w:color w:val="000000" w:themeColor="text1"/>
          <w:szCs w:val="24"/>
        </w:rPr>
        <w:t xml:space="preserve"> </w:t>
      </w:r>
      <w:r w:rsidR="00D820F4" w:rsidRPr="001428B6">
        <w:rPr>
          <w:color w:val="000000" w:themeColor="text1"/>
          <w:szCs w:val="24"/>
        </w:rPr>
        <w:t>round</w:t>
      </w:r>
      <w:r w:rsidR="00895AE3" w:rsidRPr="001428B6">
        <w:rPr>
          <w:color w:val="000000" w:themeColor="text1"/>
          <w:szCs w:val="24"/>
        </w:rPr>
        <w:t>s</w:t>
      </w:r>
      <w:r w:rsidR="009A0847">
        <w:rPr>
          <w:color w:val="000000" w:themeColor="text1"/>
          <w:szCs w:val="24"/>
        </w:rPr>
        <w:t xml:space="preserve"> </w:t>
      </w:r>
      <w:r w:rsidR="00895AE3" w:rsidRPr="001428B6">
        <w:rPr>
          <w:color w:val="000000" w:themeColor="text1"/>
          <w:szCs w:val="24"/>
        </w:rPr>
        <w:t>of</w:t>
      </w:r>
      <w:r w:rsidR="009A0847">
        <w:rPr>
          <w:color w:val="000000" w:themeColor="text1"/>
          <w:szCs w:val="24"/>
        </w:rPr>
        <w:t xml:space="preserve"> </w:t>
      </w:r>
      <w:r w:rsidR="00895AE3" w:rsidRPr="001428B6">
        <w:rPr>
          <w:color w:val="000000" w:themeColor="text1"/>
          <w:szCs w:val="24"/>
        </w:rPr>
        <w:t>the</w:t>
      </w:r>
      <w:r w:rsidR="009A0847">
        <w:rPr>
          <w:color w:val="000000" w:themeColor="text1"/>
          <w:szCs w:val="24"/>
        </w:rPr>
        <w:t xml:space="preserve"> </w:t>
      </w:r>
      <w:r w:rsidR="00895AE3" w:rsidRPr="001428B6">
        <w:rPr>
          <w:color w:val="000000" w:themeColor="text1"/>
          <w:szCs w:val="24"/>
        </w:rPr>
        <w:t>low</w:t>
      </w:r>
      <w:r w:rsidR="009A0847">
        <w:rPr>
          <w:color w:val="000000" w:themeColor="text1"/>
          <w:szCs w:val="24"/>
        </w:rPr>
        <w:t xml:space="preserve"> </w:t>
      </w:r>
      <w:r w:rsidR="00895AE3" w:rsidRPr="001428B6">
        <w:rPr>
          <w:color w:val="000000" w:themeColor="text1"/>
          <w:szCs w:val="24"/>
        </w:rPr>
        <w:t>DW</w:t>
      </w:r>
      <w:r w:rsidR="009A0847">
        <w:rPr>
          <w:color w:val="000000" w:themeColor="text1"/>
          <w:szCs w:val="24"/>
        </w:rPr>
        <w:t xml:space="preserve"> </w:t>
      </w:r>
      <w:r w:rsidR="00895AE3" w:rsidRPr="001428B6">
        <w:rPr>
          <w:color w:val="000000" w:themeColor="text1"/>
          <w:szCs w:val="24"/>
        </w:rPr>
        <w:t>cost</w:t>
      </w:r>
      <w:r w:rsidR="009A0847">
        <w:rPr>
          <w:color w:val="000000" w:themeColor="text1"/>
          <w:szCs w:val="24"/>
        </w:rPr>
        <w:t xml:space="preserve"> </w:t>
      </w:r>
      <w:r w:rsidR="00895AE3" w:rsidRPr="001428B6">
        <w:rPr>
          <w:color w:val="000000" w:themeColor="text1"/>
          <w:szCs w:val="24"/>
        </w:rPr>
        <w:t>treatment</w:t>
      </w:r>
      <w:r w:rsidR="009A0847">
        <w:rPr>
          <w:color w:val="000000" w:themeColor="text1"/>
          <w:szCs w:val="24"/>
        </w:rPr>
        <w:t xml:space="preserve"> </w:t>
      </w:r>
      <w:r w:rsidR="002A2065" w:rsidRPr="001428B6">
        <w:rPr>
          <w:color w:val="000000" w:themeColor="text1"/>
          <w:szCs w:val="24"/>
        </w:rPr>
        <w:t>drops</w:t>
      </w:r>
      <w:r w:rsidR="009A0847">
        <w:rPr>
          <w:color w:val="000000" w:themeColor="text1"/>
          <w:szCs w:val="24"/>
        </w:rPr>
        <w:t xml:space="preserve"> </w:t>
      </w:r>
      <w:r w:rsidR="002A2065" w:rsidRPr="001428B6">
        <w:rPr>
          <w:color w:val="000000" w:themeColor="text1"/>
          <w:szCs w:val="24"/>
        </w:rPr>
        <w:t>to</w:t>
      </w:r>
      <w:r w:rsidR="009A0847">
        <w:rPr>
          <w:color w:val="000000" w:themeColor="text1"/>
          <w:szCs w:val="24"/>
        </w:rPr>
        <w:t xml:space="preserve"> </w:t>
      </w:r>
      <w:r w:rsidR="00895AE3" w:rsidRPr="001428B6">
        <w:rPr>
          <w:color w:val="000000" w:themeColor="text1"/>
          <w:szCs w:val="24"/>
        </w:rPr>
        <w:t>2</w:t>
      </w:r>
      <w:r w:rsidR="001428B6" w:rsidRPr="001428B6">
        <w:rPr>
          <w:color w:val="000000" w:themeColor="text1"/>
          <w:szCs w:val="24"/>
        </w:rPr>
        <w:t>2</w:t>
      </w:r>
      <w:r w:rsidR="00895AE3" w:rsidRPr="001428B6">
        <w:rPr>
          <w:color w:val="000000" w:themeColor="text1"/>
          <w:szCs w:val="24"/>
        </w:rPr>
        <w:t>%,</w:t>
      </w:r>
      <w:r w:rsidR="009A0847">
        <w:rPr>
          <w:color w:val="000000" w:themeColor="text1"/>
          <w:szCs w:val="24"/>
        </w:rPr>
        <w:t xml:space="preserve"> </w:t>
      </w:r>
      <w:r w:rsidR="00895AE3" w:rsidRPr="001428B6">
        <w:rPr>
          <w:color w:val="000000" w:themeColor="text1"/>
          <w:szCs w:val="24"/>
        </w:rPr>
        <w:t>in</w:t>
      </w:r>
      <w:r w:rsidR="009A0847">
        <w:rPr>
          <w:color w:val="000000" w:themeColor="text1"/>
          <w:szCs w:val="24"/>
        </w:rPr>
        <w:t xml:space="preserve"> </w:t>
      </w:r>
      <w:r w:rsidR="00895AE3" w:rsidRPr="001428B6">
        <w:rPr>
          <w:color w:val="000000" w:themeColor="text1"/>
          <w:szCs w:val="24"/>
        </w:rPr>
        <w:t>line</w:t>
      </w:r>
      <w:r w:rsidR="009A0847">
        <w:rPr>
          <w:color w:val="000000" w:themeColor="text1"/>
          <w:szCs w:val="24"/>
        </w:rPr>
        <w:t xml:space="preserve"> </w:t>
      </w:r>
      <w:r w:rsidR="00895AE3" w:rsidRPr="001428B6">
        <w:rPr>
          <w:color w:val="000000" w:themeColor="text1"/>
          <w:szCs w:val="24"/>
        </w:rPr>
        <w:t>with</w:t>
      </w:r>
      <w:r w:rsidR="009A0847">
        <w:rPr>
          <w:color w:val="000000" w:themeColor="text1"/>
          <w:szCs w:val="24"/>
        </w:rPr>
        <w:t xml:space="preserve"> </w:t>
      </w:r>
      <w:r w:rsidR="00895AE3" w:rsidRPr="001428B6">
        <w:rPr>
          <w:color w:val="000000" w:themeColor="text1"/>
          <w:szCs w:val="24"/>
        </w:rPr>
        <w:t>the</w:t>
      </w:r>
      <w:r w:rsidR="009A0847">
        <w:rPr>
          <w:color w:val="000000" w:themeColor="text1"/>
          <w:szCs w:val="24"/>
        </w:rPr>
        <w:t xml:space="preserve"> </w:t>
      </w:r>
      <w:r w:rsidR="00895AE3" w:rsidRPr="001428B6">
        <w:rPr>
          <w:color w:val="000000" w:themeColor="text1"/>
          <w:szCs w:val="24"/>
        </w:rPr>
        <w:t>control</w:t>
      </w:r>
      <w:r w:rsidR="009A0847">
        <w:rPr>
          <w:color w:val="000000" w:themeColor="text1"/>
          <w:szCs w:val="24"/>
        </w:rPr>
        <w:t xml:space="preserve"> </w:t>
      </w:r>
      <w:r w:rsidR="00895AE3" w:rsidRPr="001428B6">
        <w:rPr>
          <w:color w:val="000000" w:themeColor="text1"/>
          <w:szCs w:val="24"/>
        </w:rPr>
        <w:t>treatment</w:t>
      </w:r>
      <w:r w:rsidR="009A0847">
        <w:rPr>
          <w:color w:val="000000" w:themeColor="text1"/>
          <w:szCs w:val="24"/>
        </w:rPr>
        <w:t xml:space="preserve"> </w:t>
      </w:r>
      <w:r w:rsidR="008A5C46" w:rsidRPr="001428B6">
        <w:rPr>
          <w:color w:val="000000" w:themeColor="text1"/>
          <w:szCs w:val="24"/>
        </w:rPr>
        <w:t>average</w:t>
      </w:r>
      <w:r w:rsidR="009A0847">
        <w:rPr>
          <w:color w:val="000000" w:themeColor="text1"/>
          <w:szCs w:val="24"/>
        </w:rPr>
        <w:t xml:space="preserve"> </w:t>
      </w:r>
      <w:r w:rsidR="008A5C46" w:rsidRPr="001428B6">
        <w:rPr>
          <w:color w:val="000000" w:themeColor="text1"/>
          <w:szCs w:val="24"/>
        </w:rPr>
        <w:t>of</w:t>
      </w:r>
      <w:r w:rsidR="009A0847">
        <w:rPr>
          <w:color w:val="000000" w:themeColor="text1"/>
          <w:szCs w:val="24"/>
        </w:rPr>
        <w:t xml:space="preserve"> </w:t>
      </w:r>
      <w:r w:rsidR="001428B6" w:rsidRPr="001428B6">
        <w:rPr>
          <w:color w:val="000000" w:themeColor="text1"/>
          <w:szCs w:val="24"/>
        </w:rPr>
        <w:t>20</w:t>
      </w:r>
      <w:r w:rsidR="008A5C46" w:rsidRPr="001428B6">
        <w:rPr>
          <w:color w:val="000000" w:themeColor="text1"/>
          <w:szCs w:val="24"/>
        </w:rPr>
        <w:t>%</w:t>
      </w:r>
      <w:r w:rsidR="00895AE3" w:rsidRPr="001428B6">
        <w:rPr>
          <w:color w:val="000000" w:themeColor="text1"/>
          <w:szCs w:val="24"/>
        </w:rPr>
        <w:t>.</w:t>
      </w:r>
      <w:r w:rsidR="009A0847">
        <w:rPr>
          <w:color w:val="000000" w:themeColor="text1"/>
          <w:szCs w:val="24"/>
        </w:rPr>
        <w:t xml:space="preserve"> </w:t>
      </w:r>
      <w:r w:rsidR="00E33382" w:rsidRPr="001428B6">
        <w:rPr>
          <w:color w:val="000000" w:themeColor="text1"/>
          <w:szCs w:val="24"/>
        </w:rPr>
        <w:t>Therefore,</w:t>
      </w:r>
      <w:r w:rsidR="009A0847">
        <w:rPr>
          <w:color w:val="000000" w:themeColor="text1"/>
          <w:szCs w:val="24"/>
        </w:rPr>
        <w:t xml:space="preserve"> </w:t>
      </w:r>
      <w:r w:rsidR="00E33382" w:rsidRPr="001428B6">
        <w:rPr>
          <w:color w:val="000000" w:themeColor="text1"/>
          <w:szCs w:val="24"/>
        </w:rPr>
        <w:t>we</w:t>
      </w:r>
      <w:r w:rsidR="009A0847">
        <w:rPr>
          <w:color w:val="000000" w:themeColor="text1"/>
          <w:szCs w:val="24"/>
        </w:rPr>
        <w:t xml:space="preserve"> </w:t>
      </w:r>
      <w:r w:rsidR="00E33382" w:rsidRPr="001428B6">
        <w:rPr>
          <w:color w:val="000000" w:themeColor="text1"/>
          <w:szCs w:val="24"/>
        </w:rPr>
        <w:t>find</w:t>
      </w:r>
      <w:r w:rsidR="009A0847">
        <w:rPr>
          <w:color w:val="000000" w:themeColor="text1"/>
          <w:szCs w:val="24"/>
        </w:rPr>
        <w:t xml:space="preserve"> </w:t>
      </w:r>
      <w:r w:rsidR="00E33382" w:rsidRPr="001428B6">
        <w:rPr>
          <w:color w:val="000000" w:themeColor="text1"/>
          <w:szCs w:val="24"/>
        </w:rPr>
        <w:t>no</w:t>
      </w:r>
      <w:r w:rsidR="009A0847">
        <w:rPr>
          <w:color w:val="000000" w:themeColor="text1"/>
          <w:szCs w:val="24"/>
        </w:rPr>
        <w:t xml:space="preserve"> </w:t>
      </w:r>
      <w:r w:rsidR="00E33382" w:rsidRPr="001428B6">
        <w:rPr>
          <w:color w:val="000000" w:themeColor="text1"/>
          <w:szCs w:val="24"/>
        </w:rPr>
        <w:t>clear</w:t>
      </w:r>
      <w:r w:rsidR="009A0847">
        <w:rPr>
          <w:color w:val="000000" w:themeColor="text1"/>
          <w:szCs w:val="24"/>
        </w:rPr>
        <w:t xml:space="preserve"> </w:t>
      </w:r>
      <w:r w:rsidR="00E33382" w:rsidRPr="001428B6">
        <w:rPr>
          <w:color w:val="000000" w:themeColor="text1"/>
          <w:szCs w:val="24"/>
        </w:rPr>
        <w:t>evidence</w:t>
      </w:r>
      <w:r w:rsidR="009A0847">
        <w:rPr>
          <w:color w:val="000000" w:themeColor="text1"/>
          <w:szCs w:val="24"/>
        </w:rPr>
        <w:t xml:space="preserve"> </w:t>
      </w:r>
      <w:r w:rsidR="00E33382" w:rsidRPr="001428B6">
        <w:rPr>
          <w:color w:val="000000" w:themeColor="text1"/>
          <w:szCs w:val="24"/>
        </w:rPr>
        <w:t>to</w:t>
      </w:r>
      <w:r w:rsidR="009A0847">
        <w:rPr>
          <w:color w:val="000000" w:themeColor="text1"/>
          <w:szCs w:val="24"/>
        </w:rPr>
        <w:t xml:space="preserve"> </w:t>
      </w:r>
      <w:r w:rsidR="00E33382">
        <w:rPr>
          <w:szCs w:val="24"/>
        </w:rPr>
        <w:t>support</w:t>
      </w:r>
      <w:r w:rsidR="009A0847">
        <w:rPr>
          <w:szCs w:val="24"/>
        </w:rPr>
        <w:t xml:space="preserve"> </w:t>
      </w:r>
      <w:r w:rsidR="00E33382">
        <w:rPr>
          <w:szCs w:val="24"/>
        </w:rPr>
        <w:t>prediction</w:t>
      </w:r>
      <w:r w:rsidR="009A0847">
        <w:rPr>
          <w:szCs w:val="24"/>
        </w:rPr>
        <w:t xml:space="preserve"> </w:t>
      </w:r>
      <w:r w:rsidR="000D7B77">
        <w:rPr>
          <w:b/>
          <w:i/>
          <w:szCs w:val="24"/>
        </w:rPr>
        <w:t>P</w:t>
      </w:r>
      <w:r w:rsidR="000D7B77" w:rsidRPr="002A2065">
        <w:rPr>
          <w:b/>
          <w:i/>
          <w:szCs w:val="24"/>
        </w:rPr>
        <w:t>2</w:t>
      </w:r>
      <w:r w:rsidR="00E33382">
        <w:rPr>
          <w:szCs w:val="24"/>
        </w:rPr>
        <w:t>.</w:t>
      </w:r>
    </w:p>
    <w:p w14:paraId="33E3BE53" w14:textId="08BBC563" w:rsidR="000B50FA" w:rsidRDefault="000B50FA" w:rsidP="00F86E09">
      <w:pPr>
        <w:pStyle w:val="Olivier1"/>
        <w:widowControl w:val="0"/>
        <w:ind w:firstLine="360"/>
        <w:rPr>
          <w:szCs w:val="24"/>
        </w:rPr>
      </w:pPr>
      <w:r>
        <w:rPr>
          <w:szCs w:val="24"/>
        </w:rPr>
        <w:t>T</w:t>
      </w:r>
      <w:r w:rsidR="00895AE3">
        <w:rPr>
          <w:szCs w:val="24"/>
        </w:rPr>
        <w:t>o</w:t>
      </w:r>
      <w:r w:rsidR="009A0847">
        <w:rPr>
          <w:szCs w:val="24"/>
        </w:rPr>
        <w:t xml:space="preserve"> </w:t>
      </w:r>
      <w:r w:rsidR="00895AE3">
        <w:rPr>
          <w:szCs w:val="24"/>
        </w:rPr>
        <w:t>sum</w:t>
      </w:r>
      <w:r w:rsidR="009A0847">
        <w:rPr>
          <w:szCs w:val="24"/>
        </w:rPr>
        <w:t xml:space="preserve"> </w:t>
      </w:r>
      <w:r w:rsidR="00895AE3">
        <w:rPr>
          <w:szCs w:val="24"/>
        </w:rPr>
        <w:t>up</w:t>
      </w:r>
      <w:r>
        <w:rPr>
          <w:szCs w:val="24"/>
        </w:rPr>
        <w:t>,</w:t>
      </w:r>
      <w:r w:rsidR="009A0847">
        <w:rPr>
          <w:szCs w:val="24"/>
        </w:rPr>
        <w:t xml:space="preserve"> </w:t>
      </w:r>
      <w:r w:rsidR="0021639A">
        <w:rPr>
          <w:szCs w:val="24"/>
        </w:rPr>
        <w:t>a</w:t>
      </w:r>
      <w:r w:rsidR="009A0847">
        <w:rPr>
          <w:szCs w:val="24"/>
        </w:rPr>
        <w:t xml:space="preserve"> </w:t>
      </w:r>
      <w:r w:rsidR="0021639A">
        <w:rPr>
          <w:szCs w:val="24"/>
        </w:rPr>
        <w:t>50%</w:t>
      </w:r>
      <w:r w:rsidR="009A0847">
        <w:rPr>
          <w:szCs w:val="24"/>
        </w:rPr>
        <w:t xml:space="preserve"> </w:t>
      </w:r>
      <w:r w:rsidR="00902851">
        <w:rPr>
          <w:szCs w:val="24"/>
        </w:rPr>
        <w:t>cut</w:t>
      </w:r>
      <w:r w:rsidR="009A0847">
        <w:rPr>
          <w:szCs w:val="24"/>
        </w:rPr>
        <w:t xml:space="preserve"> </w:t>
      </w:r>
      <w:r w:rsidR="0021639A">
        <w:rPr>
          <w:szCs w:val="24"/>
        </w:rPr>
        <w:t>in</w:t>
      </w:r>
      <w:r w:rsidR="009A0847">
        <w:rPr>
          <w:szCs w:val="24"/>
        </w:rPr>
        <w:t xml:space="preserve"> </w:t>
      </w:r>
      <w:r w:rsidR="0021639A">
        <w:rPr>
          <w:szCs w:val="24"/>
        </w:rPr>
        <w:t>the</w:t>
      </w:r>
      <w:r w:rsidR="009A0847">
        <w:rPr>
          <w:szCs w:val="24"/>
        </w:rPr>
        <w:t xml:space="preserve"> </w:t>
      </w:r>
      <w:r w:rsidR="0021639A">
        <w:rPr>
          <w:szCs w:val="24"/>
        </w:rPr>
        <w:t>cost</w:t>
      </w:r>
      <w:r w:rsidR="009A0847">
        <w:rPr>
          <w:szCs w:val="24"/>
        </w:rPr>
        <w:t xml:space="preserve"> </w:t>
      </w:r>
      <w:r w:rsidR="0021639A">
        <w:rPr>
          <w:szCs w:val="24"/>
        </w:rPr>
        <w:t>of</w:t>
      </w:r>
      <w:r w:rsidR="009A0847">
        <w:rPr>
          <w:szCs w:val="24"/>
        </w:rPr>
        <w:t xml:space="preserve"> </w:t>
      </w:r>
      <w:r w:rsidR="0021639A">
        <w:rPr>
          <w:szCs w:val="24"/>
        </w:rPr>
        <w:t>the</w:t>
      </w:r>
      <w:r w:rsidR="009A0847">
        <w:rPr>
          <w:szCs w:val="24"/>
        </w:rPr>
        <w:t xml:space="preserve"> </w:t>
      </w:r>
      <w:r w:rsidR="0021639A">
        <w:rPr>
          <w:szCs w:val="24"/>
        </w:rPr>
        <w:t>DW</w:t>
      </w:r>
      <w:r w:rsidR="009A0847">
        <w:rPr>
          <w:szCs w:val="24"/>
        </w:rPr>
        <w:t xml:space="preserve"> </w:t>
      </w:r>
      <w:r>
        <w:rPr>
          <w:szCs w:val="24"/>
        </w:rPr>
        <w:t>enabled</w:t>
      </w:r>
      <w:r w:rsidR="009A0847">
        <w:rPr>
          <w:szCs w:val="24"/>
        </w:rPr>
        <w:t xml:space="preserve"> </w:t>
      </w:r>
      <w:r>
        <w:rPr>
          <w:szCs w:val="24"/>
        </w:rPr>
        <w:t>coordination</w:t>
      </w:r>
      <w:r w:rsidR="009A0847">
        <w:rPr>
          <w:szCs w:val="24"/>
        </w:rPr>
        <w:t xml:space="preserve"> </w:t>
      </w:r>
      <w:r>
        <w:rPr>
          <w:szCs w:val="24"/>
        </w:rPr>
        <w:t>on</w:t>
      </w:r>
      <w:r w:rsidR="009A0847">
        <w:rPr>
          <w:szCs w:val="24"/>
        </w:rPr>
        <w:t xml:space="preserve"> </w:t>
      </w:r>
      <w:r>
        <w:rPr>
          <w:szCs w:val="24"/>
        </w:rPr>
        <w:t>the</w:t>
      </w:r>
      <w:r w:rsidR="009A0847">
        <w:rPr>
          <w:szCs w:val="24"/>
        </w:rPr>
        <w:t xml:space="preserve"> </w:t>
      </w:r>
      <w:r w:rsidR="002F5DF7">
        <w:rPr>
          <w:szCs w:val="24"/>
        </w:rPr>
        <w:t>stigma-free</w:t>
      </w:r>
      <w:r w:rsidR="009A0847">
        <w:rPr>
          <w:szCs w:val="24"/>
        </w:rPr>
        <w:t xml:space="preserve"> </w:t>
      </w:r>
      <w:r w:rsidR="002F5DF7">
        <w:rPr>
          <w:szCs w:val="24"/>
        </w:rPr>
        <w:t>equilibrium</w:t>
      </w:r>
      <w:r w:rsidR="009A0847">
        <w:rPr>
          <w:szCs w:val="24"/>
        </w:rPr>
        <w:t xml:space="preserve"> </w:t>
      </w:r>
      <w:r>
        <w:rPr>
          <w:szCs w:val="24"/>
        </w:rPr>
        <w:t>in</w:t>
      </w:r>
      <w:r w:rsidR="009A0847">
        <w:rPr>
          <w:szCs w:val="24"/>
        </w:rPr>
        <w:t xml:space="preserve"> </w:t>
      </w:r>
      <w:r>
        <w:rPr>
          <w:szCs w:val="24"/>
        </w:rPr>
        <w:t>1</w:t>
      </w:r>
      <w:r w:rsidR="009A0847">
        <w:rPr>
          <w:szCs w:val="24"/>
        </w:rPr>
        <w:t xml:space="preserve"> </w:t>
      </w:r>
      <w:r>
        <w:rPr>
          <w:szCs w:val="24"/>
        </w:rPr>
        <w:t>of</w:t>
      </w:r>
      <w:r w:rsidR="009A0847">
        <w:rPr>
          <w:szCs w:val="24"/>
        </w:rPr>
        <w:t xml:space="preserve"> </w:t>
      </w:r>
      <w:r>
        <w:rPr>
          <w:szCs w:val="24"/>
        </w:rPr>
        <w:t>the</w:t>
      </w:r>
      <w:r w:rsidR="009A0847">
        <w:rPr>
          <w:szCs w:val="24"/>
        </w:rPr>
        <w:t xml:space="preserve"> </w:t>
      </w:r>
      <w:r>
        <w:rPr>
          <w:szCs w:val="24"/>
        </w:rPr>
        <w:t>6</w:t>
      </w:r>
      <w:r w:rsidR="009A0847">
        <w:rPr>
          <w:szCs w:val="24"/>
        </w:rPr>
        <w:t xml:space="preserve"> </w:t>
      </w:r>
      <w:r>
        <w:rPr>
          <w:szCs w:val="24"/>
        </w:rPr>
        <w:t>sessions</w:t>
      </w:r>
      <w:r w:rsidR="009A0847">
        <w:rPr>
          <w:szCs w:val="24"/>
        </w:rPr>
        <w:t xml:space="preserve"> </w:t>
      </w:r>
      <w:r w:rsidR="008A5C46">
        <w:rPr>
          <w:szCs w:val="24"/>
        </w:rPr>
        <w:t>conducted</w:t>
      </w:r>
      <w:r>
        <w:rPr>
          <w:szCs w:val="24"/>
        </w:rPr>
        <w:t>.</w:t>
      </w:r>
      <w:r w:rsidR="009A0847">
        <w:rPr>
          <w:szCs w:val="24"/>
        </w:rPr>
        <w:t xml:space="preserve"> </w:t>
      </w:r>
      <w:r>
        <w:rPr>
          <w:szCs w:val="24"/>
        </w:rPr>
        <w:t>Overall,</w:t>
      </w:r>
      <w:r w:rsidR="009A0847">
        <w:rPr>
          <w:szCs w:val="24"/>
        </w:rPr>
        <w:t xml:space="preserve"> </w:t>
      </w:r>
      <w:r>
        <w:rPr>
          <w:szCs w:val="24"/>
        </w:rPr>
        <w:t>however,</w:t>
      </w:r>
      <w:r w:rsidR="009A0847">
        <w:rPr>
          <w:szCs w:val="24"/>
        </w:rPr>
        <w:t xml:space="preserve"> </w:t>
      </w:r>
      <w:r w:rsidR="00895AE3">
        <w:rPr>
          <w:szCs w:val="24"/>
        </w:rPr>
        <w:t>reduc</w:t>
      </w:r>
      <w:r w:rsidR="0021639A">
        <w:rPr>
          <w:szCs w:val="24"/>
        </w:rPr>
        <w:t>ing</w:t>
      </w:r>
      <w:r w:rsidR="009A0847">
        <w:rPr>
          <w:szCs w:val="24"/>
        </w:rPr>
        <w:t xml:space="preserve"> </w:t>
      </w:r>
      <w:r w:rsidR="0016329E">
        <w:rPr>
          <w:szCs w:val="24"/>
        </w:rPr>
        <w:t>the</w:t>
      </w:r>
      <w:r w:rsidR="009A0847">
        <w:rPr>
          <w:szCs w:val="24"/>
        </w:rPr>
        <w:t xml:space="preserve"> </w:t>
      </w:r>
      <w:r w:rsidR="0016329E">
        <w:rPr>
          <w:szCs w:val="24"/>
        </w:rPr>
        <w:t>DW</w:t>
      </w:r>
      <w:r w:rsidR="009A0847">
        <w:rPr>
          <w:szCs w:val="24"/>
        </w:rPr>
        <w:t xml:space="preserve"> </w:t>
      </w:r>
      <w:r w:rsidR="00895AE3">
        <w:rPr>
          <w:szCs w:val="24"/>
        </w:rPr>
        <w:t>cost</w:t>
      </w:r>
      <w:r w:rsidR="009A0847">
        <w:rPr>
          <w:szCs w:val="24"/>
        </w:rPr>
        <w:t xml:space="preserve"> </w:t>
      </w:r>
      <w:r w:rsidR="005B5956">
        <w:rPr>
          <w:szCs w:val="24"/>
        </w:rPr>
        <w:t>fails</w:t>
      </w:r>
      <w:r w:rsidR="009A0847">
        <w:rPr>
          <w:szCs w:val="24"/>
        </w:rPr>
        <w:t xml:space="preserve"> </w:t>
      </w:r>
      <w:r w:rsidR="0016329E">
        <w:rPr>
          <w:szCs w:val="24"/>
        </w:rPr>
        <w:t>to</w:t>
      </w:r>
      <w:r w:rsidR="009A0847">
        <w:rPr>
          <w:szCs w:val="24"/>
        </w:rPr>
        <w:t xml:space="preserve"> </w:t>
      </w:r>
      <w:r w:rsidR="0016329E">
        <w:rPr>
          <w:szCs w:val="24"/>
        </w:rPr>
        <w:t>solve</w:t>
      </w:r>
      <w:r w:rsidR="009A0847">
        <w:rPr>
          <w:szCs w:val="24"/>
        </w:rPr>
        <w:t xml:space="preserve"> </w:t>
      </w:r>
      <w:r w:rsidR="0016329E">
        <w:rPr>
          <w:szCs w:val="24"/>
        </w:rPr>
        <w:t>the</w:t>
      </w:r>
      <w:r w:rsidR="009A0847">
        <w:rPr>
          <w:szCs w:val="24"/>
        </w:rPr>
        <w:t xml:space="preserve"> </w:t>
      </w:r>
      <w:r w:rsidR="0016329E">
        <w:rPr>
          <w:szCs w:val="24"/>
        </w:rPr>
        <w:t>stigma</w:t>
      </w:r>
      <w:r w:rsidR="009A0847">
        <w:rPr>
          <w:szCs w:val="24"/>
        </w:rPr>
        <w:t xml:space="preserve"> </w:t>
      </w:r>
      <w:r w:rsidR="0016329E">
        <w:rPr>
          <w:szCs w:val="24"/>
        </w:rPr>
        <w:t>problem</w:t>
      </w:r>
      <w:r w:rsidR="00895AE3">
        <w:rPr>
          <w:szCs w:val="24"/>
        </w:rPr>
        <w:t>:</w:t>
      </w:r>
      <w:r w:rsidR="009A0847">
        <w:rPr>
          <w:szCs w:val="24"/>
        </w:rPr>
        <w:t xml:space="preserve"> </w:t>
      </w:r>
      <w:r w:rsidR="000D7B77">
        <w:rPr>
          <w:szCs w:val="24"/>
        </w:rPr>
        <w:t>U</w:t>
      </w:r>
      <w:r w:rsidR="00895AE3">
        <w:rPr>
          <w:szCs w:val="24"/>
        </w:rPr>
        <w:t>ltimately</w:t>
      </w:r>
      <w:r w:rsidR="0021639A">
        <w:rPr>
          <w:szCs w:val="24"/>
        </w:rPr>
        <w:t>,</w:t>
      </w:r>
      <w:r w:rsidR="009A0847">
        <w:rPr>
          <w:szCs w:val="24"/>
        </w:rPr>
        <w:t xml:space="preserve"> </w:t>
      </w:r>
      <w:r>
        <w:rPr>
          <w:szCs w:val="24"/>
        </w:rPr>
        <w:t>most</w:t>
      </w:r>
      <w:r w:rsidR="009A0847">
        <w:rPr>
          <w:szCs w:val="24"/>
        </w:rPr>
        <w:t xml:space="preserve"> </w:t>
      </w:r>
      <w:r>
        <w:rPr>
          <w:szCs w:val="24"/>
        </w:rPr>
        <w:t>subjects</w:t>
      </w:r>
      <w:r w:rsidR="009A0847">
        <w:rPr>
          <w:szCs w:val="24"/>
        </w:rPr>
        <w:t xml:space="preserve"> </w:t>
      </w:r>
      <w:r w:rsidR="0021639A">
        <w:rPr>
          <w:szCs w:val="24"/>
        </w:rPr>
        <w:t>in</w:t>
      </w:r>
      <w:r w:rsidR="009A0847">
        <w:rPr>
          <w:szCs w:val="24"/>
        </w:rPr>
        <w:t xml:space="preserve"> </w:t>
      </w:r>
      <w:r w:rsidR="0021639A">
        <w:rPr>
          <w:szCs w:val="24"/>
        </w:rPr>
        <w:t>the</w:t>
      </w:r>
      <w:r w:rsidR="009A0847">
        <w:rPr>
          <w:szCs w:val="24"/>
        </w:rPr>
        <w:t xml:space="preserve"> </w:t>
      </w:r>
      <w:r w:rsidR="0021639A">
        <w:rPr>
          <w:szCs w:val="24"/>
        </w:rPr>
        <w:t>low</w:t>
      </w:r>
      <w:r w:rsidR="009A0847">
        <w:rPr>
          <w:szCs w:val="24"/>
        </w:rPr>
        <w:t xml:space="preserve"> </w:t>
      </w:r>
      <w:r w:rsidR="0021639A">
        <w:rPr>
          <w:szCs w:val="24"/>
        </w:rPr>
        <w:t>DW</w:t>
      </w:r>
      <w:r w:rsidR="009A0847">
        <w:rPr>
          <w:szCs w:val="24"/>
        </w:rPr>
        <w:t xml:space="preserve"> </w:t>
      </w:r>
      <w:r w:rsidR="0021639A">
        <w:rPr>
          <w:szCs w:val="24"/>
        </w:rPr>
        <w:t>cost</w:t>
      </w:r>
      <w:r w:rsidR="009A0847">
        <w:rPr>
          <w:szCs w:val="24"/>
        </w:rPr>
        <w:t xml:space="preserve"> </w:t>
      </w:r>
      <w:r w:rsidR="0021639A">
        <w:rPr>
          <w:szCs w:val="24"/>
        </w:rPr>
        <w:t>treatment</w:t>
      </w:r>
      <w:r w:rsidR="009A0847">
        <w:rPr>
          <w:szCs w:val="24"/>
        </w:rPr>
        <w:t xml:space="preserve"> </w:t>
      </w:r>
      <w:r w:rsidR="0016329E">
        <w:rPr>
          <w:szCs w:val="24"/>
        </w:rPr>
        <w:t>decide</w:t>
      </w:r>
      <w:r w:rsidR="009A0847">
        <w:rPr>
          <w:szCs w:val="24"/>
        </w:rPr>
        <w:t xml:space="preserve"> </w:t>
      </w:r>
      <w:r w:rsidR="0016329E">
        <w:rPr>
          <w:szCs w:val="24"/>
        </w:rPr>
        <w:t>not</w:t>
      </w:r>
      <w:r w:rsidR="009A0847">
        <w:rPr>
          <w:szCs w:val="24"/>
        </w:rPr>
        <w:t xml:space="preserve"> </w:t>
      </w:r>
      <w:r w:rsidR="0016329E">
        <w:rPr>
          <w:szCs w:val="24"/>
        </w:rPr>
        <w:t>to</w:t>
      </w:r>
      <w:r w:rsidR="009A0847">
        <w:rPr>
          <w:szCs w:val="24"/>
        </w:rPr>
        <w:t xml:space="preserve"> </w:t>
      </w:r>
      <w:r w:rsidR="0016329E">
        <w:rPr>
          <w:szCs w:val="24"/>
        </w:rPr>
        <w:t>borrow</w:t>
      </w:r>
      <w:r w:rsidR="009A0847">
        <w:rPr>
          <w:szCs w:val="24"/>
        </w:rPr>
        <w:t xml:space="preserve"> </w:t>
      </w:r>
      <w:r w:rsidR="0016329E">
        <w:rPr>
          <w:szCs w:val="24"/>
        </w:rPr>
        <w:t>at</w:t>
      </w:r>
      <w:r w:rsidR="009A0847">
        <w:rPr>
          <w:szCs w:val="24"/>
        </w:rPr>
        <w:t xml:space="preserve"> </w:t>
      </w:r>
      <w:r w:rsidR="0016329E">
        <w:rPr>
          <w:szCs w:val="24"/>
        </w:rPr>
        <w:t>the</w:t>
      </w:r>
      <w:r w:rsidR="009A0847">
        <w:rPr>
          <w:szCs w:val="24"/>
        </w:rPr>
        <w:t xml:space="preserve"> </w:t>
      </w:r>
      <w:r w:rsidR="0016329E">
        <w:rPr>
          <w:szCs w:val="24"/>
        </w:rPr>
        <w:t>DW</w:t>
      </w:r>
      <w:r>
        <w:rPr>
          <w:szCs w:val="24"/>
        </w:rPr>
        <w:t>.</w:t>
      </w:r>
      <w:r w:rsidR="009A0847">
        <w:rPr>
          <w:szCs w:val="24"/>
        </w:rPr>
        <w:t xml:space="preserve"> </w:t>
      </w:r>
      <w:r>
        <w:rPr>
          <w:szCs w:val="24"/>
        </w:rPr>
        <w:t>Again,</w:t>
      </w:r>
      <w:r w:rsidR="009A0847">
        <w:rPr>
          <w:szCs w:val="24"/>
        </w:rPr>
        <w:t xml:space="preserve"> </w:t>
      </w:r>
      <w:r>
        <w:rPr>
          <w:szCs w:val="24"/>
        </w:rPr>
        <w:t>this</w:t>
      </w:r>
      <w:r w:rsidR="009A0847">
        <w:rPr>
          <w:szCs w:val="24"/>
        </w:rPr>
        <w:t xml:space="preserve"> </w:t>
      </w:r>
      <w:r>
        <w:rPr>
          <w:szCs w:val="24"/>
        </w:rPr>
        <w:t>result</w:t>
      </w:r>
      <w:r w:rsidR="009A0847">
        <w:rPr>
          <w:szCs w:val="24"/>
        </w:rPr>
        <w:t xml:space="preserve"> </w:t>
      </w:r>
      <w:r>
        <w:rPr>
          <w:szCs w:val="24"/>
        </w:rPr>
        <w:t>is</w:t>
      </w:r>
      <w:r w:rsidR="009A0847">
        <w:rPr>
          <w:szCs w:val="24"/>
        </w:rPr>
        <w:t xml:space="preserve"> </w:t>
      </w:r>
      <w:r>
        <w:rPr>
          <w:szCs w:val="24"/>
        </w:rPr>
        <w:t>interesti</w:t>
      </w:r>
      <w:r w:rsidR="002F5DF7">
        <w:rPr>
          <w:szCs w:val="24"/>
        </w:rPr>
        <w:t>ng</w:t>
      </w:r>
      <w:r w:rsidR="009A0847">
        <w:rPr>
          <w:szCs w:val="24"/>
        </w:rPr>
        <w:t xml:space="preserve"> </w:t>
      </w:r>
      <w:r w:rsidR="002F5DF7">
        <w:rPr>
          <w:szCs w:val="24"/>
        </w:rPr>
        <w:t>as</w:t>
      </w:r>
      <w:r w:rsidR="009A0847">
        <w:rPr>
          <w:szCs w:val="24"/>
        </w:rPr>
        <w:t xml:space="preserve"> </w:t>
      </w:r>
      <w:r w:rsidR="002F5DF7">
        <w:rPr>
          <w:szCs w:val="24"/>
        </w:rPr>
        <w:t>it</w:t>
      </w:r>
      <w:r w:rsidR="009A0847">
        <w:rPr>
          <w:szCs w:val="24"/>
        </w:rPr>
        <w:t xml:space="preserve"> </w:t>
      </w:r>
      <w:r w:rsidR="002F5DF7">
        <w:rPr>
          <w:szCs w:val="24"/>
        </w:rPr>
        <w:t>echoes</w:t>
      </w:r>
      <w:r w:rsidR="009A0847">
        <w:rPr>
          <w:szCs w:val="24"/>
        </w:rPr>
        <w:t xml:space="preserve"> </w:t>
      </w:r>
      <w:r w:rsidR="002F5DF7">
        <w:rPr>
          <w:szCs w:val="24"/>
        </w:rPr>
        <w:t>the</w:t>
      </w:r>
      <w:r w:rsidR="009A0847">
        <w:rPr>
          <w:szCs w:val="24"/>
        </w:rPr>
        <w:t xml:space="preserve"> </w:t>
      </w:r>
      <w:r w:rsidR="002F5DF7">
        <w:rPr>
          <w:szCs w:val="24"/>
        </w:rPr>
        <w:t>Fed’s</w:t>
      </w:r>
      <w:r w:rsidR="009A0847">
        <w:rPr>
          <w:szCs w:val="24"/>
        </w:rPr>
        <w:t xml:space="preserve"> </w:t>
      </w:r>
      <w:r>
        <w:rPr>
          <w:szCs w:val="24"/>
        </w:rPr>
        <w:t>experience.</w:t>
      </w:r>
      <w:r w:rsidR="009A0847">
        <w:rPr>
          <w:szCs w:val="24"/>
        </w:rPr>
        <w:t xml:space="preserve"> </w:t>
      </w:r>
      <w:r w:rsidR="00895AE3">
        <w:rPr>
          <w:szCs w:val="24"/>
        </w:rPr>
        <w:t>O</w:t>
      </w:r>
      <w:r>
        <w:rPr>
          <w:szCs w:val="24"/>
        </w:rPr>
        <w:t>n</w:t>
      </w:r>
      <w:r w:rsidR="009A0847">
        <w:rPr>
          <w:szCs w:val="24"/>
        </w:rPr>
        <w:t xml:space="preserve"> </w:t>
      </w:r>
      <w:r>
        <w:rPr>
          <w:szCs w:val="24"/>
        </w:rPr>
        <w:t>August</w:t>
      </w:r>
      <w:r w:rsidR="009A0847">
        <w:rPr>
          <w:szCs w:val="24"/>
        </w:rPr>
        <w:t xml:space="preserve"> </w:t>
      </w:r>
      <w:r>
        <w:rPr>
          <w:szCs w:val="24"/>
        </w:rPr>
        <w:t>17,</w:t>
      </w:r>
      <w:r w:rsidR="009A0847">
        <w:rPr>
          <w:szCs w:val="24"/>
        </w:rPr>
        <w:t xml:space="preserve"> </w:t>
      </w:r>
      <w:r>
        <w:rPr>
          <w:szCs w:val="24"/>
        </w:rPr>
        <w:t>2007</w:t>
      </w:r>
      <w:r w:rsidR="009A0847">
        <w:rPr>
          <w:szCs w:val="24"/>
        </w:rPr>
        <w:t xml:space="preserve"> </w:t>
      </w:r>
      <w:r>
        <w:rPr>
          <w:szCs w:val="24"/>
        </w:rPr>
        <w:t>the</w:t>
      </w:r>
      <w:r w:rsidR="009A0847">
        <w:rPr>
          <w:szCs w:val="24"/>
        </w:rPr>
        <w:t xml:space="preserve"> </w:t>
      </w:r>
      <w:r>
        <w:rPr>
          <w:szCs w:val="24"/>
        </w:rPr>
        <w:t>Fed</w:t>
      </w:r>
      <w:r w:rsidR="009A0847">
        <w:rPr>
          <w:szCs w:val="24"/>
        </w:rPr>
        <w:t xml:space="preserve"> </w:t>
      </w:r>
      <w:r>
        <w:rPr>
          <w:szCs w:val="24"/>
        </w:rPr>
        <w:t>took</w:t>
      </w:r>
      <w:r w:rsidR="009A0847">
        <w:rPr>
          <w:szCs w:val="24"/>
        </w:rPr>
        <w:t xml:space="preserve"> </w:t>
      </w:r>
      <w:r>
        <w:rPr>
          <w:szCs w:val="24"/>
        </w:rPr>
        <w:t>a</w:t>
      </w:r>
      <w:r w:rsidR="009A0847">
        <w:rPr>
          <w:szCs w:val="24"/>
        </w:rPr>
        <w:t xml:space="preserve"> </w:t>
      </w:r>
      <w:r>
        <w:rPr>
          <w:szCs w:val="24"/>
        </w:rPr>
        <w:t>number</w:t>
      </w:r>
      <w:r w:rsidR="009A0847">
        <w:rPr>
          <w:szCs w:val="24"/>
        </w:rPr>
        <w:t xml:space="preserve"> </w:t>
      </w:r>
      <w:r>
        <w:rPr>
          <w:szCs w:val="24"/>
        </w:rPr>
        <w:t>of</w:t>
      </w:r>
      <w:r w:rsidR="009A0847">
        <w:rPr>
          <w:szCs w:val="24"/>
        </w:rPr>
        <w:t xml:space="preserve"> </w:t>
      </w:r>
      <w:r>
        <w:rPr>
          <w:szCs w:val="24"/>
        </w:rPr>
        <w:t>meas</w:t>
      </w:r>
      <w:r w:rsidR="008A5C46">
        <w:rPr>
          <w:szCs w:val="24"/>
        </w:rPr>
        <w:t>ures</w:t>
      </w:r>
      <w:r w:rsidR="009A0847">
        <w:rPr>
          <w:szCs w:val="24"/>
        </w:rPr>
        <w:t xml:space="preserve"> </w:t>
      </w:r>
      <w:r w:rsidR="008A5C46">
        <w:rPr>
          <w:szCs w:val="24"/>
        </w:rPr>
        <w:t>to</w:t>
      </w:r>
      <w:r w:rsidR="009A0847">
        <w:rPr>
          <w:szCs w:val="24"/>
        </w:rPr>
        <w:t xml:space="preserve"> </w:t>
      </w:r>
      <w:r w:rsidR="008A5C46">
        <w:rPr>
          <w:szCs w:val="24"/>
        </w:rPr>
        <w:t>encourage</w:t>
      </w:r>
      <w:r w:rsidR="009A0847">
        <w:rPr>
          <w:szCs w:val="24"/>
        </w:rPr>
        <w:t xml:space="preserve"> </w:t>
      </w:r>
      <w:r w:rsidR="008A5C46">
        <w:rPr>
          <w:szCs w:val="24"/>
        </w:rPr>
        <w:t>DW</w:t>
      </w:r>
      <w:r w:rsidR="009A0847">
        <w:rPr>
          <w:szCs w:val="24"/>
        </w:rPr>
        <w:t xml:space="preserve"> </w:t>
      </w:r>
      <w:r w:rsidR="008A5C46">
        <w:rPr>
          <w:szCs w:val="24"/>
        </w:rPr>
        <w:t>borrowing</w:t>
      </w:r>
      <w:r w:rsidR="009A0847">
        <w:rPr>
          <w:szCs w:val="24"/>
        </w:rPr>
        <w:t xml:space="preserve"> </w:t>
      </w:r>
      <w:r w:rsidR="002F5DF7">
        <w:rPr>
          <w:szCs w:val="24"/>
        </w:rPr>
        <w:t>(see</w:t>
      </w:r>
      <w:r w:rsidR="009A0847">
        <w:rPr>
          <w:szCs w:val="24"/>
        </w:rPr>
        <w:t xml:space="preserve"> </w:t>
      </w:r>
      <w:r w:rsidR="002F5DF7">
        <w:rPr>
          <w:szCs w:val="24"/>
        </w:rPr>
        <w:t>Appendix</w:t>
      </w:r>
      <w:r w:rsidR="009A0847">
        <w:rPr>
          <w:szCs w:val="24"/>
        </w:rPr>
        <w:t xml:space="preserve"> </w:t>
      </w:r>
      <w:r w:rsidR="002F5DF7">
        <w:rPr>
          <w:szCs w:val="24"/>
        </w:rPr>
        <w:t>1</w:t>
      </w:r>
      <w:r w:rsidR="009A0847">
        <w:rPr>
          <w:szCs w:val="24"/>
        </w:rPr>
        <w:t xml:space="preserve"> </w:t>
      </w:r>
      <w:r w:rsidR="002F5DF7">
        <w:rPr>
          <w:szCs w:val="24"/>
        </w:rPr>
        <w:t>for</w:t>
      </w:r>
      <w:r w:rsidR="009A0847">
        <w:rPr>
          <w:szCs w:val="24"/>
        </w:rPr>
        <w:t xml:space="preserve"> </w:t>
      </w:r>
      <w:r w:rsidR="002F5DF7">
        <w:rPr>
          <w:szCs w:val="24"/>
        </w:rPr>
        <w:t>details)</w:t>
      </w:r>
      <w:r w:rsidR="008A5C46">
        <w:rPr>
          <w:szCs w:val="24"/>
        </w:rPr>
        <w:t>.</w:t>
      </w:r>
      <w:r w:rsidR="009A0847">
        <w:rPr>
          <w:szCs w:val="24"/>
        </w:rPr>
        <w:t xml:space="preserve"> </w:t>
      </w:r>
      <w:r w:rsidR="00420DB4">
        <w:rPr>
          <w:szCs w:val="24"/>
        </w:rPr>
        <w:t>A</w:t>
      </w:r>
      <w:r>
        <w:rPr>
          <w:szCs w:val="24"/>
        </w:rPr>
        <w:t>mong</w:t>
      </w:r>
      <w:r w:rsidR="009A0847">
        <w:rPr>
          <w:szCs w:val="24"/>
        </w:rPr>
        <w:t xml:space="preserve"> </w:t>
      </w:r>
      <w:r w:rsidR="00420DB4">
        <w:rPr>
          <w:szCs w:val="24"/>
        </w:rPr>
        <w:t>them,</w:t>
      </w:r>
      <w:r w:rsidR="009A0847">
        <w:rPr>
          <w:szCs w:val="24"/>
        </w:rPr>
        <w:t xml:space="preserve"> </w:t>
      </w:r>
      <w:r>
        <w:rPr>
          <w:szCs w:val="24"/>
        </w:rPr>
        <w:t>the</w:t>
      </w:r>
      <w:r w:rsidR="009A0847">
        <w:rPr>
          <w:szCs w:val="24"/>
        </w:rPr>
        <w:t xml:space="preserve"> </w:t>
      </w:r>
      <w:r>
        <w:rPr>
          <w:szCs w:val="24"/>
        </w:rPr>
        <w:t>DW</w:t>
      </w:r>
      <w:r w:rsidR="009A0847">
        <w:rPr>
          <w:szCs w:val="24"/>
        </w:rPr>
        <w:t xml:space="preserve"> </w:t>
      </w:r>
      <w:r w:rsidR="00420DB4">
        <w:rPr>
          <w:szCs w:val="24"/>
        </w:rPr>
        <w:t>“penalty”</w:t>
      </w:r>
      <w:r w:rsidR="009A0847">
        <w:rPr>
          <w:szCs w:val="24"/>
        </w:rPr>
        <w:t xml:space="preserve"> </w:t>
      </w:r>
      <w:r w:rsidR="00420DB4">
        <w:rPr>
          <w:szCs w:val="24"/>
        </w:rPr>
        <w:t>spread</w:t>
      </w:r>
      <w:r w:rsidR="009A0847">
        <w:rPr>
          <w:szCs w:val="24"/>
        </w:rPr>
        <w:t xml:space="preserve"> </w:t>
      </w:r>
      <w:r w:rsidR="00420DB4">
        <w:rPr>
          <w:szCs w:val="24"/>
        </w:rPr>
        <w:t>over</w:t>
      </w:r>
      <w:r w:rsidR="009A0847">
        <w:rPr>
          <w:szCs w:val="24"/>
        </w:rPr>
        <w:t xml:space="preserve"> </w:t>
      </w:r>
      <w:r w:rsidR="00420DB4">
        <w:rPr>
          <w:szCs w:val="24"/>
        </w:rPr>
        <w:t>the</w:t>
      </w:r>
      <w:r w:rsidR="009A0847">
        <w:rPr>
          <w:szCs w:val="24"/>
        </w:rPr>
        <w:t xml:space="preserve"> </w:t>
      </w:r>
      <w:r w:rsidR="00420DB4">
        <w:rPr>
          <w:szCs w:val="24"/>
        </w:rPr>
        <w:t>target</w:t>
      </w:r>
      <w:r w:rsidR="009A0847">
        <w:rPr>
          <w:szCs w:val="24"/>
        </w:rPr>
        <w:t xml:space="preserve"> </w:t>
      </w:r>
      <w:r w:rsidR="00420DB4">
        <w:rPr>
          <w:szCs w:val="24"/>
        </w:rPr>
        <w:t>rate</w:t>
      </w:r>
      <w:r w:rsidR="009A0847">
        <w:rPr>
          <w:szCs w:val="24"/>
        </w:rPr>
        <w:t xml:space="preserve"> </w:t>
      </w:r>
      <w:r>
        <w:rPr>
          <w:szCs w:val="24"/>
        </w:rPr>
        <w:t>was</w:t>
      </w:r>
      <w:r w:rsidR="009A0847">
        <w:rPr>
          <w:szCs w:val="24"/>
        </w:rPr>
        <w:t xml:space="preserve"> </w:t>
      </w:r>
      <w:r w:rsidR="00420DB4">
        <w:rPr>
          <w:szCs w:val="24"/>
        </w:rPr>
        <w:t>reduced</w:t>
      </w:r>
      <w:r w:rsidR="009A0847">
        <w:rPr>
          <w:szCs w:val="24"/>
        </w:rPr>
        <w:t xml:space="preserve"> </w:t>
      </w:r>
      <w:r>
        <w:rPr>
          <w:szCs w:val="24"/>
        </w:rPr>
        <w:t>by</w:t>
      </w:r>
      <w:r w:rsidR="009A0847">
        <w:rPr>
          <w:szCs w:val="24"/>
        </w:rPr>
        <w:t xml:space="preserve"> </w:t>
      </w:r>
      <w:r w:rsidR="00420DB4">
        <w:rPr>
          <w:szCs w:val="24"/>
        </w:rPr>
        <w:t>50%</w:t>
      </w:r>
      <w:r w:rsidR="002F5DF7">
        <w:rPr>
          <w:szCs w:val="24"/>
        </w:rPr>
        <w:t>,</w:t>
      </w:r>
      <w:r w:rsidR="009A0847">
        <w:rPr>
          <w:szCs w:val="24"/>
        </w:rPr>
        <w:t xml:space="preserve"> </w:t>
      </w:r>
      <w:r w:rsidR="00420DB4">
        <w:rPr>
          <w:szCs w:val="24"/>
        </w:rPr>
        <w:t>from</w:t>
      </w:r>
      <w:r w:rsidR="009A0847">
        <w:rPr>
          <w:szCs w:val="24"/>
        </w:rPr>
        <w:t xml:space="preserve"> </w:t>
      </w:r>
      <w:r w:rsidR="00902851">
        <w:rPr>
          <w:szCs w:val="24"/>
        </w:rPr>
        <w:t>100</w:t>
      </w:r>
      <w:r w:rsidR="009A0847">
        <w:rPr>
          <w:szCs w:val="24"/>
        </w:rPr>
        <w:t xml:space="preserve"> </w:t>
      </w:r>
      <w:r w:rsidR="00902851">
        <w:rPr>
          <w:szCs w:val="24"/>
        </w:rPr>
        <w:t>basis</w:t>
      </w:r>
      <w:r w:rsidR="009A0847">
        <w:rPr>
          <w:szCs w:val="24"/>
        </w:rPr>
        <w:t xml:space="preserve"> </w:t>
      </w:r>
      <w:r w:rsidR="00902851">
        <w:rPr>
          <w:szCs w:val="24"/>
        </w:rPr>
        <w:t>points</w:t>
      </w:r>
      <w:r w:rsidR="009A0847">
        <w:rPr>
          <w:szCs w:val="24"/>
        </w:rPr>
        <w:t xml:space="preserve"> </w:t>
      </w:r>
      <w:r>
        <w:rPr>
          <w:szCs w:val="24"/>
        </w:rPr>
        <w:t>to</w:t>
      </w:r>
      <w:r w:rsidR="009A0847">
        <w:rPr>
          <w:szCs w:val="24"/>
        </w:rPr>
        <w:t xml:space="preserve"> </w:t>
      </w:r>
      <w:r w:rsidR="00902851">
        <w:rPr>
          <w:szCs w:val="24"/>
        </w:rPr>
        <w:t>50,</w:t>
      </w:r>
      <w:r w:rsidR="009A0847">
        <w:rPr>
          <w:szCs w:val="24"/>
        </w:rPr>
        <w:t xml:space="preserve"> </w:t>
      </w:r>
      <w:r w:rsidR="0021639A">
        <w:rPr>
          <w:szCs w:val="24"/>
        </w:rPr>
        <w:t>thereby</w:t>
      </w:r>
      <w:r w:rsidR="009A0847">
        <w:rPr>
          <w:szCs w:val="24"/>
        </w:rPr>
        <w:t xml:space="preserve"> </w:t>
      </w:r>
      <w:r w:rsidR="0021639A">
        <w:rPr>
          <w:szCs w:val="24"/>
        </w:rPr>
        <w:t>reducing</w:t>
      </w:r>
      <w:r w:rsidR="009A0847">
        <w:rPr>
          <w:szCs w:val="24"/>
        </w:rPr>
        <w:t xml:space="preserve"> </w:t>
      </w:r>
      <w:r w:rsidR="0021639A">
        <w:rPr>
          <w:szCs w:val="24"/>
        </w:rPr>
        <w:t>the</w:t>
      </w:r>
      <w:r w:rsidR="009A0847">
        <w:rPr>
          <w:szCs w:val="24"/>
        </w:rPr>
        <w:t xml:space="preserve"> </w:t>
      </w:r>
      <w:r w:rsidR="0021639A">
        <w:rPr>
          <w:szCs w:val="24"/>
        </w:rPr>
        <w:t>DW</w:t>
      </w:r>
      <w:r w:rsidR="009A0847">
        <w:rPr>
          <w:szCs w:val="24"/>
        </w:rPr>
        <w:t xml:space="preserve"> </w:t>
      </w:r>
      <w:r w:rsidR="0021639A">
        <w:rPr>
          <w:szCs w:val="24"/>
        </w:rPr>
        <w:t>rate</w:t>
      </w:r>
      <w:r w:rsidR="009A0847">
        <w:rPr>
          <w:szCs w:val="24"/>
        </w:rPr>
        <w:t xml:space="preserve"> </w:t>
      </w:r>
      <w:r w:rsidR="0021639A">
        <w:rPr>
          <w:szCs w:val="24"/>
        </w:rPr>
        <w:t>from</w:t>
      </w:r>
      <w:r w:rsidR="009A0847">
        <w:rPr>
          <w:szCs w:val="24"/>
        </w:rPr>
        <w:t xml:space="preserve"> </w:t>
      </w:r>
      <w:r w:rsidR="0021639A">
        <w:rPr>
          <w:szCs w:val="24"/>
        </w:rPr>
        <w:t>5.75%</w:t>
      </w:r>
      <w:r w:rsidR="009A0847">
        <w:rPr>
          <w:szCs w:val="24"/>
        </w:rPr>
        <w:t xml:space="preserve"> </w:t>
      </w:r>
      <w:r w:rsidR="0021639A">
        <w:rPr>
          <w:szCs w:val="24"/>
        </w:rPr>
        <w:t>to</w:t>
      </w:r>
      <w:r w:rsidR="009A0847">
        <w:rPr>
          <w:szCs w:val="24"/>
        </w:rPr>
        <w:t xml:space="preserve"> </w:t>
      </w:r>
      <w:r w:rsidR="00902851">
        <w:rPr>
          <w:szCs w:val="24"/>
        </w:rPr>
        <w:t>5.25%</w:t>
      </w:r>
      <w:r>
        <w:rPr>
          <w:szCs w:val="24"/>
        </w:rPr>
        <w:t>.</w:t>
      </w:r>
      <w:r w:rsidR="009A0847">
        <w:rPr>
          <w:szCs w:val="24"/>
        </w:rPr>
        <w:t xml:space="preserve"> </w:t>
      </w:r>
      <w:r>
        <w:rPr>
          <w:szCs w:val="24"/>
        </w:rPr>
        <w:t>Similar</w:t>
      </w:r>
      <w:r w:rsidR="009A0847">
        <w:rPr>
          <w:szCs w:val="24"/>
        </w:rPr>
        <w:t xml:space="preserve"> </w:t>
      </w:r>
      <w:r>
        <w:rPr>
          <w:szCs w:val="24"/>
        </w:rPr>
        <w:t>to</w:t>
      </w:r>
      <w:r w:rsidR="009A0847">
        <w:rPr>
          <w:szCs w:val="24"/>
        </w:rPr>
        <w:t xml:space="preserve"> </w:t>
      </w:r>
      <w:r>
        <w:rPr>
          <w:szCs w:val="24"/>
        </w:rPr>
        <w:t>our</w:t>
      </w:r>
      <w:r w:rsidR="009A0847">
        <w:rPr>
          <w:szCs w:val="24"/>
        </w:rPr>
        <w:t xml:space="preserve"> </w:t>
      </w:r>
      <w:r>
        <w:rPr>
          <w:szCs w:val="24"/>
        </w:rPr>
        <w:t>experiment</w:t>
      </w:r>
      <w:r w:rsidR="0021639A">
        <w:rPr>
          <w:szCs w:val="24"/>
        </w:rPr>
        <w:t>al</w:t>
      </w:r>
      <w:r w:rsidR="009A0847">
        <w:rPr>
          <w:szCs w:val="24"/>
        </w:rPr>
        <w:t xml:space="preserve"> </w:t>
      </w:r>
      <w:r w:rsidR="0021639A">
        <w:rPr>
          <w:szCs w:val="24"/>
        </w:rPr>
        <w:t>results</w:t>
      </w:r>
      <w:r>
        <w:rPr>
          <w:szCs w:val="24"/>
        </w:rPr>
        <w:t>,</w:t>
      </w:r>
      <w:r w:rsidR="009A0847">
        <w:rPr>
          <w:szCs w:val="24"/>
        </w:rPr>
        <w:t xml:space="preserve"> </w:t>
      </w:r>
      <w:r>
        <w:rPr>
          <w:szCs w:val="24"/>
        </w:rPr>
        <w:t>this</w:t>
      </w:r>
      <w:r w:rsidR="009A0847">
        <w:rPr>
          <w:szCs w:val="24"/>
        </w:rPr>
        <w:t xml:space="preserve"> </w:t>
      </w:r>
      <w:r>
        <w:rPr>
          <w:szCs w:val="24"/>
        </w:rPr>
        <w:t>policy</w:t>
      </w:r>
      <w:r w:rsidR="009A0847">
        <w:rPr>
          <w:szCs w:val="24"/>
        </w:rPr>
        <w:t xml:space="preserve"> </w:t>
      </w:r>
      <w:r>
        <w:rPr>
          <w:szCs w:val="24"/>
        </w:rPr>
        <w:t>change</w:t>
      </w:r>
      <w:r w:rsidR="009A0847">
        <w:rPr>
          <w:szCs w:val="24"/>
        </w:rPr>
        <w:t xml:space="preserve"> </w:t>
      </w:r>
      <w:r>
        <w:rPr>
          <w:szCs w:val="24"/>
        </w:rPr>
        <w:t>was</w:t>
      </w:r>
      <w:r w:rsidR="009A0847">
        <w:rPr>
          <w:szCs w:val="24"/>
        </w:rPr>
        <w:t xml:space="preserve"> </w:t>
      </w:r>
      <w:r>
        <w:rPr>
          <w:szCs w:val="24"/>
        </w:rPr>
        <w:t>ineffective</w:t>
      </w:r>
      <w:r w:rsidR="000D7B77">
        <w:rPr>
          <w:szCs w:val="24"/>
        </w:rPr>
        <w:t>,</w:t>
      </w:r>
      <w:r w:rsidR="009A0847">
        <w:rPr>
          <w:szCs w:val="24"/>
        </w:rPr>
        <w:t xml:space="preserve"> </w:t>
      </w:r>
      <w:r>
        <w:rPr>
          <w:szCs w:val="24"/>
        </w:rPr>
        <w:t>as</w:t>
      </w:r>
      <w:r w:rsidR="009A0847">
        <w:rPr>
          <w:szCs w:val="24"/>
        </w:rPr>
        <w:t xml:space="preserve"> </w:t>
      </w:r>
      <w:r w:rsidR="0016329E">
        <w:rPr>
          <w:szCs w:val="24"/>
        </w:rPr>
        <w:t>access</w:t>
      </w:r>
      <w:r w:rsidR="009A0847">
        <w:rPr>
          <w:szCs w:val="24"/>
        </w:rPr>
        <w:t xml:space="preserve"> </w:t>
      </w:r>
      <w:r w:rsidR="0016329E">
        <w:rPr>
          <w:szCs w:val="24"/>
        </w:rPr>
        <w:t>to</w:t>
      </w:r>
      <w:r w:rsidR="009A0847">
        <w:rPr>
          <w:szCs w:val="24"/>
        </w:rPr>
        <w:t xml:space="preserve"> </w:t>
      </w:r>
      <w:r w:rsidR="0016329E">
        <w:rPr>
          <w:szCs w:val="24"/>
        </w:rPr>
        <w:t>the</w:t>
      </w:r>
      <w:r w:rsidR="009A0847">
        <w:rPr>
          <w:szCs w:val="24"/>
        </w:rPr>
        <w:t xml:space="preserve"> </w:t>
      </w:r>
      <w:r w:rsidR="00420DB4">
        <w:rPr>
          <w:szCs w:val="24"/>
        </w:rPr>
        <w:t>DW</w:t>
      </w:r>
      <w:r w:rsidR="009A0847">
        <w:rPr>
          <w:szCs w:val="24"/>
        </w:rPr>
        <w:t xml:space="preserve"> </w:t>
      </w:r>
      <w:r w:rsidR="0016329E">
        <w:rPr>
          <w:szCs w:val="24"/>
        </w:rPr>
        <w:t>increased</w:t>
      </w:r>
      <w:r w:rsidR="009A0847">
        <w:rPr>
          <w:szCs w:val="24"/>
        </w:rPr>
        <w:t xml:space="preserve"> </w:t>
      </w:r>
      <w:r w:rsidR="0016329E">
        <w:rPr>
          <w:szCs w:val="24"/>
        </w:rPr>
        <w:t>little</w:t>
      </w:r>
      <w:r w:rsidR="009A0847">
        <w:rPr>
          <w:szCs w:val="24"/>
        </w:rPr>
        <w:t xml:space="preserve"> </w:t>
      </w:r>
      <w:r>
        <w:rPr>
          <w:szCs w:val="24"/>
        </w:rPr>
        <w:t>in</w:t>
      </w:r>
      <w:r w:rsidR="009A0847">
        <w:rPr>
          <w:szCs w:val="24"/>
        </w:rPr>
        <w:t xml:space="preserve"> </w:t>
      </w:r>
      <w:r>
        <w:rPr>
          <w:szCs w:val="24"/>
        </w:rPr>
        <w:t>the</w:t>
      </w:r>
      <w:r w:rsidR="009A0847">
        <w:rPr>
          <w:szCs w:val="24"/>
        </w:rPr>
        <w:t xml:space="preserve"> </w:t>
      </w:r>
      <w:r>
        <w:rPr>
          <w:szCs w:val="24"/>
        </w:rPr>
        <w:t>second</w:t>
      </w:r>
      <w:r w:rsidR="009A0847">
        <w:rPr>
          <w:szCs w:val="24"/>
        </w:rPr>
        <w:t xml:space="preserve"> </w:t>
      </w:r>
      <w:r>
        <w:rPr>
          <w:szCs w:val="24"/>
        </w:rPr>
        <w:t>half</w:t>
      </w:r>
      <w:r w:rsidR="009A0847">
        <w:rPr>
          <w:szCs w:val="24"/>
        </w:rPr>
        <w:t xml:space="preserve"> </w:t>
      </w:r>
      <w:r>
        <w:rPr>
          <w:szCs w:val="24"/>
        </w:rPr>
        <w:t>of</w:t>
      </w:r>
      <w:r w:rsidR="009A0847">
        <w:rPr>
          <w:szCs w:val="24"/>
        </w:rPr>
        <w:t xml:space="preserve"> </w:t>
      </w:r>
      <w:r>
        <w:rPr>
          <w:szCs w:val="24"/>
        </w:rPr>
        <w:t>2007.</w:t>
      </w:r>
      <w:r w:rsidR="009A0847">
        <w:rPr>
          <w:szCs w:val="24"/>
        </w:rPr>
        <w:t xml:space="preserve"> </w:t>
      </w:r>
    </w:p>
    <w:p w14:paraId="575AD105" w14:textId="6790C89A" w:rsidR="000B50FA" w:rsidRDefault="000B50FA" w:rsidP="00F86E09">
      <w:pPr>
        <w:pStyle w:val="Heading3"/>
        <w:widowControl w:val="0"/>
        <w:spacing w:line="276" w:lineRule="auto"/>
      </w:pPr>
      <w:r>
        <w:lastRenderedPageBreak/>
        <w:t>The</w:t>
      </w:r>
      <w:r w:rsidR="009A0847">
        <w:t xml:space="preserve"> </w:t>
      </w:r>
      <w:r w:rsidR="00C345EE">
        <w:t>random</w:t>
      </w:r>
      <w:r w:rsidR="009A0847">
        <w:t xml:space="preserve"> </w:t>
      </w:r>
      <w:r>
        <w:t>borrowing</w:t>
      </w:r>
      <w:r w:rsidR="009A0847">
        <w:t xml:space="preserve"> </w:t>
      </w:r>
      <w:r>
        <w:t>treatment</w:t>
      </w:r>
    </w:p>
    <w:p w14:paraId="47C8C3DC" w14:textId="027E2547" w:rsidR="00AF2CC9" w:rsidRDefault="008A5C46" w:rsidP="005B5956">
      <w:pPr>
        <w:pStyle w:val="Olivier1"/>
        <w:widowControl w:val="0"/>
        <w:spacing w:after="0"/>
        <w:rPr>
          <w:color w:val="000000" w:themeColor="text1"/>
        </w:rPr>
      </w:pPr>
      <w:r>
        <w:t>We</w:t>
      </w:r>
      <w:r w:rsidR="009A0847">
        <w:t xml:space="preserve"> </w:t>
      </w:r>
      <w:r>
        <w:t>now</w:t>
      </w:r>
      <w:r w:rsidR="009A0847">
        <w:t xml:space="preserve"> </w:t>
      </w:r>
      <w:r>
        <w:t>turn</w:t>
      </w:r>
      <w:r w:rsidR="009A0847">
        <w:t xml:space="preserve"> </w:t>
      </w:r>
      <w:r>
        <w:t>to</w:t>
      </w:r>
      <w:r w:rsidR="009A0847">
        <w:t xml:space="preserve"> </w:t>
      </w:r>
      <w:r w:rsidR="001D4529">
        <w:t>Figure</w:t>
      </w:r>
      <w:r w:rsidR="009A0847">
        <w:t xml:space="preserve"> </w:t>
      </w:r>
      <w:r w:rsidR="001D4529">
        <w:t>3</w:t>
      </w:r>
      <w:r w:rsidR="009A0847">
        <w:t xml:space="preserve"> </w:t>
      </w:r>
      <w:r w:rsidR="001D4529">
        <w:t>where</w:t>
      </w:r>
      <w:r w:rsidR="009A0847">
        <w:t xml:space="preserve"> </w:t>
      </w:r>
      <w:r w:rsidR="000A424C">
        <w:t>behavior</w:t>
      </w:r>
      <w:r w:rsidR="009A0847">
        <w:t xml:space="preserve"> </w:t>
      </w:r>
      <w:r w:rsidR="000A424C">
        <w:t>in</w:t>
      </w:r>
      <w:r w:rsidR="009A0847">
        <w:t xml:space="preserve"> </w:t>
      </w:r>
      <w:r w:rsidR="000A424C">
        <w:t>the</w:t>
      </w:r>
      <w:r w:rsidR="009A0847">
        <w:t xml:space="preserve"> </w:t>
      </w:r>
      <w:r w:rsidR="00C345EE">
        <w:t>random</w:t>
      </w:r>
      <w:r w:rsidR="009A0847">
        <w:t xml:space="preserve"> </w:t>
      </w:r>
      <w:r w:rsidR="000A424C">
        <w:t>borrowing</w:t>
      </w:r>
      <w:r w:rsidR="009A0847">
        <w:t xml:space="preserve"> </w:t>
      </w:r>
      <w:r w:rsidR="000A424C">
        <w:t>treatment</w:t>
      </w:r>
      <w:r w:rsidR="009A0847">
        <w:t xml:space="preserve"> </w:t>
      </w:r>
      <w:r w:rsidR="000A424C">
        <w:t>is</w:t>
      </w:r>
      <w:r w:rsidR="009A0847">
        <w:t xml:space="preserve"> </w:t>
      </w:r>
      <w:r w:rsidR="000A424C">
        <w:t>displayed.</w:t>
      </w:r>
      <w:r w:rsidR="009A0847">
        <w:t xml:space="preserve"> </w:t>
      </w:r>
      <w:r w:rsidR="000A424C" w:rsidRPr="000A424C">
        <w:t>As</w:t>
      </w:r>
      <w:r w:rsidR="009A0847">
        <w:t xml:space="preserve"> </w:t>
      </w:r>
      <w:r w:rsidR="000A424C" w:rsidRPr="000A424C">
        <w:t>in</w:t>
      </w:r>
      <w:r w:rsidR="009A0847">
        <w:t xml:space="preserve"> </w:t>
      </w:r>
      <w:r w:rsidR="000A424C" w:rsidRPr="000A424C">
        <w:t>th</w:t>
      </w:r>
      <w:r w:rsidR="000A424C">
        <w:t>e</w:t>
      </w:r>
      <w:r w:rsidR="009A0847">
        <w:t xml:space="preserve"> </w:t>
      </w:r>
      <w:r w:rsidR="00703B03">
        <w:t>previous</w:t>
      </w:r>
      <w:r w:rsidR="009A0847">
        <w:t xml:space="preserve"> </w:t>
      </w:r>
      <w:r w:rsidR="00703B03">
        <w:t>two</w:t>
      </w:r>
      <w:r w:rsidR="009A0847">
        <w:t xml:space="preserve"> </w:t>
      </w:r>
      <w:r w:rsidR="000A424C">
        <w:t>treatments,</w:t>
      </w:r>
      <w:r w:rsidR="009A0847">
        <w:t xml:space="preserve"> </w:t>
      </w:r>
      <w:r w:rsidR="000A424C">
        <w:t>investor</w:t>
      </w:r>
      <w:r w:rsidR="00F66970">
        <w:t>s</w:t>
      </w:r>
      <w:r w:rsidR="009A0847">
        <w:t xml:space="preserve"> </w:t>
      </w:r>
      <w:r w:rsidR="000A424C">
        <w:t>fund</w:t>
      </w:r>
      <w:r w:rsidR="009A0847">
        <w:t xml:space="preserve"> </w:t>
      </w:r>
      <w:r w:rsidR="000A424C">
        <w:t>banks</w:t>
      </w:r>
      <w:r w:rsidR="009A0847">
        <w:t xml:space="preserve"> </w:t>
      </w:r>
      <w:r w:rsidR="000A424C">
        <w:t>not</w:t>
      </w:r>
      <w:r w:rsidR="009A0847">
        <w:t xml:space="preserve"> </w:t>
      </w:r>
      <w:r w:rsidR="000A424C">
        <w:t>detected</w:t>
      </w:r>
      <w:r w:rsidR="009A0847">
        <w:t xml:space="preserve"> </w:t>
      </w:r>
      <w:r w:rsidR="000A424C">
        <w:t>at</w:t>
      </w:r>
      <w:r w:rsidR="009A0847">
        <w:t xml:space="preserve"> </w:t>
      </w:r>
      <w:r w:rsidR="000A424C">
        <w:t>the</w:t>
      </w:r>
      <w:r w:rsidR="009A0847">
        <w:t xml:space="preserve"> </w:t>
      </w:r>
      <w:r w:rsidR="000A424C">
        <w:t>DW.</w:t>
      </w:r>
      <w:r w:rsidR="009A0847">
        <w:t xml:space="preserve"> </w:t>
      </w:r>
      <w:r w:rsidR="000A424C">
        <w:t>In</w:t>
      </w:r>
      <w:r w:rsidR="009A0847">
        <w:t xml:space="preserve"> </w:t>
      </w:r>
      <w:r w:rsidR="000A424C">
        <w:t>fact</w:t>
      </w:r>
      <w:r w:rsidR="0016329E">
        <w:t>,</w:t>
      </w:r>
      <w:r w:rsidR="009A0847">
        <w:t xml:space="preserve"> </w:t>
      </w:r>
      <w:r w:rsidR="000A424C">
        <w:t>the</w:t>
      </w:r>
      <w:r w:rsidR="009A0847">
        <w:t xml:space="preserve"> </w:t>
      </w:r>
      <w:r w:rsidR="000A424C">
        <w:t>funding</w:t>
      </w:r>
      <w:r w:rsidR="009A0847">
        <w:t xml:space="preserve"> </w:t>
      </w:r>
      <w:r w:rsidR="000A424C">
        <w:t>behavior</w:t>
      </w:r>
      <w:r w:rsidR="009A0847">
        <w:t xml:space="preserve"> </w:t>
      </w:r>
      <w:r w:rsidR="000A424C">
        <w:t>of</w:t>
      </w:r>
      <w:r w:rsidR="009A0847">
        <w:t xml:space="preserve"> </w:t>
      </w:r>
      <w:r w:rsidR="000A424C">
        <w:t>investors</w:t>
      </w:r>
      <w:r w:rsidR="009A0847">
        <w:t xml:space="preserve"> </w:t>
      </w:r>
      <w:r w:rsidR="00214306">
        <w:t>who</w:t>
      </w:r>
      <w:r w:rsidR="009A0847">
        <w:t xml:space="preserve"> </w:t>
      </w:r>
      <w:r w:rsidR="000A424C">
        <w:t>fac</w:t>
      </w:r>
      <w:r w:rsidR="00214306">
        <w:t>e</w:t>
      </w:r>
      <w:r w:rsidR="009A0847">
        <w:t xml:space="preserve"> </w:t>
      </w:r>
      <w:r w:rsidR="000A424C">
        <w:t>a</w:t>
      </w:r>
      <w:r w:rsidR="009A0847">
        <w:t xml:space="preserve"> </w:t>
      </w:r>
      <w:r w:rsidR="0021639A">
        <w:t>non-detected</w:t>
      </w:r>
      <w:r w:rsidR="009A0847">
        <w:t xml:space="preserve"> </w:t>
      </w:r>
      <w:r w:rsidR="000D7B77">
        <w:t>bank</w:t>
      </w:r>
      <w:r w:rsidR="009A0847">
        <w:t xml:space="preserve"> </w:t>
      </w:r>
      <w:r w:rsidR="0016329E">
        <w:t>cannot</w:t>
      </w:r>
      <w:r w:rsidR="009A0847">
        <w:t xml:space="preserve"> </w:t>
      </w:r>
      <w:r w:rsidR="0016329E">
        <w:t>be</w:t>
      </w:r>
      <w:r w:rsidR="009A0847">
        <w:t xml:space="preserve"> </w:t>
      </w:r>
      <w:r w:rsidR="0016329E">
        <w:t>distingu</w:t>
      </w:r>
      <w:r w:rsidR="000A424C">
        <w:t>ished</w:t>
      </w:r>
      <w:r w:rsidR="009A0847">
        <w:t xml:space="preserve"> </w:t>
      </w:r>
      <w:r w:rsidR="000A424C">
        <w:t>statistically</w:t>
      </w:r>
      <w:r w:rsidR="009A0847">
        <w:t xml:space="preserve"> </w:t>
      </w:r>
      <w:r w:rsidR="000A424C">
        <w:t>across</w:t>
      </w:r>
      <w:r w:rsidR="009A0847">
        <w:t xml:space="preserve"> </w:t>
      </w:r>
      <w:r w:rsidR="000A424C">
        <w:t>the</w:t>
      </w:r>
      <w:r w:rsidR="009A0847">
        <w:t xml:space="preserve"> </w:t>
      </w:r>
      <w:r w:rsidR="000A424C">
        <w:t>three</w:t>
      </w:r>
      <w:r w:rsidR="009A0847">
        <w:t xml:space="preserve"> </w:t>
      </w:r>
      <w:r w:rsidR="000A424C">
        <w:t>treatment</w:t>
      </w:r>
      <w:r w:rsidR="0016329E">
        <w:t>s</w:t>
      </w:r>
      <w:r w:rsidR="009A0847">
        <w:t xml:space="preserve"> </w:t>
      </w:r>
      <w:r w:rsidR="0021639A">
        <w:t>at</w:t>
      </w:r>
      <w:r w:rsidR="009A0847">
        <w:t xml:space="preserve"> </w:t>
      </w:r>
      <w:r w:rsidR="0021639A">
        <w:t>usual</w:t>
      </w:r>
      <w:r w:rsidR="009A0847">
        <w:t xml:space="preserve"> </w:t>
      </w:r>
      <w:r w:rsidR="0021639A">
        <w:t>significance</w:t>
      </w:r>
      <w:r w:rsidR="009A0847">
        <w:t xml:space="preserve"> </w:t>
      </w:r>
      <w:r w:rsidR="0021639A">
        <w:t>levels</w:t>
      </w:r>
      <w:r w:rsidR="000A424C">
        <w:t>.</w:t>
      </w:r>
      <w:r w:rsidR="009A0847">
        <w:t xml:space="preserve"> </w:t>
      </w:r>
      <w:r w:rsidR="002F5DF7">
        <w:t>In</w:t>
      </w:r>
      <w:r w:rsidR="009A0847">
        <w:t xml:space="preserve"> </w:t>
      </w:r>
      <w:r w:rsidR="002F5DF7">
        <w:t>contrast,</w:t>
      </w:r>
      <w:r w:rsidR="009A0847">
        <w:t xml:space="preserve"> </w:t>
      </w:r>
      <w:r w:rsidR="002F5DF7">
        <w:t>f</w:t>
      </w:r>
      <w:r w:rsidR="006B7701">
        <w:t>unding</w:t>
      </w:r>
      <w:r w:rsidR="009A0847">
        <w:t xml:space="preserve"> </w:t>
      </w:r>
      <w:r w:rsidR="006B7701">
        <w:t>behavior</w:t>
      </w:r>
      <w:r w:rsidR="009A0847">
        <w:t xml:space="preserve"> </w:t>
      </w:r>
      <w:r w:rsidR="006B7701">
        <w:t>toward</w:t>
      </w:r>
      <w:r w:rsidR="009A0847">
        <w:t xml:space="preserve"> </w:t>
      </w:r>
      <w:r w:rsidR="008B43FB">
        <w:t>banks</w:t>
      </w:r>
      <w:r w:rsidR="009A0847">
        <w:t xml:space="preserve"> </w:t>
      </w:r>
      <w:r w:rsidR="008B43FB">
        <w:t>detected</w:t>
      </w:r>
      <w:r w:rsidR="009A0847">
        <w:t xml:space="preserve"> </w:t>
      </w:r>
      <w:r w:rsidR="008B43FB">
        <w:t>at</w:t>
      </w:r>
      <w:r w:rsidR="009A0847">
        <w:t xml:space="preserve"> </w:t>
      </w:r>
      <w:r w:rsidR="008B43FB">
        <w:t>the</w:t>
      </w:r>
      <w:r w:rsidR="009A0847">
        <w:t xml:space="preserve"> </w:t>
      </w:r>
      <w:r w:rsidR="008B43FB">
        <w:t>DW</w:t>
      </w:r>
      <w:r w:rsidR="009A0847">
        <w:t xml:space="preserve"> </w:t>
      </w:r>
      <w:r w:rsidR="008B43FB">
        <w:t>is</w:t>
      </w:r>
      <w:r w:rsidR="009A0847">
        <w:t xml:space="preserve"> </w:t>
      </w:r>
      <w:r w:rsidR="0016329E">
        <w:t>statistically</w:t>
      </w:r>
      <w:r w:rsidR="009A0847">
        <w:t xml:space="preserve"> </w:t>
      </w:r>
      <w:r w:rsidR="008B43FB">
        <w:t>different</w:t>
      </w:r>
      <w:r w:rsidR="009A0847">
        <w:t xml:space="preserve"> </w:t>
      </w:r>
      <w:r w:rsidR="0016329E">
        <w:t>(at</w:t>
      </w:r>
      <w:r w:rsidR="009A0847">
        <w:t xml:space="preserve"> </w:t>
      </w:r>
      <w:r w:rsidR="0016329E">
        <w:t>the</w:t>
      </w:r>
      <w:r w:rsidR="009A0847">
        <w:t xml:space="preserve"> </w:t>
      </w:r>
      <w:r w:rsidR="0016329E">
        <w:t>5%</w:t>
      </w:r>
      <w:r w:rsidR="009A0847">
        <w:t xml:space="preserve"> </w:t>
      </w:r>
      <w:r w:rsidR="0016329E">
        <w:t>level)</w:t>
      </w:r>
      <w:r w:rsidR="009A0847">
        <w:t xml:space="preserve"> </w:t>
      </w:r>
      <w:r w:rsidR="008B43FB">
        <w:t>in</w:t>
      </w:r>
      <w:r w:rsidR="009A0847">
        <w:t xml:space="preserve"> </w:t>
      </w:r>
      <w:r w:rsidR="008B43FB">
        <w:t>the</w:t>
      </w:r>
      <w:r w:rsidR="009A0847">
        <w:t xml:space="preserve"> </w:t>
      </w:r>
      <w:r w:rsidR="00C345EE">
        <w:t>random</w:t>
      </w:r>
      <w:r w:rsidR="009A0847">
        <w:t xml:space="preserve"> </w:t>
      </w:r>
      <w:r w:rsidR="008B43FB">
        <w:t>borrowing</w:t>
      </w:r>
      <w:r w:rsidR="009A0847">
        <w:t xml:space="preserve"> </w:t>
      </w:r>
      <w:r w:rsidR="008B43FB">
        <w:t>tr</w:t>
      </w:r>
      <w:r w:rsidR="0016329E">
        <w:t>e</w:t>
      </w:r>
      <w:r w:rsidR="008B43FB">
        <w:t>atment.</w:t>
      </w:r>
      <w:r w:rsidR="009A0847">
        <w:t xml:space="preserve"> </w:t>
      </w:r>
      <w:r w:rsidR="008B43FB">
        <w:t>While</w:t>
      </w:r>
      <w:r w:rsidR="009A0847">
        <w:t xml:space="preserve"> </w:t>
      </w:r>
      <w:r w:rsidR="008B43FB">
        <w:t>investors</w:t>
      </w:r>
      <w:r w:rsidR="009A0847">
        <w:t xml:space="preserve"> </w:t>
      </w:r>
      <w:r w:rsidR="005B5956">
        <w:t>learn</w:t>
      </w:r>
      <w:r w:rsidR="009A0847">
        <w:t xml:space="preserve"> </w:t>
      </w:r>
      <w:r w:rsidR="008B43FB">
        <w:t>not</w:t>
      </w:r>
      <w:r w:rsidR="009A0847">
        <w:t xml:space="preserve"> </w:t>
      </w:r>
      <w:r w:rsidR="008B43FB">
        <w:t>to</w:t>
      </w:r>
      <w:r w:rsidR="009A0847">
        <w:t xml:space="preserve"> </w:t>
      </w:r>
      <w:r w:rsidR="008B43FB">
        <w:t>fund</w:t>
      </w:r>
      <w:r w:rsidR="009A0847">
        <w:t xml:space="preserve"> </w:t>
      </w:r>
      <w:r w:rsidR="008B43FB">
        <w:t>a</w:t>
      </w:r>
      <w:r w:rsidR="009A0847">
        <w:t xml:space="preserve"> </w:t>
      </w:r>
      <w:r w:rsidR="000D7B77">
        <w:t>detected</w:t>
      </w:r>
      <w:r w:rsidR="009A0847">
        <w:t xml:space="preserve"> </w:t>
      </w:r>
      <w:r w:rsidR="00445AAD">
        <w:t>bank</w:t>
      </w:r>
      <w:r w:rsidR="009A0847">
        <w:t xml:space="preserve"> </w:t>
      </w:r>
      <w:r w:rsidR="008B43FB">
        <w:t>in</w:t>
      </w:r>
      <w:r w:rsidR="009A0847">
        <w:t xml:space="preserve"> </w:t>
      </w:r>
      <w:r w:rsidR="008B43FB">
        <w:t>the</w:t>
      </w:r>
      <w:r w:rsidR="009A0847">
        <w:t xml:space="preserve"> </w:t>
      </w:r>
      <w:r w:rsidR="008B43FB">
        <w:t>other</w:t>
      </w:r>
      <w:r w:rsidR="009A0847">
        <w:t xml:space="preserve"> </w:t>
      </w:r>
      <w:r w:rsidR="008B43FB">
        <w:t>two</w:t>
      </w:r>
      <w:r w:rsidR="009A0847">
        <w:t xml:space="preserve"> </w:t>
      </w:r>
      <w:r w:rsidR="008B43FB">
        <w:t>treatments,</w:t>
      </w:r>
      <w:r w:rsidR="009A0847">
        <w:t xml:space="preserve"> </w:t>
      </w:r>
      <w:r w:rsidR="00E078C1">
        <w:t>we</w:t>
      </w:r>
      <w:r w:rsidR="009A0847">
        <w:t xml:space="preserve"> </w:t>
      </w:r>
      <w:r w:rsidR="00E078C1">
        <w:t>can</w:t>
      </w:r>
      <w:r w:rsidR="009A0847">
        <w:t xml:space="preserve"> </w:t>
      </w:r>
      <w:r w:rsidR="00E078C1">
        <w:t>see</w:t>
      </w:r>
      <w:r w:rsidR="009A0847">
        <w:t xml:space="preserve"> </w:t>
      </w:r>
      <w:r w:rsidR="00E078C1">
        <w:t>in</w:t>
      </w:r>
      <w:r w:rsidR="009A0847">
        <w:t xml:space="preserve"> </w:t>
      </w:r>
      <w:r w:rsidR="00214306">
        <w:t>the</w:t>
      </w:r>
      <w:r w:rsidR="009A0847">
        <w:t xml:space="preserve"> </w:t>
      </w:r>
      <w:r w:rsidR="0021639A">
        <w:t>lef</w:t>
      </w:r>
      <w:r w:rsidR="00E078C1">
        <w:t>t</w:t>
      </w:r>
      <w:r w:rsidR="009A0847">
        <w:t xml:space="preserve"> </w:t>
      </w:r>
      <w:r w:rsidR="00E078C1">
        <w:t>panel</w:t>
      </w:r>
      <w:r w:rsidR="009A0847">
        <w:t xml:space="preserve"> </w:t>
      </w:r>
      <w:r w:rsidR="00E078C1">
        <w:t>of</w:t>
      </w:r>
      <w:r w:rsidR="009A0847">
        <w:t xml:space="preserve"> </w:t>
      </w:r>
      <w:r w:rsidR="00E078C1">
        <w:t>Figure</w:t>
      </w:r>
      <w:r w:rsidR="009A0847">
        <w:t xml:space="preserve"> </w:t>
      </w:r>
      <w:r w:rsidR="00E078C1">
        <w:t>3</w:t>
      </w:r>
      <w:r w:rsidR="009A0847">
        <w:t xml:space="preserve"> </w:t>
      </w:r>
      <w:r w:rsidR="00E078C1">
        <w:t>that</w:t>
      </w:r>
      <w:r w:rsidR="009A0847">
        <w:t xml:space="preserve"> </w:t>
      </w:r>
      <w:r w:rsidR="008B43FB">
        <w:t>the</w:t>
      </w:r>
      <w:r w:rsidR="009A0847">
        <w:t xml:space="preserve"> </w:t>
      </w:r>
      <w:r w:rsidR="0016329E">
        <w:t>funding</w:t>
      </w:r>
      <w:r w:rsidR="009A0847">
        <w:t xml:space="preserve"> </w:t>
      </w:r>
      <w:r w:rsidR="008B43FB">
        <w:t>trend</w:t>
      </w:r>
      <w:r w:rsidR="009A0847">
        <w:t xml:space="preserve"> </w:t>
      </w:r>
      <w:r w:rsidR="008B43FB">
        <w:t>is</w:t>
      </w:r>
      <w:r w:rsidR="009A0847">
        <w:t xml:space="preserve"> </w:t>
      </w:r>
      <w:r w:rsidR="0016329E">
        <w:t>slightly</w:t>
      </w:r>
      <w:r w:rsidR="009A0847">
        <w:t xml:space="preserve"> </w:t>
      </w:r>
      <w:r w:rsidR="008B43FB">
        <w:t>upward</w:t>
      </w:r>
      <w:r w:rsidR="009A0847">
        <w:t xml:space="preserve"> </w:t>
      </w:r>
      <w:r w:rsidR="008B43FB">
        <w:t>in</w:t>
      </w:r>
      <w:r w:rsidR="009A0847">
        <w:t xml:space="preserve"> </w:t>
      </w:r>
      <w:r w:rsidR="008B43FB">
        <w:t>the</w:t>
      </w:r>
      <w:r w:rsidR="009A0847">
        <w:t xml:space="preserve"> </w:t>
      </w:r>
      <w:r w:rsidR="00C345EE">
        <w:t>random</w:t>
      </w:r>
      <w:r w:rsidR="009A0847">
        <w:t xml:space="preserve"> </w:t>
      </w:r>
      <w:r w:rsidR="0025736F">
        <w:t xml:space="preserve">borrowing </w:t>
      </w:r>
      <w:r w:rsidR="008B43FB">
        <w:t>treatment</w:t>
      </w:r>
      <w:r w:rsidR="0016329E">
        <w:t>.</w:t>
      </w:r>
      <w:r w:rsidR="009A0847">
        <w:t xml:space="preserve"> </w:t>
      </w:r>
      <w:r w:rsidR="008B43FB">
        <w:t>Neverth</w:t>
      </w:r>
      <w:r w:rsidR="0016329E">
        <w:t>e</w:t>
      </w:r>
      <w:r w:rsidR="008B43FB">
        <w:t>less,</w:t>
      </w:r>
      <w:r w:rsidR="009A0847">
        <w:t xml:space="preserve"> </w:t>
      </w:r>
      <w:r w:rsidR="008B43FB">
        <w:t>the</w:t>
      </w:r>
      <w:r w:rsidR="009A0847">
        <w:t xml:space="preserve"> </w:t>
      </w:r>
      <w:r w:rsidR="008B43FB">
        <w:t>majority</w:t>
      </w:r>
      <w:r w:rsidR="009A0847">
        <w:t xml:space="preserve"> </w:t>
      </w:r>
      <w:r w:rsidR="008B43FB">
        <w:t>of</w:t>
      </w:r>
      <w:r w:rsidR="009A0847">
        <w:t xml:space="preserve"> </w:t>
      </w:r>
      <w:r w:rsidR="008B43FB">
        <w:t>investors</w:t>
      </w:r>
      <w:r w:rsidR="009A0847">
        <w:t xml:space="preserve"> </w:t>
      </w:r>
      <w:r w:rsidR="0016329E">
        <w:t>still</w:t>
      </w:r>
      <w:r w:rsidR="009A0847">
        <w:t xml:space="preserve"> </w:t>
      </w:r>
      <w:r w:rsidR="00E078C1">
        <w:t>stigmatize</w:t>
      </w:r>
      <w:r w:rsidR="009A0847">
        <w:t xml:space="preserve"> </w:t>
      </w:r>
      <w:r w:rsidR="00E078C1">
        <w:t>DW</w:t>
      </w:r>
      <w:r w:rsidR="009A0847">
        <w:t xml:space="preserve"> </w:t>
      </w:r>
      <w:r w:rsidR="00E078C1">
        <w:t>borrowers</w:t>
      </w:r>
      <w:r w:rsidR="009A0847">
        <w:t xml:space="preserve"> </w:t>
      </w:r>
      <w:r w:rsidR="00214306">
        <w:t>(</w:t>
      </w:r>
      <w:r w:rsidR="0016329E">
        <w:t>the</w:t>
      </w:r>
      <w:r w:rsidR="009A0847">
        <w:t xml:space="preserve"> </w:t>
      </w:r>
      <w:r w:rsidR="0016329E">
        <w:t>50%</w:t>
      </w:r>
      <w:r w:rsidR="009A0847">
        <w:t xml:space="preserve"> </w:t>
      </w:r>
      <w:r w:rsidR="0016329E">
        <w:t>th</w:t>
      </w:r>
      <w:r w:rsidR="00B86D46">
        <w:t>reshold</w:t>
      </w:r>
      <w:r w:rsidR="009A0847">
        <w:t xml:space="preserve"> </w:t>
      </w:r>
      <w:r w:rsidR="00B86D46">
        <w:t>is</w:t>
      </w:r>
      <w:r w:rsidR="009A0847">
        <w:t xml:space="preserve"> </w:t>
      </w:r>
      <w:r w:rsidR="00B86D46">
        <w:t>not</w:t>
      </w:r>
      <w:r w:rsidR="009A0847">
        <w:t xml:space="preserve"> </w:t>
      </w:r>
      <w:r w:rsidR="00B86D46">
        <w:t>crossed</w:t>
      </w:r>
      <w:r w:rsidR="009A0847">
        <w:t xml:space="preserve"> </w:t>
      </w:r>
      <w:r w:rsidR="00B86D46">
        <w:t>in</w:t>
      </w:r>
      <w:r w:rsidR="009A0847">
        <w:t xml:space="preserve"> </w:t>
      </w:r>
      <w:r w:rsidR="00B86D46">
        <w:t>any</w:t>
      </w:r>
      <w:r w:rsidR="009A0847">
        <w:t xml:space="preserve"> </w:t>
      </w:r>
      <w:r w:rsidR="00B86D46">
        <w:t>round</w:t>
      </w:r>
      <w:r w:rsidR="00214306">
        <w:t>)</w:t>
      </w:r>
      <w:r w:rsidR="00B86D46">
        <w:t>.</w:t>
      </w:r>
      <w:r w:rsidR="009A0847">
        <w:t xml:space="preserve"> </w:t>
      </w:r>
      <w:r w:rsidR="00B86D46">
        <w:t>Th</w:t>
      </w:r>
      <w:r w:rsidR="006B7701">
        <w:t>is</w:t>
      </w:r>
      <w:r w:rsidR="009A0847">
        <w:t xml:space="preserve"> </w:t>
      </w:r>
      <w:r w:rsidR="00B86D46" w:rsidRPr="00473F8A">
        <w:rPr>
          <w:color w:val="000000" w:themeColor="text1"/>
        </w:rPr>
        <w:t>treatment</w:t>
      </w:r>
      <w:r w:rsidR="009A0847" w:rsidRPr="00473F8A">
        <w:rPr>
          <w:color w:val="000000" w:themeColor="text1"/>
        </w:rPr>
        <w:t xml:space="preserve"> </w:t>
      </w:r>
      <w:r w:rsidR="00B86D46" w:rsidRPr="00473F8A">
        <w:rPr>
          <w:color w:val="000000" w:themeColor="text1"/>
        </w:rPr>
        <w:t>effect</w:t>
      </w:r>
      <w:r w:rsidR="009A0847" w:rsidRPr="00473F8A">
        <w:rPr>
          <w:color w:val="000000" w:themeColor="text1"/>
        </w:rPr>
        <w:t xml:space="preserve"> </w:t>
      </w:r>
      <w:r w:rsidR="0021639A" w:rsidRPr="00473F8A">
        <w:rPr>
          <w:color w:val="000000" w:themeColor="text1"/>
        </w:rPr>
        <w:t>may</w:t>
      </w:r>
      <w:r w:rsidR="009A0847" w:rsidRPr="00473F8A">
        <w:rPr>
          <w:color w:val="000000" w:themeColor="text1"/>
        </w:rPr>
        <w:t xml:space="preserve"> </w:t>
      </w:r>
      <w:r w:rsidR="0021639A" w:rsidRPr="00473F8A">
        <w:rPr>
          <w:color w:val="000000" w:themeColor="text1"/>
        </w:rPr>
        <w:t>be</w:t>
      </w:r>
      <w:r w:rsidR="009A0847" w:rsidRPr="00473F8A">
        <w:rPr>
          <w:color w:val="000000" w:themeColor="text1"/>
        </w:rPr>
        <w:t xml:space="preserve"> </w:t>
      </w:r>
      <w:r w:rsidR="0021639A" w:rsidRPr="00473F8A">
        <w:rPr>
          <w:color w:val="000000" w:themeColor="text1"/>
        </w:rPr>
        <w:t>explained</w:t>
      </w:r>
      <w:r w:rsidR="009A0847" w:rsidRPr="00473F8A">
        <w:rPr>
          <w:color w:val="000000" w:themeColor="text1"/>
        </w:rPr>
        <w:t xml:space="preserve"> </w:t>
      </w:r>
      <w:r w:rsidR="0021639A" w:rsidRPr="00473F8A">
        <w:rPr>
          <w:color w:val="000000" w:themeColor="text1"/>
        </w:rPr>
        <w:t>by</w:t>
      </w:r>
      <w:r w:rsidR="009A0847" w:rsidRPr="00473F8A">
        <w:rPr>
          <w:color w:val="000000" w:themeColor="text1"/>
        </w:rPr>
        <w:t xml:space="preserve"> </w:t>
      </w:r>
      <w:r w:rsidR="00B86D46" w:rsidRPr="00473F8A">
        <w:rPr>
          <w:color w:val="000000" w:themeColor="text1"/>
        </w:rPr>
        <w:t>the</w:t>
      </w:r>
      <w:r w:rsidR="009A0847" w:rsidRPr="00473F8A">
        <w:rPr>
          <w:color w:val="000000" w:themeColor="text1"/>
        </w:rPr>
        <w:t xml:space="preserve"> </w:t>
      </w:r>
      <w:r w:rsidR="00B86D46" w:rsidRPr="00473F8A">
        <w:rPr>
          <w:color w:val="000000" w:themeColor="text1"/>
        </w:rPr>
        <w:t>fact</w:t>
      </w:r>
      <w:r w:rsidR="009A0847" w:rsidRPr="00473F8A">
        <w:rPr>
          <w:color w:val="000000" w:themeColor="text1"/>
        </w:rPr>
        <w:t xml:space="preserve"> </w:t>
      </w:r>
      <w:r w:rsidR="00B86D46" w:rsidRPr="00473F8A">
        <w:rPr>
          <w:color w:val="000000" w:themeColor="text1"/>
        </w:rPr>
        <w:t>that</w:t>
      </w:r>
      <w:r w:rsidR="009A0847" w:rsidRPr="00473F8A">
        <w:rPr>
          <w:color w:val="000000" w:themeColor="text1"/>
        </w:rPr>
        <w:t xml:space="preserve"> </w:t>
      </w:r>
      <w:r w:rsidR="00C345EE" w:rsidRPr="00473F8A">
        <w:rPr>
          <w:color w:val="000000" w:themeColor="text1"/>
        </w:rPr>
        <w:t>random</w:t>
      </w:r>
      <w:r w:rsidR="009A0847" w:rsidRPr="00473F8A">
        <w:rPr>
          <w:color w:val="000000" w:themeColor="text1"/>
        </w:rPr>
        <w:t xml:space="preserve"> </w:t>
      </w:r>
      <w:r w:rsidR="00B86D46" w:rsidRPr="00473F8A">
        <w:rPr>
          <w:color w:val="000000" w:themeColor="text1"/>
        </w:rPr>
        <w:t>borrowing</w:t>
      </w:r>
      <w:r w:rsidR="009A0847" w:rsidRPr="00473F8A">
        <w:rPr>
          <w:color w:val="000000" w:themeColor="text1"/>
        </w:rPr>
        <w:t xml:space="preserve"> </w:t>
      </w:r>
      <w:r w:rsidR="00B86D46" w:rsidRPr="00473F8A">
        <w:rPr>
          <w:color w:val="000000" w:themeColor="text1"/>
        </w:rPr>
        <w:t>add</w:t>
      </w:r>
      <w:r w:rsidR="0021639A" w:rsidRPr="00473F8A">
        <w:rPr>
          <w:color w:val="000000" w:themeColor="text1"/>
        </w:rPr>
        <w:t>s</w:t>
      </w:r>
      <w:r w:rsidR="009A0847" w:rsidRPr="00473F8A">
        <w:rPr>
          <w:color w:val="000000" w:themeColor="text1"/>
        </w:rPr>
        <w:t xml:space="preserve"> </w:t>
      </w:r>
      <w:r w:rsidR="00B86D46" w:rsidRPr="00473F8A">
        <w:rPr>
          <w:color w:val="000000" w:themeColor="text1"/>
        </w:rPr>
        <w:t>solvent-liquid</w:t>
      </w:r>
      <w:r w:rsidR="009A0847" w:rsidRPr="00473F8A">
        <w:rPr>
          <w:color w:val="000000" w:themeColor="text1"/>
        </w:rPr>
        <w:t xml:space="preserve"> </w:t>
      </w:r>
      <w:r w:rsidR="00B86D46" w:rsidRPr="00473F8A">
        <w:rPr>
          <w:color w:val="000000" w:themeColor="text1"/>
        </w:rPr>
        <w:t>banks</w:t>
      </w:r>
      <w:r w:rsidR="009A0847" w:rsidRPr="00473F8A">
        <w:rPr>
          <w:color w:val="000000" w:themeColor="text1"/>
        </w:rPr>
        <w:t xml:space="preserve"> </w:t>
      </w:r>
      <w:r w:rsidR="00B86D46" w:rsidRPr="00473F8A">
        <w:rPr>
          <w:color w:val="000000" w:themeColor="text1"/>
        </w:rPr>
        <w:t>to</w:t>
      </w:r>
      <w:r w:rsidR="009A0847" w:rsidRPr="00473F8A">
        <w:rPr>
          <w:color w:val="000000" w:themeColor="text1"/>
        </w:rPr>
        <w:t xml:space="preserve"> </w:t>
      </w:r>
      <w:r w:rsidR="00B86D46" w:rsidRPr="00473F8A">
        <w:rPr>
          <w:color w:val="000000" w:themeColor="text1"/>
        </w:rPr>
        <w:t>the</w:t>
      </w:r>
      <w:r w:rsidR="009A0847" w:rsidRPr="00473F8A">
        <w:rPr>
          <w:color w:val="000000" w:themeColor="text1"/>
        </w:rPr>
        <w:t xml:space="preserve"> </w:t>
      </w:r>
      <w:r w:rsidR="00B86D46" w:rsidRPr="00473F8A">
        <w:rPr>
          <w:color w:val="000000" w:themeColor="text1"/>
        </w:rPr>
        <w:t>pool</w:t>
      </w:r>
      <w:r w:rsidR="009A0847" w:rsidRPr="00473F8A">
        <w:rPr>
          <w:color w:val="000000" w:themeColor="text1"/>
        </w:rPr>
        <w:t xml:space="preserve"> </w:t>
      </w:r>
      <w:r w:rsidR="00B86D46" w:rsidRPr="00473F8A">
        <w:rPr>
          <w:color w:val="000000" w:themeColor="text1"/>
        </w:rPr>
        <w:t>of</w:t>
      </w:r>
      <w:r w:rsidR="009A0847" w:rsidRPr="00473F8A">
        <w:rPr>
          <w:color w:val="000000" w:themeColor="text1"/>
        </w:rPr>
        <w:t xml:space="preserve"> </w:t>
      </w:r>
      <w:r w:rsidR="00E33382" w:rsidRPr="00473F8A">
        <w:rPr>
          <w:color w:val="000000" w:themeColor="text1"/>
        </w:rPr>
        <w:t>detected</w:t>
      </w:r>
      <w:r w:rsidR="009A0847" w:rsidRPr="00473F8A">
        <w:rPr>
          <w:color w:val="000000" w:themeColor="text1"/>
        </w:rPr>
        <w:t xml:space="preserve"> </w:t>
      </w:r>
      <w:r w:rsidR="00B86D46" w:rsidRPr="00473F8A">
        <w:rPr>
          <w:color w:val="000000" w:themeColor="text1"/>
        </w:rPr>
        <w:t>banks</w:t>
      </w:r>
      <w:r w:rsidR="006B7701" w:rsidRPr="00473F8A">
        <w:rPr>
          <w:color w:val="000000" w:themeColor="text1"/>
        </w:rPr>
        <w:t>,</w:t>
      </w:r>
      <w:r w:rsidR="009A0847" w:rsidRPr="00473F8A">
        <w:rPr>
          <w:color w:val="000000" w:themeColor="text1"/>
        </w:rPr>
        <w:t xml:space="preserve"> </w:t>
      </w:r>
      <w:r w:rsidR="00B86D46" w:rsidRPr="00473F8A">
        <w:rPr>
          <w:color w:val="000000" w:themeColor="text1"/>
        </w:rPr>
        <w:t>which</w:t>
      </w:r>
      <w:r w:rsidR="009A0847" w:rsidRPr="00473F8A">
        <w:rPr>
          <w:color w:val="000000" w:themeColor="text1"/>
        </w:rPr>
        <w:t xml:space="preserve"> </w:t>
      </w:r>
      <w:r w:rsidR="0016329E" w:rsidRPr="00473F8A">
        <w:rPr>
          <w:color w:val="000000" w:themeColor="text1"/>
        </w:rPr>
        <w:t>makes</w:t>
      </w:r>
      <w:r w:rsidR="009A0847" w:rsidRPr="00473F8A">
        <w:rPr>
          <w:color w:val="000000" w:themeColor="text1"/>
        </w:rPr>
        <w:t xml:space="preserve"> </w:t>
      </w:r>
      <w:r w:rsidR="0016329E" w:rsidRPr="00473F8A">
        <w:rPr>
          <w:color w:val="000000" w:themeColor="text1"/>
        </w:rPr>
        <w:t>the</w:t>
      </w:r>
      <w:r w:rsidR="009A0847" w:rsidRPr="00473F8A">
        <w:rPr>
          <w:color w:val="000000" w:themeColor="text1"/>
        </w:rPr>
        <w:t xml:space="preserve"> </w:t>
      </w:r>
      <w:r w:rsidR="0016329E" w:rsidRPr="00473F8A">
        <w:rPr>
          <w:color w:val="000000" w:themeColor="text1"/>
        </w:rPr>
        <w:t>investors</w:t>
      </w:r>
      <w:r w:rsidR="00214306" w:rsidRPr="00473F8A">
        <w:rPr>
          <w:color w:val="000000" w:themeColor="text1"/>
        </w:rPr>
        <w:t>’</w:t>
      </w:r>
      <w:r w:rsidR="009A0847" w:rsidRPr="00473F8A">
        <w:rPr>
          <w:color w:val="000000" w:themeColor="text1"/>
        </w:rPr>
        <w:t xml:space="preserve"> </w:t>
      </w:r>
      <w:r w:rsidR="00E078C1" w:rsidRPr="00473F8A">
        <w:rPr>
          <w:color w:val="000000" w:themeColor="text1"/>
        </w:rPr>
        <w:t>funding</w:t>
      </w:r>
      <w:r w:rsidR="009A0847" w:rsidRPr="00473F8A">
        <w:rPr>
          <w:color w:val="000000" w:themeColor="text1"/>
        </w:rPr>
        <w:t xml:space="preserve"> </w:t>
      </w:r>
      <w:r w:rsidR="00B86D46" w:rsidRPr="00473F8A">
        <w:rPr>
          <w:color w:val="000000" w:themeColor="text1"/>
        </w:rPr>
        <w:t>decision</w:t>
      </w:r>
      <w:r w:rsidR="0016329E" w:rsidRPr="00473F8A">
        <w:rPr>
          <w:color w:val="000000" w:themeColor="text1"/>
        </w:rPr>
        <w:t>s</w:t>
      </w:r>
      <w:r w:rsidR="009A0847" w:rsidRPr="00473F8A">
        <w:rPr>
          <w:color w:val="000000" w:themeColor="text1"/>
        </w:rPr>
        <w:t xml:space="preserve"> </w:t>
      </w:r>
      <w:r w:rsidR="00B86D46" w:rsidRPr="00473F8A">
        <w:rPr>
          <w:color w:val="000000" w:themeColor="text1"/>
        </w:rPr>
        <w:t>less</w:t>
      </w:r>
      <w:r w:rsidR="009A0847" w:rsidRPr="00473F8A">
        <w:rPr>
          <w:color w:val="000000" w:themeColor="text1"/>
        </w:rPr>
        <w:t xml:space="preserve"> </w:t>
      </w:r>
      <w:r w:rsidR="00B86D46" w:rsidRPr="00473F8A">
        <w:rPr>
          <w:color w:val="000000" w:themeColor="text1"/>
        </w:rPr>
        <w:t>obvious.</w:t>
      </w:r>
      <w:r w:rsidR="009A0847" w:rsidRPr="00473F8A">
        <w:rPr>
          <w:color w:val="000000" w:themeColor="text1"/>
        </w:rPr>
        <w:t xml:space="preserve"> </w:t>
      </w:r>
      <w:r w:rsidR="00E078C1" w:rsidRPr="00473F8A">
        <w:rPr>
          <w:color w:val="000000" w:themeColor="text1"/>
        </w:rPr>
        <w:t>Over</w:t>
      </w:r>
      <w:r w:rsidR="009A0847" w:rsidRPr="00473F8A">
        <w:rPr>
          <w:color w:val="000000" w:themeColor="text1"/>
        </w:rPr>
        <w:t xml:space="preserve"> </w:t>
      </w:r>
      <w:r w:rsidR="00B86D46" w:rsidRPr="00473F8A">
        <w:rPr>
          <w:color w:val="000000" w:themeColor="text1"/>
        </w:rPr>
        <w:t>the</w:t>
      </w:r>
      <w:r w:rsidR="009A0847" w:rsidRPr="00473F8A">
        <w:rPr>
          <w:color w:val="000000" w:themeColor="text1"/>
        </w:rPr>
        <w:t xml:space="preserve"> </w:t>
      </w:r>
      <w:r w:rsidR="00B86D46" w:rsidRPr="00473F8A">
        <w:rPr>
          <w:color w:val="000000" w:themeColor="text1"/>
        </w:rPr>
        <w:t>last</w:t>
      </w:r>
      <w:r w:rsidR="009A0847" w:rsidRPr="00473F8A">
        <w:rPr>
          <w:color w:val="000000" w:themeColor="text1"/>
        </w:rPr>
        <w:t xml:space="preserve"> </w:t>
      </w:r>
      <w:r w:rsidR="00B86D46" w:rsidRPr="00473F8A">
        <w:rPr>
          <w:color w:val="000000" w:themeColor="text1"/>
        </w:rPr>
        <w:t>10</w:t>
      </w:r>
      <w:r w:rsidR="009A0847" w:rsidRPr="00473F8A">
        <w:rPr>
          <w:color w:val="000000" w:themeColor="text1"/>
        </w:rPr>
        <w:t xml:space="preserve"> </w:t>
      </w:r>
      <w:r w:rsidR="00D820F4" w:rsidRPr="00473F8A">
        <w:rPr>
          <w:color w:val="000000" w:themeColor="text1"/>
        </w:rPr>
        <w:t>round</w:t>
      </w:r>
      <w:r w:rsidR="00B86D46" w:rsidRPr="00473F8A">
        <w:rPr>
          <w:color w:val="000000" w:themeColor="text1"/>
        </w:rPr>
        <w:t>s</w:t>
      </w:r>
      <w:r w:rsidR="009A0847" w:rsidRPr="00473F8A">
        <w:rPr>
          <w:color w:val="000000" w:themeColor="text1"/>
        </w:rPr>
        <w:t xml:space="preserve"> </w:t>
      </w:r>
      <w:r w:rsidR="0016329E" w:rsidRPr="00473F8A">
        <w:rPr>
          <w:color w:val="000000" w:themeColor="text1"/>
        </w:rPr>
        <w:t>of</w:t>
      </w:r>
      <w:r w:rsidR="009A0847" w:rsidRPr="00473F8A">
        <w:rPr>
          <w:color w:val="000000" w:themeColor="text1"/>
        </w:rPr>
        <w:t xml:space="preserve"> </w:t>
      </w:r>
      <w:r w:rsidR="0016329E" w:rsidRPr="00473F8A">
        <w:rPr>
          <w:color w:val="000000" w:themeColor="text1"/>
        </w:rPr>
        <w:t>the</w:t>
      </w:r>
      <w:r w:rsidR="009A0847" w:rsidRPr="00473F8A">
        <w:rPr>
          <w:color w:val="000000" w:themeColor="text1"/>
        </w:rPr>
        <w:t xml:space="preserve"> </w:t>
      </w:r>
      <w:r w:rsidR="00C17684" w:rsidRPr="00473F8A">
        <w:rPr>
          <w:color w:val="000000" w:themeColor="text1"/>
        </w:rPr>
        <w:t>control</w:t>
      </w:r>
      <w:r w:rsidR="009A0847" w:rsidRPr="00473F8A">
        <w:rPr>
          <w:color w:val="000000" w:themeColor="text1"/>
        </w:rPr>
        <w:t xml:space="preserve"> </w:t>
      </w:r>
      <w:r w:rsidR="00C17684" w:rsidRPr="00473F8A">
        <w:rPr>
          <w:color w:val="000000" w:themeColor="text1"/>
        </w:rPr>
        <w:t>treatment</w:t>
      </w:r>
      <w:r w:rsidR="00E078C1" w:rsidRPr="00473F8A">
        <w:rPr>
          <w:color w:val="000000" w:themeColor="text1"/>
        </w:rPr>
        <w:t>,</w:t>
      </w:r>
      <w:r w:rsidR="009A0847" w:rsidRPr="00473F8A">
        <w:rPr>
          <w:color w:val="000000" w:themeColor="text1"/>
        </w:rPr>
        <w:t xml:space="preserve"> </w:t>
      </w:r>
      <w:r w:rsidR="00B86D46" w:rsidRPr="00473F8A">
        <w:rPr>
          <w:color w:val="000000" w:themeColor="text1"/>
        </w:rPr>
        <w:t>the</w:t>
      </w:r>
      <w:r w:rsidR="009A0847" w:rsidRPr="00473F8A">
        <w:rPr>
          <w:color w:val="000000" w:themeColor="text1"/>
        </w:rPr>
        <w:t xml:space="preserve"> </w:t>
      </w:r>
      <w:r w:rsidR="00B86D46" w:rsidRPr="00473F8A">
        <w:rPr>
          <w:color w:val="000000" w:themeColor="text1"/>
        </w:rPr>
        <w:t>expe</w:t>
      </w:r>
      <w:r w:rsidR="0016329E" w:rsidRPr="00473F8A">
        <w:rPr>
          <w:color w:val="000000" w:themeColor="text1"/>
        </w:rPr>
        <w:t>c</w:t>
      </w:r>
      <w:r w:rsidR="00C17684" w:rsidRPr="00473F8A">
        <w:rPr>
          <w:color w:val="000000" w:themeColor="text1"/>
        </w:rPr>
        <w:t>ted</w:t>
      </w:r>
      <w:r w:rsidR="009A0847" w:rsidRPr="00473F8A">
        <w:rPr>
          <w:color w:val="000000" w:themeColor="text1"/>
        </w:rPr>
        <w:t xml:space="preserve"> </w:t>
      </w:r>
      <w:r w:rsidR="00C17684" w:rsidRPr="00473F8A">
        <w:rPr>
          <w:color w:val="000000" w:themeColor="text1"/>
        </w:rPr>
        <w:t>profit</w:t>
      </w:r>
      <w:r w:rsidR="009A0847" w:rsidRPr="00473F8A">
        <w:rPr>
          <w:color w:val="000000" w:themeColor="text1"/>
        </w:rPr>
        <w:t xml:space="preserve"> </w:t>
      </w:r>
      <w:r w:rsidR="00C17684" w:rsidRPr="00473F8A">
        <w:rPr>
          <w:color w:val="000000" w:themeColor="text1"/>
        </w:rPr>
        <w:t>of</w:t>
      </w:r>
      <w:r w:rsidR="009A0847" w:rsidRPr="00473F8A">
        <w:rPr>
          <w:color w:val="000000" w:themeColor="text1"/>
        </w:rPr>
        <w:t xml:space="preserve"> </w:t>
      </w:r>
      <w:r w:rsidR="00C17684" w:rsidRPr="00473F8A">
        <w:rPr>
          <w:color w:val="000000" w:themeColor="text1"/>
        </w:rPr>
        <w:t>an</w:t>
      </w:r>
      <w:r w:rsidR="009A0847" w:rsidRPr="00473F8A">
        <w:rPr>
          <w:color w:val="000000" w:themeColor="text1"/>
        </w:rPr>
        <w:t xml:space="preserve"> </w:t>
      </w:r>
      <w:r w:rsidR="00C17684" w:rsidRPr="00473F8A">
        <w:rPr>
          <w:color w:val="000000" w:themeColor="text1"/>
        </w:rPr>
        <w:t>investor</w:t>
      </w:r>
      <w:r w:rsidR="009A0847" w:rsidRPr="00473F8A">
        <w:rPr>
          <w:color w:val="000000" w:themeColor="text1"/>
        </w:rPr>
        <w:t xml:space="preserve"> </w:t>
      </w:r>
      <w:r w:rsidR="00A7436E" w:rsidRPr="00473F8A">
        <w:rPr>
          <w:color w:val="000000" w:themeColor="text1"/>
        </w:rPr>
        <w:t>who</w:t>
      </w:r>
      <w:r w:rsidR="009A0847" w:rsidRPr="00473F8A">
        <w:rPr>
          <w:color w:val="000000" w:themeColor="text1"/>
        </w:rPr>
        <w:t xml:space="preserve"> </w:t>
      </w:r>
      <w:r w:rsidR="00A7436E" w:rsidRPr="00473F8A">
        <w:rPr>
          <w:color w:val="000000" w:themeColor="text1"/>
        </w:rPr>
        <w:t>funds</w:t>
      </w:r>
      <w:r w:rsidR="009A0847" w:rsidRPr="00473F8A">
        <w:rPr>
          <w:color w:val="000000" w:themeColor="text1"/>
        </w:rPr>
        <w:t xml:space="preserve"> </w:t>
      </w:r>
      <w:r w:rsidR="00A7436E" w:rsidRPr="00473F8A">
        <w:rPr>
          <w:color w:val="000000" w:themeColor="text1"/>
        </w:rPr>
        <w:t>a</w:t>
      </w:r>
      <w:r w:rsidR="009A0847" w:rsidRPr="00473F8A">
        <w:rPr>
          <w:color w:val="000000" w:themeColor="text1"/>
        </w:rPr>
        <w:t xml:space="preserve"> </w:t>
      </w:r>
      <w:r w:rsidR="00A7436E" w:rsidRPr="00473F8A">
        <w:rPr>
          <w:color w:val="000000" w:themeColor="text1"/>
        </w:rPr>
        <w:t>detected</w:t>
      </w:r>
      <w:r w:rsidR="009A0847" w:rsidRPr="00473F8A">
        <w:rPr>
          <w:color w:val="000000" w:themeColor="text1"/>
        </w:rPr>
        <w:t xml:space="preserve"> </w:t>
      </w:r>
      <w:r w:rsidR="00A7436E" w:rsidRPr="00473F8A">
        <w:rPr>
          <w:color w:val="000000" w:themeColor="text1"/>
        </w:rPr>
        <w:t>bank</w:t>
      </w:r>
      <w:r w:rsidR="009A0847" w:rsidRPr="00473F8A">
        <w:rPr>
          <w:color w:val="000000" w:themeColor="text1"/>
        </w:rPr>
        <w:t xml:space="preserve"> </w:t>
      </w:r>
      <w:r w:rsidR="00C17684" w:rsidRPr="00473F8A">
        <w:rPr>
          <w:color w:val="000000" w:themeColor="text1"/>
        </w:rPr>
        <w:t>is</w:t>
      </w:r>
      <w:r w:rsidR="009A0847" w:rsidRPr="00473F8A">
        <w:rPr>
          <w:color w:val="000000" w:themeColor="text1"/>
        </w:rPr>
        <w:t xml:space="preserve"> </w:t>
      </w:r>
      <w:r w:rsidR="00C17684" w:rsidRPr="00473F8A">
        <w:rPr>
          <w:color w:val="000000" w:themeColor="text1"/>
        </w:rPr>
        <w:t>29.8</w:t>
      </w:r>
      <w:r w:rsidR="009A0847" w:rsidRPr="00473F8A">
        <w:rPr>
          <w:color w:val="000000" w:themeColor="text1"/>
        </w:rPr>
        <w:t xml:space="preserve"> </w:t>
      </w:r>
      <w:r w:rsidR="00B86D46" w:rsidRPr="00473F8A">
        <w:rPr>
          <w:color w:val="000000" w:themeColor="text1"/>
        </w:rPr>
        <w:t>if</w:t>
      </w:r>
      <w:r w:rsidR="009A0847" w:rsidRPr="00473F8A">
        <w:rPr>
          <w:color w:val="000000" w:themeColor="text1"/>
        </w:rPr>
        <w:t xml:space="preserve"> </w:t>
      </w:r>
      <w:r w:rsidR="00B86D46" w:rsidRPr="00473F8A">
        <w:rPr>
          <w:color w:val="000000" w:themeColor="text1"/>
        </w:rPr>
        <w:t>he</w:t>
      </w:r>
      <w:r w:rsidR="009A0847" w:rsidRPr="00473F8A">
        <w:rPr>
          <w:color w:val="000000" w:themeColor="text1"/>
        </w:rPr>
        <w:t xml:space="preserve"> </w:t>
      </w:r>
      <w:r w:rsidR="00B86D46" w:rsidRPr="00473F8A">
        <w:rPr>
          <w:color w:val="000000" w:themeColor="text1"/>
        </w:rPr>
        <w:t>funds</w:t>
      </w:r>
      <w:r w:rsidR="009A0847" w:rsidRPr="00473F8A">
        <w:rPr>
          <w:color w:val="000000" w:themeColor="text1"/>
        </w:rPr>
        <w:t xml:space="preserve"> </w:t>
      </w:r>
      <w:r w:rsidR="00B86D46" w:rsidRPr="00473F8A">
        <w:rPr>
          <w:color w:val="000000" w:themeColor="text1"/>
        </w:rPr>
        <w:t>a</w:t>
      </w:r>
      <w:r w:rsidR="009A0847" w:rsidRPr="00473F8A">
        <w:rPr>
          <w:color w:val="000000" w:themeColor="text1"/>
        </w:rPr>
        <w:t xml:space="preserve"> </w:t>
      </w:r>
      <w:r w:rsidR="00E33382" w:rsidRPr="00473F8A">
        <w:rPr>
          <w:color w:val="000000" w:themeColor="text1"/>
        </w:rPr>
        <w:t>detected</w:t>
      </w:r>
      <w:r w:rsidR="009A0847" w:rsidRPr="00473F8A">
        <w:rPr>
          <w:color w:val="000000" w:themeColor="text1"/>
        </w:rPr>
        <w:t xml:space="preserve"> </w:t>
      </w:r>
      <w:r w:rsidR="00B86D46" w:rsidRPr="00473F8A">
        <w:rPr>
          <w:color w:val="000000" w:themeColor="text1"/>
        </w:rPr>
        <w:t>bank</w:t>
      </w:r>
      <w:r w:rsidR="009A0847" w:rsidRPr="00473F8A">
        <w:rPr>
          <w:color w:val="000000" w:themeColor="text1"/>
        </w:rPr>
        <w:t xml:space="preserve"> </w:t>
      </w:r>
      <w:r w:rsidR="00B86D46" w:rsidRPr="00473F8A">
        <w:rPr>
          <w:color w:val="000000" w:themeColor="text1"/>
        </w:rPr>
        <w:t>which</w:t>
      </w:r>
      <w:r w:rsidR="009A0847" w:rsidRPr="00473F8A">
        <w:rPr>
          <w:color w:val="000000" w:themeColor="text1"/>
        </w:rPr>
        <w:t xml:space="preserve"> </w:t>
      </w:r>
      <w:r w:rsidR="00E33382" w:rsidRPr="00473F8A">
        <w:rPr>
          <w:color w:val="000000" w:themeColor="text1"/>
        </w:rPr>
        <w:t>is</w:t>
      </w:r>
      <w:r w:rsidR="009A0847" w:rsidRPr="00473F8A">
        <w:rPr>
          <w:color w:val="000000" w:themeColor="text1"/>
        </w:rPr>
        <w:t xml:space="preserve"> </w:t>
      </w:r>
      <w:r w:rsidR="00E078C1" w:rsidRPr="00473F8A">
        <w:rPr>
          <w:color w:val="000000" w:themeColor="text1"/>
        </w:rPr>
        <w:t>clearly</w:t>
      </w:r>
      <w:r w:rsidR="009A0847" w:rsidRPr="00473F8A">
        <w:rPr>
          <w:color w:val="000000" w:themeColor="text1"/>
        </w:rPr>
        <w:t xml:space="preserve"> </w:t>
      </w:r>
      <w:r w:rsidR="00E078C1" w:rsidRPr="00473F8A">
        <w:rPr>
          <w:color w:val="000000" w:themeColor="text1"/>
        </w:rPr>
        <w:t>dominate</w:t>
      </w:r>
      <w:r w:rsidR="00E33382" w:rsidRPr="00473F8A">
        <w:rPr>
          <w:color w:val="000000" w:themeColor="text1"/>
        </w:rPr>
        <w:t>d</w:t>
      </w:r>
      <w:r w:rsidR="009A0847" w:rsidRPr="00473F8A">
        <w:rPr>
          <w:color w:val="000000" w:themeColor="text1"/>
        </w:rPr>
        <w:t xml:space="preserve"> </w:t>
      </w:r>
      <w:r w:rsidR="00E33382" w:rsidRPr="00473F8A">
        <w:rPr>
          <w:color w:val="000000" w:themeColor="text1"/>
        </w:rPr>
        <w:t>by</w:t>
      </w:r>
      <w:r w:rsidR="009A0847" w:rsidRPr="00473F8A">
        <w:rPr>
          <w:color w:val="000000" w:themeColor="text1"/>
        </w:rPr>
        <w:t xml:space="preserve"> </w:t>
      </w:r>
      <w:r w:rsidR="00330FA8" w:rsidRPr="00473F8A">
        <w:rPr>
          <w:color w:val="000000" w:themeColor="text1"/>
        </w:rPr>
        <w:t>the</w:t>
      </w:r>
      <w:r w:rsidR="009A0847" w:rsidRPr="00473F8A">
        <w:rPr>
          <w:color w:val="000000" w:themeColor="text1"/>
        </w:rPr>
        <w:t xml:space="preserve"> </w:t>
      </w:r>
      <w:r w:rsidR="00330FA8" w:rsidRPr="00473F8A">
        <w:rPr>
          <w:color w:val="000000" w:themeColor="text1"/>
        </w:rPr>
        <w:t>investor’s</w:t>
      </w:r>
      <w:r w:rsidR="009A0847" w:rsidRPr="00473F8A">
        <w:rPr>
          <w:color w:val="000000" w:themeColor="text1"/>
        </w:rPr>
        <w:t xml:space="preserve"> </w:t>
      </w:r>
      <w:r w:rsidR="00B86D46" w:rsidRPr="00473F8A">
        <w:rPr>
          <w:color w:val="000000" w:themeColor="text1"/>
        </w:rPr>
        <w:t>outside</w:t>
      </w:r>
      <w:r w:rsidR="009A0847" w:rsidRPr="00473F8A">
        <w:rPr>
          <w:color w:val="000000" w:themeColor="text1"/>
        </w:rPr>
        <w:t xml:space="preserve"> </w:t>
      </w:r>
      <w:r w:rsidR="00B86D46" w:rsidRPr="00473F8A">
        <w:rPr>
          <w:color w:val="000000" w:themeColor="text1"/>
        </w:rPr>
        <w:t>option</w:t>
      </w:r>
      <w:r w:rsidR="009A0847" w:rsidRPr="00473F8A">
        <w:rPr>
          <w:color w:val="000000" w:themeColor="text1"/>
        </w:rPr>
        <w:t xml:space="preserve"> </w:t>
      </w:r>
      <w:r w:rsidR="00B86D46" w:rsidRPr="00473F8A">
        <w:rPr>
          <w:color w:val="000000" w:themeColor="text1"/>
        </w:rPr>
        <w:t>of</w:t>
      </w:r>
      <w:r w:rsidR="009A0847" w:rsidRPr="00473F8A">
        <w:rPr>
          <w:color w:val="000000" w:themeColor="text1"/>
        </w:rPr>
        <w:t xml:space="preserve"> </w:t>
      </w:r>
      <w:r w:rsidR="00C17684" w:rsidRPr="00473F8A">
        <w:rPr>
          <w:color w:val="000000" w:themeColor="text1"/>
        </w:rPr>
        <w:t>50</w:t>
      </w:r>
      <w:r w:rsidR="00B86D46" w:rsidRPr="00473F8A">
        <w:rPr>
          <w:color w:val="000000" w:themeColor="text1"/>
        </w:rPr>
        <w:t>.</w:t>
      </w:r>
      <w:r w:rsidR="009A0847" w:rsidRPr="00473F8A">
        <w:rPr>
          <w:color w:val="000000" w:themeColor="text1"/>
        </w:rPr>
        <w:t xml:space="preserve"> </w:t>
      </w:r>
      <w:r w:rsidR="00E078C1" w:rsidRPr="00473F8A">
        <w:rPr>
          <w:color w:val="000000" w:themeColor="text1"/>
        </w:rPr>
        <w:t>In</w:t>
      </w:r>
      <w:r w:rsidR="009A0847" w:rsidRPr="00473F8A">
        <w:rPr>
          <w:color w:val="000000" w:themeColor="text1"/>
        </w:rPr>
        <w:t xml:space="preserve"> </w:t>
      </w:r>
      <w:r w:rsidR="00E078C1" w:rsidRPr="00473F8A">
        <w:rPr>
          <w:color w:val="000000" w:themeColor="text1"/>
        </w:rPr>
        <w:t>contrast,</w:t>
      </w:r>
      <w:r w:rsidR="009A0847" w:rsidRPr="00473F8A">
        <w:rPr>
          <w:color w:val="000000" w:themeColor="text1"/>
        </w:rPr>
        <w:t xml:space="preserve"> </w:t>
      </w:r>
      <w:r w:rsidR="00E078C1" w:rsidRPr="00473F8A">
        <w:rPr>
          <w:color w:val="000000" w:themeColor="text1"/>
        </w:rPr>
        <w:t>an</w:t>
      </w:r>
      <w:r w:rsidR="009A0847" w:rsidRPr="00473F8A">
        <w:rPr>
          <w:color w:val="000000" w:themeColor="text1"/>
        </w:rPr>
        <w:t xml:space="preserve"> </w:t>
      </w:r>
      <w:r w:rsidR="00C17684" w:rsidRPr="00473F8A">
        <w:rPr>
          <w:color w:val="000000" w:themeColor="text1"/>
        </w:rPr>
        <w:t>investor</w:t>
      </w:r>
      <w:r w:rsidR="00A7436E" w:rsidRPr="00473F8A">
        <w:rPr>
          <w:color w:val="000000" w:themeColor="text1"/>
        </w:rPr>
        <w:t>’s</w:t>
      </w:r>
      <w:r w:rsidR="009A0847" w:rsidRPr="00473F8A">
        <w:rPr>
          <w:color w:val="000000" w:themeColor="text1"/>
        </w:rPr>
        <w:t xml:space="preserve"> </w:t>
      </w:r>
      <w:r w:rsidR="00330FA8" w:rsidRPr="00473F8A">
        <w:rPr>
          <w:color w:val="000000" w:themeColor="text1"/>
        </w:rPr>
        <w:t>expected</w:t>
      </w:r>
      <w:r w:rsidR="009A0847" w:rsidRPr="00473F8A">
        <w:rPr>
          <w:color w:val="000000" w:themeColor="text1"/>
        </w:rPr>
        <w:t xml:space="preserve"> </w:t>
      </w:r>
      <w:r w:rsidR="00330FA8" w:rsidRPr="00473F8A">
        <w:rPr>
          <w:color w:val="000000" w:themeColor="text1"/>
        </w:rPr>
        <w:t>profit</w:t>
      </w:r>
      <w:r w:rsidR="009A0847" w:rsidRPr="00473F8A">
        <w:rPr>
          <w:color w:val="000000" w:themeColor="text1"/>
        </w:rPr>
        <w:t xml:space="preserve"> </w:t>
      </w:r>
      <w:r w:rsidR="00330FA8" w:rsidRPr="00473F8A">
        <w:rPr>
          <w:color w:val="000000" w:themeColor="text1"/>
        </w:rPr>
        <w:t>when</w:t>
      </w:r>
      <w:r w:rsidR="009A0847" w:rsidRPr="00473F8A">
        <w:rPr>
          <w:color w:val="000000" w:themeColor="text1"/>
        </w:rPr>
        <w:t xml:space="preserve"> </w:t>
      </w:r>
      <w:r w:rsidR="00330FA8" w:rsidRPr="00473F8A">
        <w:rPr>
          <w:color w:val="000000" w:themeColor="text1"/>
        </w:rPr>
        <w:t>fundin</w:t>
      </w:r>
      <w:r w:rsidR="00C17684" w:rsidRPr="00473F8A">
        <w:rPr>
          <w:color w:val="000000" w:themeColor="text1"/>
        </w:rPr>
        <w:t>g</w:t>
      </w:r>
      <w:r w:rsidR="009A0847" w:rsidRPr="00473F8A">
        <w:rPr>
          <w:color w:val="000000" w:themeColor="text1"/>
        </w:rPr>
        <w:t xml:space="preserve"> </w:t>
      </w:r>
      <w:r w:rsidR="00330FA8" w:rsidRPr="00473F8A">
        <w:rPr>
          <w:color w:val="000000" w:themeColor="text1"/>
        </w:rPr>
        <w:t>a</w:t>
      </w:r>
      <w:r w:rsidR="009A0847" w:rsidRPr="00473F8A">
        <w:rPr>
          <w:color w:val="000000" w:themeColor="text1"/>
        </w:rPr>
        <w:t xml:space="preserve"> </w:t>
      </w:r>
      <w:r w:rsidR="00330FA8" w:rsidRPr="00473F8A">
        <w:rPr>
          <w:color w:val="000000" w:themeColor="text1"/>
        </w:rPr>
        <w:t>detecte</w:t>
      </w:r>
      <w:r w:rsidR="00C17684" w:rsidRPr="00473F8A">
        <w:rPr>
          <w:color w:val="000000" w:themeColor="text1"/>
        </w:rPr>
        <w:t>d</w:t>
      </w:r>
      <w:r w:rsidR="009A0847" w:rsidRPr="00473F8A">
        <w:rPr>
          <w:color w:val="000000" w:themeColor="text1"/>
        </w:rPr>
        <w:t xml:space="preserve"> </w:t>
      </w:r>
      <w:r w:rsidR="00330FA8" w:rsidRPr="00473F8A">
        <w:rPr>
          <w:color w:val="000000" w:themeColor="text1"/>
        </w:rPr>
        <w:t>bank</w:t>
      </w:r>
      <w:r w:rsidR="009A0847" w:rsidRPr="00473F8A">
        <w:rPr>
          <w:color w:val="000000" w:themeColor="text1"/>
        </w:rPr>
        <w:t xml:space="preserve"> </w:t>
      </w:r>
      <w:r w:rsidR="00330FA8" w:rsidRPr="00473F8A">
        <w:rPr>
          <w:color w:val="000000" w:themeColor="text1"/>
        </w:rPr>
        <w:t>in</w:t>
      </w:r>
      <w:r w:rsidR="009A0847" w:rsidRPr="00473F8A">
        <w:rPr>
          <w:color w:val="000000" w:themeColor="text1"/>
        </w:rPr>
        <w:t xml:space="preserve"> </w:t>
      </w:r>
      <w:r w:rsidR="00330FA8" w:rsidRPr="00473F8A">
        <w:rPr>
          <w:color w:val="000000" w:themeColor="text1"/>
        </w:rPr>
        <w:t>the</w:t>
      </w:r>
      <w:r w:rsidR="009A0847" w:rsidRPr="00473F8A">
        <w:rPr>
          <w:color w:val="000000" w:themeColor="text1"/>
        </w:rPr>
        <w:t xml:space="preserve"> </w:t>
      </w:r>
      <w:r w:rsidR="00330FA8" w:rsidRPr="00473F8A">
        <w:rPr>
          <w:color w:val="000000" w:themeColor="text1"/>
        </w:rPr>
        <w:t>last</w:t>
      </w:r>
      <w:r w:rsidR="009A0847" w:rsidRPr="00473F8A">
        <w:rPr>
          <w:color w:val="000000" w:themeColor="text1"/>
        </w:rPr>
        <w:t xml:space="preserve"> </w:t>
      </w:r>
      <w:r w:rsidR="00E078C1" w:rsidRPr="00473F8A">
        <w:rPr>
          <w:color w:val="000000" w:themeColor="text1"/>
        </w:rPr>
        <w:t>10</w:t>
      </w:r>
      <w:r w:rsidR="009A0847" w:rsidRPr="00473F8A">
        <w:rPr>
          <w:color w:val="000000" w:themeColor="text1"/>
        </w:rPr>
        <w:t xml:space="preserve"> </w:t>
      </w:r>
      <w:r w:rsidR="00330FA8" w:rsidRPr="00473F8A">
        <w:rPr>
          <w:color w:val="000000" w:themeColor="text1"/>
        </w:rPr>
        <w:t>round</w:t>
      </w:r>
      <w:r w:rsidR="00E078C1" w:rsidRPr="00473F8A">
        <w:rPr>
          <w:color w:val="000000" w:themeColor="text1"/>
        </w:rPr>
        <w:t>s</w:t>
      </w:r>
      <w:r w:rsidR="009A0847" w:rsidRPr="00473F8A">
        <w:rPr>
          <w:color w:val="000000" w:themeColor="text1"/>
        </w:rPr>
        <w:t xml:space="preserve"> </w:t>
      </w:r>
      <w:r w:rsidR="00330FA8" w:rsidRPr="00473F8A">
        <w:rPr>
          <w:color w:val="000000" w:themeColor="text1"/>
        </w:rPr>
        <w:t>of</w:t>
      </w:r>
      <w:r w:rsidR="009A0847" w:rsidRPr="00473F8A">
        <w:rPr>
          <w:color w:val="000000" w:themeColor="text1"/>
        </w:rPr>
        <w:t xml:space="preserve"> </w:t>
      </w:r>
      <w:r w:rsidR="00330FA8" w:rsidRPr="00473F8A">
        <w:rPr>
          <w:color w:val="000000" w:themeColor="text1"/>
        </w:rPr>
        <w:t>the</w:t>
      </w:r>
      <w:r w:rsidR="009A0847" w:rsidRPr="00473F8A">
        <w:rPr>
          <w:color w:val="000000" w:themeColor="text1"/>
        </w:rPr>
        <w:t xml:space="preserve"> </w:t>
      </w:r>
      <w:r w:rsidR="00C345EE" w:rsidRPr="00473F8A">
        <w:rPr>
          <w:color w:val="000000" w:themeColor="text1"/>
        </w:rPr>
        <w:t>random</w:t>
      </w:r>
      <w:r w:rsidR="009A0847" w:rsidRPr="00473F8A">
        <w:rPr>
          <w:color w:val="000000" w:themeColor="text1"/>
        </w:rPr>
        <w:t xml:space="preserve"> </w:t>
      </w:r>
      <w:r w:rsidR="002F5DF7" w:rsidRPr="00473F8A">
        <w:rPr>
          <w:color w:val="000000" w:themeColor="text1"/>
        </w:rPr>
        <w:t>borrowing</w:t>
      </w:r>
      <w:r w:rsidR="009A0847" w:rsidRPr="00473F8A">
        <w:rPr>
          <w:color w:val="000000" w:themeColor="text1"/>
        </w:rPr>
        <w:t xml:space="preserve"> </w:t>
      </w:r>
      <w:r w:rsidR="00330FA8" w:rsidRPr="00473F8A">
        <w:rPr>
          <w:color w:val="000000" w:themeColor="text1"/>
        </w:rPr>
        <w:t>treatment</w:t>
      </w:r>
      <w:r w:rsidR="009A0847" w:rsidRPr="00473F8A">
        <w:rPr>
          <w:color w:val="000000" w:themeColor="text1"/>
        </w:rPr>
        <w:t xml:space="preserve"> </w:t>
      </w:r>
      <w:r w:rsidR="00330FA8" w:rsidRPr="00473F8A">
        <w:rPr>
          <w:color w:val="000000" w:themeColor="text1"/>
        </w:rPr>
        <w:t>is</w:t>
      </w:r>
      <w:r w:rsidR="009A0847" w:rsidRPr="00473F8A">
        <w:rPr>
          <w:color w:val="000000" w:themeColor="text1"/>
        </w:rPr>
        <w:t xml:space="preserve"> </w:t>
      </w:r>
      <w:r w:rsidR="00C17684" w:rsidRPr="00473F8A">
        <w:rPr>
          <w:color w:val="000000" w:themeColor="text1"/>
        </w:rPr>
        <w:t>44.5</w:t>
      </w:r>
      <w:r w:rsidR="00E078C1" w:rsidRPr="00473F8A">
        <w:rPr>
          <w:color w:val="000000" w:themeColor="text1"/>
        </w:rPr>
        <w:t>,</w:t>
      </w:r>
      <w:r w:rsidR="009A0847" w:rsidRPr="00473F8A">
        <w:rPr>
          <w:color w:val="000000" w:themeColor="text1"/>
        </w:rPr>
        <w:t xml:space="preserve"> </w:t>
      </w:r>
      <w:r w:rsidR="00C17684" w:rsidRPr="00473F8A">
        <w:rPr>
          <w:color w:val="000000" w:themeColor="text1"/>
        </w:rPr>
        <w:t>whi</w:t>
      </w:r>
      <w:r w:rsidR="006B7701" w:rsidRPr="00473F8A">
        <w:rPr>
          <w:color w:val="000000" w:themeColor="text1"/>
        </w:rPr>
        <w:t>ch</w:t>
      </w:r>
      <w:r w:rsidR="009A0847" w:rsidRPr="00473F8A">
        <w:rPr>
          <w:color w:val="000000" w:themeColor="text1"/>
        </w:rPr>
        <w:t xml:space="preserve"> </w:t>
      </w:r>
      <w:r w:rsidR="006B7701" w:rsidRPr="00473F8A">
        <w:rPr>
          <w:color w:val="000000" w:themeColor="text1"/>
        </w:rPr>
        <w:t>is</w:t>
      </w:r>
      <w:r w:rsidR="009A0847" w:rsidRPr="00473F8A">
        <w:rPr>
          <w:color w:val="000000" w:themeColor="text1"/>
        </w:rPr>
        <w:t xml:space="preserve"> </w:t>
      </w:r>
      <w:r w:rsidR="006B7701" w:rsidRPr="00473F8A">
        <w:rPr>
          <w:color w:val="000000" w:themeColor="text1"/>
        </w:rPr>
        <w:t>closer</w:t>
      </w:r>
      <w:r w:rsidR="009A0847" w:rsidRPr="00473F8A">
        <w:rPr>
          <w:color w:val="000000" w:themeColor="text1"/>
        </w:rPr>
        <w:t xml:space="preserve"> </w:t>
      </w:r>
      <w:r w:rsidR="006B7701" w:rsidRPr="00473F8A">
        <w:rPr>
          <w:color w:val="000000" w:themeColor="text1"/>
        </w:rPr>
        <w:t>to</w:t>
      </w:r>
      <w:r w:rsidR="009A0847" w:rsidRPr="00473F8A">
        <w:rPr>
          <w:color w:val="000000" w:themeColor="text1"/>
        </w:rPr>
        <w:t xml:space="preserve"> </w:t>
      </w:r>
      <w:r w:rsidR="006B7701" w:rsidRPr="00473F8A">
        <w:rPr>
          <w:color w:val="000000" w:themeColor="text1"/>
        </w:rPr>
        <w:t>his</w:t>
      </w:r>
      <w:r w:rsidR="009A0847" w:rsidRPr="00473F8A">
        <w:rPr>
          <w:color w:val="000000" w:themeColor="text1"/>
        </w:rPr>
        <w:t xml:space="preserve"> </w:t>
      </w:r>
      <w:r w:rsidR="00330FA8" w:rsidRPr="00473F8A">
        <w:rPr>
          <w:color w:val="000000" w:themeColor="text1"/>
        </w:rPr>
        <w:t>outside</w:t>
      </w:r>
      <w:r w:rsidR="009A0847" w:rsidRPr="00473F8A">
        <w:rPr>
          <w:color w:val="000000" w:themeColor="text1"/>
        </w:rPr>
        <w:t xml:space="preserve"> </w:t>
      </w:r>
      <w:r w:rsidR="00330FA8" w:rsidRPr="00473F8A">
        <w:rPr>
          <w:color w:val="000000" w:themeColor="text1"/>
        </w:rPr>
        <w:t>option</w:t>
      </w:r>
      <w:r w:rsidR="009A0847" w:rsidRPr="00473F8A">
        <w:rPr>
          <w:color w:val="000000" w:themeColor="text1"/>
        </w:rPr>
        <w:t xml:space="preserve"> </w:t>
      </w:r>
      <w:r w:rsidR="00330FA8" w:rsidRPr="00473F8A">
        <w:rPr>
          <w:color w:val="000000" w:themeColor="text1"/>
        </w:rPr>
        <w:t>of</w:t>
      </w:r>
      <w:r w:rsidR="009A0847" w:rsidRPr="00473F8A">
        <w:rPr>
          <w:color w:val="000000" w:themeColor="text1"/>
        </w:rPr>
        <w:t xml:space="preserve"> </w:t>
      </w:r>
      <w:r w:rsidR="00330FA8" w:rsidRPr="00473F8A">
        <w:rPr>
          <w:color w:val="000000" w:themeColor="text1"/>
        </w:rPr>
        <w:t>50.</w:t>
      </w:r>
      <w:r w:rsidR="009A0847" w:rsidRPr="00473F8A">
        <w:rPr>
          <w:color w:val="000000" w:themeColor="text1"/>
        </w:rPr>
        <w:t xml:space="preserve"> </w:t>
      </w:r>
    </w:p>
    <w:p w14:paraId="2C8DA492" w14:textId="77777777" w:rsidR="00CD4792" w:rsidRPr="00107B69" w:rsidRDefault="00CD4792" w:rsidP="00AF0C82">
      <w:pPr>
        <w:pStyle w:val="Olivier1"/>
        <w:spacing w:after="0" w:line="240" w:lineRule="auto"/>
        <w:ind w:left="90"/>
        <w:rPr>
          <w:color w:val="FF0000"/>
          <w:sz w:val="8"/>
          <w:szCs w:val="8"/>
        </w:rPr>
      </w:pPr>
    </w:p>
    <w:p w14:paraId="50EF3FF7" w14:textId="42EF2FDC" w:rsidR="00CD4792" w:rsidRDefault="00CD4792" w:rsidP="00AF0C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0"/>
        <w:jc w:val="center"/>
        <w:rPr>
          <w:b/>
          <w:u w:val="single"/>
        </w:rPr>
      </w:pPr>
      <w:r w:rsidRPr="0069727D">
        <w:rPr>
          <w:b/>
          <w:color w:val="000000" w:themeColor="text1"/>
          <w:u w:val="single"/>
        </w:rPr>
        <w:t>Figure</w:t>
      </w:r>
      <w:r w:rsidR="009A0847" w:rsidRPr="0069727D">
        <w:rPr>
          <w:b/>
          <w:color w:val="000000" w:themeColor="text1"/>
          <w:u w:val="single"/>
        </w:rPr>
        <w:t xml:space="preserve"> </w:t>
      </w:r>
      <w:r w:rsidRPr="0069727D">
        <w:rPr>
          <w:b/>
          <w:color w:val="000000" w:themeColor="text1"/>
          <w:u w:val="single"/>
        </w:rPr>
        <w:t>3:</w:t>
      </w:r>
      <w:r w:rsidR="009A0847" w:rsidRPr="0069727D">
        <w:rPr>
          <w:b/>
          <w:color w:val="000000" w:themeColor="text1"/>
          <w:u w:val="single"/>
        </w:rPr>
        <w:t xml:space="preserve"> </w:t>
      </w:r>
      <w:r w:rsidRPr="0069727D">
        <w:rPr>
          <w:b/>
          <w:color w:val="000000" w:themeColor="text1"/>
          <w:u w:val="single"/>
        </w:rPr>
        <w:t>Random</w:t>
      </w:r>
      <w:r w:rsidR="009A0847" w:rsidRPr="0069727D">
        <w:rPr>
          <w:b/>
          <w:color w:val="000000" w:themeColor="text1"/>
          <w:u w:val="single"/>
        </w:rPr>
        <w:t xml:space="preserve"> </w:t>
      </w:r>
      <w:r w:rsidRPr="0069727D">
        <w:rPr>
          <w:b/>
          <w:color w:val="000000" w:themeColor="text1"/>
          <w:u w:val="single"/>
        </w:rPr>
        <w:t>Borrowing</w:t>
      </w:r>
      <w:r w:rsidR="009A0847" w:rsidRPr="0069727D">
        <w:rPr>
          <w:b/>
          <w:color w:val="000000" w:themeColor="text1"/>
          <w:u w:val="single"/>
        </w:rPr>
        <w:t xml:space="preserve"> </w:t>
      </w:r>
      <w:r w:rsidRPr="0069727D">
        <w:rPr>
          <w:b/>
          <w:color w:val="000000" w:themeColor="text1"/>
          <w:u w:val="single"/>
        </w:rPr>
        <w:t>Treatment</w:t>
      </w:r>
      <w:r w:rsidRPr="00E23E2F">
        <w:rPr>
          <w:sz w:val="20"/>
          <w:szCs w:val="20"/>
          <w:vertAlign w:val="superscript"/>
        </w:rPr>
        <w:t>*</w:t>
      </w:r>
    </w:p>
    <w:p w14:paraId="0575D926" w14:textId="77777777" w:rsidR="00CD4792" w:rsidRPr="00562DD9" w:rsidRDefault="00CD4792" w:rsidP="00AF0C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0"/>
        <w:rPr>
          <w:b/>
          <w:sz w:val="4"/>
          <w:szCs w:val="4"/>
          <w:u w:val="single"/>
        </w:rPr>
      </w:pPr>
    </w:p>
    <w:p w14:paraId="1518484C" w14:textId="7B42CACB" w:rsidR="00CD4792" w:rsidRPr="00D927CE" w:rsidRDefault="00CD4792" w:rsidP="00AF0C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0"/>
        <w:rPr>
          <w:color w:val="FFFF00"/>
          <w:sz w:val="2"/>
          <w:szCs w:val="2"/>
        </w:rPr>
      </w:pPr>
      <w:r>
        <w:rPr>
          <w:noProof/>
        </w:rPr>
        <w:drawing>
          <wp:inline distT="0" distB="0" distL="0" distR="0" wp14:anchorId="7F4534EC" wp14:editId="1BE9AD79">
            <wp:extent cx="2971800" cy="2470785"/>
            <wp:effectExtent l="0" t="0" r="25400" b="18415"/>
            <wp:docPr id="7" name="Chart 7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C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9A0847">
        <w:rPr>
          <w:noProof/>
          <w:sz w:val="12"/>
          <w:szCs w:val="12"/>
        </w:rPr>
        <w:t xml:space="preserve"> </w:t>
      </w:r>
      <w:r>
        <w:rPr>
          <w:noProof/>
        </w:rPr>
        <w:drawing>
          <wp:inline distT="0" distB="0" distL="0" distR="0" wp14:anchorId="7739A950" wp14:editId="275C4A72">
            <wp:extent cx="2971800" cy="2473085"/>
            <wp:effectExtent l="0" t="0" r="12700" b="16510"/>
            <wp:docPr id="8" name="Chart 8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1E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5F9A35A4" w14:textId="08380CFC" w:rsidR="00CD4792" w:rsidRPr="00F636C6" w:rsidRDefault="00CD4792" w:rsidP="00AF0C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" w:line="120" w:lineRule="exact"/>
        <w:ind w:left="90"/>
        <w:rPr>
          <w:sz w:val="16"/>
          <w:szCs w:val="16"/>
        </w:rPr>
      </w:pPr>
      <w:r w:rsidRPr="008F4D7F">
        <w:rPr>
          <w:sz w:val="14"/>
          <w:szCs w:val="14"/>
          <w:vertAlign w:val="superscript"/>
        </w:rPr>
        <w:t>*</w:t>
      </w:r>
      <w:r>
        <w:rPr>
          <w:sz w:val="16"/>
          <w:szCs w:val="16"/>
        </w:rPr>
        <w:t>Average</w:t>
      </w:r>
      <w:r w:rsidR="009A0847">
        <w:rPr>
          <w:sz w:val="16"/>
          <w:szCs w:val="16"/>
        </w:rPr>
        <w:t xml:space="preserve"> </w:t>
      </w:r>
      <w:r>
        <w:rPr>
          <w:sz w:val="16"/>
          <w:szCs w:val="16"/>
        </w:rPr>
        <w:t>across</w:t>
      </w:r>
      <w:r w:rsidR="009A0847">
        <w:rPr>
          <w:sz w:val="16"/>
          <w:szCs w:val="16"/>
        </w:rPr>
        <w:t xml:space="preserve"> </w:t>
      </w:r>
      <w:r>
        <w:rPr>
          <w:sz w:val="16"/>
          <w:szCs w:val="16"/>
        </w:rPr>
        <w:t>6</w:t>
      </w:r>
      <w:r w:rsidR="009A0847">
        <w:rPr>
          <w:sz w:val="16"/>
          <w:szCs w:val="16"/>
        </w:rPr>
        <w:t xml:space="preserve"> </w:t>
      </w:r>
      <w:r>
        <w:rPr>
          <w:sz w:val="16"/>
          <w:szCs w:val="16"/>
        </w:rPr>
        <w:t>sessions</w:t>
      </w:r>
    </w:p>
    <w:p w14:paraId="3A08D0F6" w14:textId="77777777" w:rsidR="00CD4792" w:rsidRDefault="00CD4792" w:rsidP="00CD4792">
      <w:pPr>
        <w:pStyle w:val="Olivier1"/>
        <w:spacing w:after="0" w:line="240" w:lineRule="auto"/>
        <w:rPr>
          <w:color w:val="FF0000"/>
          <w:sz w:val="8"/>
          <w:szCs w:val="8"/>
        </w:rPr>
      </w:pPr>
    </w:p>
    <w:p w14:paraId="22D3BAA3" w14:textId="7E839518" w:rsidR="00AF2CC9" w:rsidRDefault="00B86D46" w:rsidP="00F86E09">
      <w:pPr>
        <w:pStyle w:val="Olivier1"/>
        <w:widowControl w:val="0"/>
        <w:ind w:firstLine="360"/>
        <w:rPr>
          <w:color w:val="000000" w:themeColor="text1"/>
        </w:rPr>
      </w:pPr>
      <w:r>
        <w:t>Turning</w:t>
      </w:r>
      <w:r w:rsidR="009A0847">
        <w:t xml:space="preserve"> </w:t>
      </w:r>
      <w:r>
        <w:t>now</w:t>
      </w:r>
      <w:r w:rsidR="009A0847">
        <w:t xml:space="preserve"> </w:t>
      </w:r>
      <w:r>
        <w:t>to</w:t>
      </w:r>
      <w:r w:rsidR="009A0847">
        <w:t xml:space="preserve"> </w:t>
      </w:r>
      <w:r>
        <w:t>banks</w:t>
      </w:r>
      <w:r w:rsidR="00445AAD">
        <w:t>’</w:t>
      </w:r>
      <w:r w:rsidR="009A0847">
        <w:t xml:space="preserve"> </w:t>
      </w:r>
      <w:r w:rsidR="00445AAD">
        <w:t>behavior</w:t>
      </w:r>
      <w:r>
        <w:t>,</w:t>
      </w:r>
      <w:r w:rsidR="009A0847">
        <w:t xml:space="preserve"> </w:t>
      </w:r>
      <w:r w:rsidR="00445AAD">
        <w:t>we</w:t>
      </w:r>
      <w:r w:rsidR="009A0847">
        <w:t xml:space="preserve"> </w:t>
      </w:r>
      <w:r w:rsidR="00445AAD">
        <w:t>can</w:t>
      </w:r>
      <w:r w:rsidR="009A0847">
        <w:t xml:space="preserve"> </w:t>
      </w:r>
      <w:r w:rsidR="00445AAD">
        <w:t>see</w:t>
      </w:r>
      <w:r w:rsidR="009A0847">
        <w:t xml:space="preserve"> </w:t>
      </w:r>
      <w:r w:rsidR="00445AAD">
        <w:t>in</w:t>
      </w:r>
      <w:r w:rsidR="009A0847">
        <w:t xml:space="preserve"> </w:t>
      </w:r>
      <w:r w:rsidR="00445AAD">
        <w:t>the</w:t>
      </w:r>
      <w:r w:rsidR="009A0847">
        <w:t xml:space="preserve"> </w:t>
      </w:r>
      <w:r w:rsidR="00445AAD">
        <w:t>right</w:t>
      </w:r>
      <w:r w:rsidR="009A0847">
        <w:t xml:space="preserve"> </w:t>
      </w:r>
      <w:r w:rsidR="00445AAD">
        <w:t>panel</w:t>
      </w:r>
      <w:r w:rsidR="009A0847">
        <w:t xml:space="preserve"> </w:t>
      </w:r>
      <w:r w:rsidR="00445AAD">
        <w:t>of</w:t>
      </w:r>
      <w:r w:rsidR="009A0847">
        <w:t xml:space="preserve"> </w:t>
      </w:r>
      <w:r w:rsidR="00445AAD">
        <w:t>Figure</w:t>
      </w:r>
      <w:r w:rsidR="009A0847">
        <w:t xml:space="preserve"> </w:t>
      </w:r>
      <w:r w:rsidR="00445AAD">
        <w:t>3</w:t>
      </w:r>
      <w:r w:rsidR="009A0847">
        <w:t xml:space="preserve"> </w:t>
      </w:r>
      <w:r>
        <w:t>a</w:t>
      </w:r>
      <w:r w:rsidR="009A0847">
        <w:t xml:space="preserve"> </w:t>
      </w:r>
      <w:r>
        <w:t>clear</w:t>
      </w:r>
      <w:r w:rsidR="009A0847">
        <w:t xml:space="preserve"> </w:t>
      </w:r>
      <w:r w:rsidR="00E078C1">
        <w:t>and</w:t>
      </w:r>
      <w:r w:rsidR="009A0847">
        <w:t xml:space="preserve"> </w:t>
      </w:r>
      <w:r w:rsidR="00E078C1">
        <w:t>highly</w:t>
      </w:r>
      <w:r w:rsidR="009A0847">
        <w:t xml:space="preserve"> </w:t>
      </w:r>
      <w:r w:rsidR="00B04CA7">
        <w:t>significant</w:t>
      </w:r>
      <w:r w:rsidR="009A0847">
        <w:t xml:space="preserve"> </w:t>
      </w:r>
      <w:r w:rsidR="00E078C1">
        <w:t>(</w:t>
      </w:r>
      <w:r w:rsidR="00C17684">
        <w:t>at</w:t>
      </w:r>
      <w:r w:rsidR="009A0847">
        <w:t xml:space="preserve"> </w:t>
      </w:r>
      <w:r w:rsidR="00C17684">
        <w:t>the</w:t>
      </w:r>
      <w:r w:rsidR="009A0847">
        <w:t xml:space="preserve"> </w:t>
      </w:r>
      <w:r w:rsidR="00C17684">
        <w:t>1%</w:t>
      </w:r>
      <w:r w:rsidR="009A0847">
        <w:t xml:space="preserve"> </w:t>
      </w:r>
      <w:r w:rsidR="00C17684">
        <w:t>level)</w:t>
      </w:r>
      <w:r w:rsidR="009A0847">
        <w:t xml:space="preserve"> </w:t>
      </w:r>
      <w:r>
        <w:t>treatment</w:t>
      </w:r>
      <w:r w:rsidR="009A0847">
        <w:t xml:space="preserve"> </w:t>
      </w:r>
      <w:r>
        <w:t>effect.</w:t>
      </w:r>
      <w:r w:rsidR="009A0847">
        <w:t xml:space="preserve"> </w:t>
      </w:r>
      <w:r>
        <w:t>In</w:t>
      </w:r>
      <w:r w:rsidR="009A0847">
        <w:t xml:space="preserve"> </w:t>
      </w:r>
      <w:r>
        <w:t>contra</w:t>
      </w:r>
      <w:r w:rsidR="00C17684">
        <w:t>st</w:t>
      </w:r>
      <w:r w:rsidR="009A0847">
        <w:t xml:space="preserve"> </w:t>
      </w:r>
      <w:r>
        <w:t>with</w:t>
      </w:r>
      <w:r w:rsidR="009A0847">
        <w:t xml:space="preserve"> </w:t>
      </w:r>
      <w:r w:rsidR="00C17684">
        <w:t>the</w:t>
      </w:r>
      <w:r w:rsidR="009A0847">
        <w:t xml:space="preserve"> </w:t>
      </w:r>
      <w:r w:rsidR="00E078C1">
        <w:t>other</w:t>
      </w:r>
      <w:r w:rsidR="009A0847">
        <w:t xml:space="preserve"> </w:t>
      </w:r>
      <w:r w:rsidR="00E078C1">
        <w:t>two</w:t>
      </w:r>
      <w:r w:rsidR="009A0847">
        <w:t xml:space="preserve"> </w:t>
      </w:r>
      <w:r>
        <w:t>treatments</w:t>
      </w:r>
      <w:r w:rsidR="00C17684">
        <w:t>,</w:t>
      </w:r>
      <w:r w:rsidR="009A0847">
        <w:t xml:space="preserve"> </w:t>
      </w:r>
      <w:r w:rsidR="00C17684">
        <w:t>banks</w:t>
      </w:r>
      <w:r w:rsidR="009A0847">
        <w:t xml:space="preserve"> </w:t>
      </w:r>
      <w:r w:rsidR="00C17684">
        <w:t>learn</w:t>
      </w:r>
      <w:r w:rsidR="009A0847">
        <w:t xml:space="preserve"> </w:t>
      </w:r>
      <w:r w:rsidR="00C17684">
        <w:t>to</w:t>
      </w:r>
      <w:r w:rsidR="009A0847">
        <w:t xml:space="preserve"> </w:t>
      </w:r>
      <w:r w:rsidR="00784A6E">
        <w:t>access</w:t>
      </w:r>
      <w:r w:rsidR="009A0847">
        <w:t xml:space="preserve"> </w:t>
      </w:r>
      <w:r w:rsidR="00784A6E">
        <w:t>the</w:t>
      </w:r>
      <w:r w:rsidR="009A0847">
        <w:t xml:space="preserve"> </w:t>
      </w:r>
      <w:r w:rsidR="00784A6E">
        <w:t>DW</w:t>
      </w:r>
      <w:r w:rsidR="009A0847">
        <w:t xml:space="preserve"> </w:t>
      </w:r>
      <w:r w:rsidR="00784A6E">
        <w:t>voluntarily</w:t>
      </w:r>
      <w:r w:rsidR="009A0847">
        <w:t xml:space="preserve"> </w:t>
      </w:r>
      <w:r w:rsidR="00C17684">
        <w:t>in</w:t>
      </w:r>
      <w:r w:rsidR="009A0847">
        <w:t xml:space="preserve"> </w:t>
      </w:r>
      <w:r w:rsidR="00C17684">
        <w:t>the</w:t>
      </w:r>
      <w:r w:rsidR="009A0847">
        <w:t xml:space="preserve"> </w:t>
      </w:r>
      <w:r w:rsidR="00C345EE">
        <w:t>random</w:t>
      </w:r>
      <w:r w:rsidR="009A0847">
        <w:t xml:space="preserve"> </w:t>
      </w:r>
      <w:r w:rsidR="00C17684">
        <w:t>borrowing</w:t>
      </w:r>
      <w:r w:rsidR="009A0847">
        <w:t xml:space="preserve"> </w:t>
      </w:r>
      <w:r w:rsidR="00C17684">
        <w:t>treatment</w:t>
      </w:r>
      <w:r w:rsidR="002C4B74">
        <w:t>.</w:t>
      </w:r>
      <w:r w:rsidR="009A0847">
        <w:t xml:space="preserve"> </w:t>
      </w:r>
      <w:r w:rsidR="002C4B74">
        <w:t>In</w:t>
      </w:r>
      <w:r w:rsidR="009A0847">
        <w:t xml:space="preserve"> </w:t>
      </w:r>
      <w:r w:rsidR="002C4B74">
        <w:t>fact,</w:t>
      </w:r>
      <w:r w:rsidR="009A0847">
        <w:t xml:space="preserve"> </w:t>
      </w:r>
      <w:r w:rsidR="00E33382">
        <w:t>Figure</w:t>
      </w:r>
      <w:r w:rsidR="009A0847">
        <w:t xml:space="preserve"> </w:t>
      </w:r>
      <w:r w:rsidR="00E33382">
        <w:t>3.1</w:t>
      </w:r>
      <w:r w:rsidR="009A0847">
        <w:t xml:space="preserve"> </w:t>
      </w:r>
      <w:r w:rsidR="00E33382">
        <w:t>of</w:t>
      </w:r>
      <w:r w:rsidR="009A0847">
        <w:t xml:space="preserve"> </w:t>
      </w:r>
      <w:r w:rsidR="00E33382">
        <w:t>Appendix</w:t>
      </w:r>
      <w:r w:rsidR="009A0847">
        <w:t xml:space="preserve"> </w:t>
      </w:r>
      <w:r w:rsidR="005B5956">
        <w:t>4</w:t>
      </w:r>
      <w:r w:rsidR="009A0847">
        <w:t xml:space="preserve"> </w:t>
      </w:r>
      <w:r w:rsidR="005967B2">
        <w:t>reveals</w:t>
      </w:r>
      <w:r w:rsidR="009A0847">
        <w:t xml:space="preserve"> </w:t>
      </w:r>
      <w:r w:rsidR="002C4B74">
        <w:t>that</w:t>
      </w:r>
      <w:r w:rsidR="009A0847">
        <w:t xml:space="preserve"> </w:t>
      </w:r>
      <w:r w:rsidR="002C4B74">
        <w:t>banks</w:t>
      </w:r>
      <w:r w:rsidR="009A0847">
        <w:t xml:space="preserve"> </w:t>
      </w:r>
      <w:r w:rsidR="00B04CA7">
        <w:t>systematically</w:t>
      </w:r>
      <w:r w:rsidR="009A0847">
        <w:t xml:space="preserve"> </w:t>
      </w:r>
      <w:r w:rsidR="00B04CA7">
        <w:t>learn</w:t>
      </w:r>
      <w:r w:rsidR="009A0847">
        <w:t xml:space="preserve"> </w:t>
      </w:r>
      <w:r w:rsidR="00445AAD">
        <w:t>to</w:t>
      </w:r>
      <w:r w:rsidR="009A0847">
        <w:t xml:space="preserve"> </w:t>
      </w:r>
      <w:r w:rsidR="00445AAD">
        <w:t>coordinate</w:t>
      </w:r>
      <w:r w:rsidR="009A0847">
        <w:t xml:space="preserve"> </w:t>
      </w:r>
      <w:r w:rsidR="00445AAD">
        <w:t>on</w:t>
      </w:r>
      <w:r w:rsidR="009A0847">
        <w:t xml:space="preserve"> </w:t>
      </w:r>
      <w:r w:rsidR="00445AAD">
        <w:t>the</w:t>
      </w:r>
      <w:r w:rsidR="009A0847">
        <w:t xml:space="preserve"> </w:t>
      </w:r>
      <w:r w:rsidR="00445AAD">
        <w:t>stigma-free</w:t>
      </w:r>
      <w:r w:rsidR="009A0847">
        <w:t xml:space="preserve"> </w:t>
      </w:r>
      <w:r w:rsidR="002C4B74">
        <w:t>equilibrium</w:t>
      </w:r>
      <w:r w:rsidR="009A0847">
        <w:t xml:space="preserve"> </w:t>
      </w:r>
      <w:r w:rsidR="002C4B74">
        <w:t>in</w:t>
      </w:r>
      <w:r w:rsidR="009A0847">
        <w:t xml:space="preserve"> </w:t>
      </w:r>
      <w:r w:rsidR="002C4B74">
        <w:t>all</w:t>
      </w:r>
      <w:r w:rsidR="009A0847">
        <w:t xml:space="preserve"> </w:t>
      </w:r>
      <w:r w:rsidR="002C4B74">
        <w:t>6</w:t>
      </w:r>
      <w:r w:rsidR="009A0847">
        <w:t xml:space="preserve"> </w:t>
      </w:r>
      <w:r w:rsidR="002C4B74">
        <w:t>sessions</w:t>
      </w:r>
      <w:r w:rsidR="009A0847">
        <w:t xml:space="preserve"> </w:t>
      </w:r>
      <w:r w:rsidR="002C4B74">
        <w:t>of</w:t>
      </w:r>
      <w:r w:rsidR="009A0847">
        <w:t xml:space="preserve"> </w:t>
      </w:r>
      <w:r w:rsidR="002C4B74">
        <w:t>the</w:t>
      </w:r>
      <w:r w:rsidR="009A0847">
        <w:t xml:space="preserve"> </w:t>
      </w:r>
      <w:r w:rsidR="00C345EE">
        <w:t>random</w:t>
      </w:r>
      <w:r w:rsidR="009A0847">
        <w:t xml:space="preserve"> </w:t>
      </w:r>
      <w:r w:rsidR="002C4B74">
        <w:t>treatment.</w:t>
      </w:r>
      <w:r w:rsidR="009A0847">
        <w:t xml:space="preserve"> </w:t>
      </w:r>
      <w:r w:rsidR="00E33382">
        <w:t>Thus</w:t>
      </w:r>
      <w:r w:rsidR="00445AAD">
        <w:t>,</w:t>
      </w:r>
      <w:r w:rsidR="009A0847">
        <w:t xml:space="preserve"> </w:t>
      </w:r>
      <w:r w:rsidR="00214306">
        <w:t>we</w:t>
      </w:r>
      <w:r w:rsidR="009A0847">
        <w:t xml:space="preserve"> </w:t>
      </w:r>
      <w:r w:rsidR="00214306">
        <w:t>find</w:t>
      </w:r>
      <w:r w:rsidR="005B5956">
        <w:t xml:space="preserve"> </w:t>
      </w:r>
      <w:r w:rsidR="00E33382">
        <w:t>evidence</w:t>
      </w:r>
      <w:r w:rsidR="009A0847">
        <w:t xml:space="preserve"> </w:t>
      </w:r>
      <w:r w:rsidR="00E33382">
        <w:t>that</w:t>
      </w:r>
      <w:r w:rsidR="009A0847">
        <w:t xml:space="preserve"> </w:t>
      </w:r>
      <w:r w:rsidR="00E33382">
        <w:t>subjects</w:t>
      </w:r>
      <w:r w:rsidR="009A0847">
        <w:t xml:space="preserve"> </w:t>
      </w:r>
      <w:r w:rsidR="00E33382">
        <w:t>converge</w:t>
      </w:r>
      <w:r w:rsidR="009A0847">
        <w:t xml:space="preserve"> </w:t>
      </w:r>
      <w:r w:rsidR="00E33382">
        <w:t>toward</w:t>
      </w:r>
      <w:r w:rsidR="009A0847">
        <w:t xml:space="preserve"> </w:t>
      </w:r>
      <w:r w:rsidR="00214306">
        <w:t>the</w:t>
      </w:r>
      <w:r w:rsidR="009A0847">
        <w:t xml:space="preserve"> </w:t>
      </w:r>
      <w:r w:rsidR="00214306">
        <w:t>unique</w:t>
      </w:r>
      <w:r w:rsidR="009A0847">
        <w:t xml:space="preserve"> </w:t>
      </w:r>
      <w:r w:rsidR="00E33382">
        <w:t>stigma</w:t>
      </w:r>
      <w:r w:rsidR="00214306">
        <w:t>-free</w:t>
      </w:r>
      <w:r w:rsidR="009A0847">
        <w:t xml:space="preserve"> </w:t>
      </w:r>
      <w:r w:rsidR="00214306">
        <w:t>equilibrium</w:t>
      </w:r>
      <w:r w:rsidR="009A0847">
        <w:t xml:space="preserve"> </w:t>
      </w:r>
      <w:r w:rsidR="00214306">
        <w:t>in</w:t>
      </w:r>
      <w:r w:rsidR="009A0847">
        <w:t xml:space="preserve"> </w:t>
      </w:r>
      <w:r w:rsidR="00214306">
        <w:t>the</w:t>
      </w:r>
      <w:r w:rsidR="009A0847">
        <w:t xml:space="preserve"> </w:t>
      </w:r>
      <w:r w:rsidR="00C345EE">
        <w:t>random</w:t>
      </w:r>
      <w:r w:rsidR="009A0847">
        <w:t xml:space="preserve"> </w:t>
      </w:r>
      <w:r w:rsidR="00214306">
        <w:t>treatment</w:t>
      </w:r>
      <w:r w:rsidR="00E33382">
        <w:t>,</w:t>
      </w:r>
      <w:r w:rsidR="009A0847">
        <w:t xml:space="preserve"> </w:t>
      </w:r>
      <w:r w:rsidR="00E33382">
        <w:t>thereby</w:t>
      </w:r>
      <w:r w:rsidR="009A0847">
        <w:t xml:space="preserve"> </w:t>
      </w:r>
      <w:r w:rsidR="00E33382">
        <w:t>providing</w:t>
      </w:r>
      <w:r w:rsidR="009A0847">
        <w:t xml:space="preserve"> </w:t>
      </w:r>
      <w:r w:rsidR="00E33382">
        <w:t>support</w:t>
      </w:r>
      <w:r w:rsidR="009A0847">
        <w:t xml:space="preserve"> </w:t>
      </w:r>
      <w:r w:rsidR="00E33382">
        <w:t>for</w:t>
      </w:r>
      <w:r w:rsidR="009A0847">
        <w:t xml:space="preserve"> </w:t>
      </w:r>
      <w:r w:rsidR="00E33382">
        <w:t>prediction</w:t>
      </w:r>
      <w:r w:rsidR="009A0847">
        <w:t xml:space="preserve"> </w:t>
      </w:r>
      <w:r w:rsidR="00445AAD">
        <w:rPr>
          <w:b/>
          <w:i/>
        </w:rPr>
        <w:t>P</w:t>
      </w:r>
      <w:r w:rsidR="00445AAD" w:rsidRPr="005967B2">
        <w:rPr>
          <w:b/>
          <w:i/>
        </w:rPr>
        <w:t>3</w:t>
      </w:r>
      <w:r w:rsidR="00E33382" w:rsidRPr="005967B2">
        <w:t>.</w:t>
      </w:r>
    </w:p>
    <w:p w14:paraId="0842BE66" w14:textId="7F0023FC" w:rsidR="00292D9D" w:rsidRPr="009373B1" w:rsidRDefault="00F45B3E" w:rsidP="00F86E09">
      <w:pPr>
        <w:pStyle w:val="Heading3"/>
        <w:widowControl w:val="0"/>
        <w:spacing w:line="276" w:lineRule="auto"/>
      </w:pPr>
      <w:r>
        <w:t>The</w:t>
      </w:r>
      <w:r w:rsidR="009A0847">
        <w:t xml:space="preserve"> </w:t>
      </w:r>
      <w:r>
        <w:t>low</w:t>
      </w:r>
      <w:r w:rsidR="009A0847">
        <w:t xml:space="preserve"> </w:t>
      </w:r>
      <w:r>
        <w:t>detection</w:t>
      </w:r>
      <w:r w:rsidR="009A0847">
        <w:t xml:space="preserve"> </w:t>
      </w:r>
      <w:r>
        <w:t>treatment</w:t>
      </w:r>
    </w:p>
    <w:p w14:paraId="5D577E8F" w14:textId="5BADC639" w:rsidR="00E11012" w:rsidRDefault="00292D9D" w:rsidP="00FB0CA2">
      <w:pPr>
        <w:pStyle w:val="Olivier1"/>
        <w:widowControl w:val="0"/>
        <w:spacing w:after="0"/>
      </w:pPr>
      <w:r w:rsidRPr="00323C69">
        <w:rPr>
          <w:color w:val="000000" w:themeColor="text1"/>
        </w:rPr>
        <w:t>The</w:t>
      </w:r>
      <w:r w:rsidR="009A0847">
        <w:rPr>
          <w:color w:val="000000" w:themeColor="text1"/>
        </w:rPr>
        <w:t xml:space="preserve"> </w:t>
      </w:r>
      <w:r w:rsidRPr="00323C69">
        <w:rPr>
          <w:color w:val="000000" w:themeColor="text1"/>
        </w:rPr>
        <w:t>results</w:t>
      </w:r>
      <w:r w:rsidR="009A0847">
        <w:rPr>
          <w:color w:val="000000" w:themeColor="text1"/>
        </w:rPr>
        <w:t xml:space="preserve"> </w:t>
      </w:r>
      <w:r w:rsidRPr="00323C69">
        <w:rPr>
          <w:color w:val="000000" w:themeColor="text1"/>
        </w:rPr>
        <w:t>in</w:t>
      </w:r>
      <w:r w:rsidR="009A0847">
        <w:rPr>
          <w:color w:val="000000" w:themeColor="text1"/>
        </w:rPr>
        <w:t xml:space="preserve"> </w:t>
      </w:r>
      <w:r w:rsidRPr="00323C69">
        <w:rPr>
          <w:color w:val="000000" w:themeColor="text1"/>
        </w:rPr>
        <w:t>the</w:t>
      </w:r>
      <w:r w:rsidR="009A0847">
        <w:rPr>
          <w:color w:val="000000" w:themeColor="text1"/>
        </w:rPr>
        <w:t xml:space="preserve"> </w:t>
      </w:r>
      <w:r w:rsidRPr="00323C69">
        <w:rPr>
          <w:color w:val="000000" w:themeColor="text1"/>
        </w:rPr>
        <w:t>low</w:t>
      </w:r>
      <w:r w:rsidR="009A0847">
        <w:rPr>
          <w:color w:val="000000" w:themeColor="text1"/>
        </w:rPr>
        <w:t xml:space="preserve"> </w:t>
      </w:r>
      <w:r w:rsidRPr="00323C69">
        <w:rPr>
          <w:color w:val="000000" w:themeColor="text1"/>
        </w:rPr>
        <w:t>detection</w:t>
      </w:r>
      <w:r w:rsidR="009A0847">
        <w:rPr>
          <w:color w:val="000000" w:themeColor="text1"/>
        </w:rPr>
        <w:t xml:space="preserve"> </w:t>
      </w:r>
      <w:r w:rsidRPr="00323C69">
        <w:rPr>
          <w:color w:val="000000" w:themeColor="text1"/>
        </w:rPr>
        <w:t>treatment</w:t>
      </w:r>
      <w:r w:rsidR="009A0847">
        <w:rPr>
          <w:color w:val="000000" w:themeColor="text1"/>
        </w:rPr>
        <w:t xml:space="preserve"> </w:t>
      </w:r>
      <w:r w:rsidRPr="00323C69">
        <w:rPr>
          <w:color w:val="000000" w:themeColor="text1"/>
        </w:rPr>
        <w:t>are</w:t>
      </w:r>
      <w:r w:rsidR="009A0847">
        <w:rPr>
          <w:color w:val="000000" w:themeColor="text1"/>
        </w:rPr>
        <w:t xml:space="preserve"> </w:t>
      </w:r>
      <w:r w:rsidRPr="00323C69">
        <w:rPr>
          <w:color w:val="000000" w:themeColor="text1"/>
        </w:rPr>
        <w:t>summarized</w:t>
      </w:r>
      <w:r w:rsidR="009A0847">
        <w:rPr>
          <w:color w:val="000000" w:themeColor="text1"/>
        </w:rPr>
        <w:t xml:space="preserve"> </w:t>
      </w:r>
      <w:r w:rsidRPr="00323C69">
        <w:rPr>
          <w:color w:val="000000" w:themeColor="text1"/>
        </w:rPr>
        <w:t>in</w:t>
      </w:r>
      <w:r w:rsidR="009A0847">
        <w:rPr>
          <w:color w:val="000000" w:themeColor="text1"/>
        </w:rPr>
        <w:t xml:space="preserve"> </w:t>
      </w:r>
      <w:r w:rsidRPr="00323C69">
        <w:rPr>
          <w:color w:val="000000" w:themeColor="text1"/>
        </w:rPr>
        <w:t>Figure</w:t>
      </w:r>
      <w:r w:rsidR="009A0847">
        <w:rPr>
          <w:color w:val="000000" w:themeColor="text1"/>
        </w:rPr>
        <w:t xml:space="preserve"> </w:t>
      </w:r>
      <w:r w:rsidRPr="00323C69">
        <w:rPr>
          <w:color w:val="000000" w:themeColor="text1"/>
        </w:rPr>
        <w:t>4.</w:t>
      </w:r>
      <w:r w:rsidR="009A0847">
        <w:rPr>
          <w:color w:val="000000" w:themeColor="text1"/>
        </w:rPr>
        <w:t xml:space="preserve"> </w:t>
      </w:r>
      <w:r w:rsidRPr="00323C69">
        <w:rPr>
          <w:color w:val="000000" w:themeColor="text1"/>
        </w:rPr>
        <w:t>Overall,</w:t>
      </w:r>
      <w:r w:rsidR="009A0847">
        <w:rPr>
          <w:color w:val="000000" w:themeColor="text1"/>
        </w:rPr>
        <w:t xml:space="preserve"> </w:t>
      </w:r>
      <w:r w:rsidRPr="00323C69">
        <w:rPr>
          <w:color w:val="000000" w:themeColor="text1"/>
        </w:rPr>
        <w:t>the</w:t>
      </w:r>
      <w:r w:rsidR="009A0847">
        <w:rPr>
          <w:color w:val="000000" w:themeColor="text1"/>
        </w:rPr>
        <w:t xml:space="preserve"> </w:t>
      </w:r>
      <w:r w:rsidRPr="00323C69">
        <w:rPr>
          <w:color w:val="000000" w:themeColor="text1"/>
        </w:rPr>
        <w:t>same</w:t>
      </w:r>
      <w:r w:rsidR="009A0847">
        <w:rPr>
          <w:color w:val="000000" w:themeColor="text1"/>
        </w:rPr>
        <w:t xml:space="preserve"> </w:t>
      </w:r>
      <w:r w:rsidRPr="00323C69">
        <w:rPr>
          <w:color w:val="000000" w:themeColor="text1"/>
        </w:rPr>
        <w:t>dynamics</w:t>
      </w:r>
      <w:r w:rsidR="009A0847">
        <w:rPr>
          <w:color w:val="000000" w:themeColor="text1"/>
        </w:rPr>
        <w:t xml:space="preserve"> </w:t>
      </w:r>
      <w:r w:rsidRPr="00323C69">
        <w:rPr>
          <w:color w:val="000000" w:themeColor="text1"/>
        </w:rPr>
        <w:t>of</w:t>
      </w:r>
      <w:r w:rsidR="009A0847">
        <w:rPr>
          <w:color w:val="000000" w:themeColor="text1"/>
        </w:rPr>
        <w:t xml:space="preserve"> </w:t>
      </w:r>
      <w:r w:rsidRPr="00323C69">
        <w:rPr>
          <w:color w:val="000000" w:themeColor="text1"/>
        </w:rPr>
        <w:t>play</w:t>
      </w:r>
      <w:r w:rsidR="009A0847">
        <w:rPr>
          <w:color w:val="000000" w:themeColor="text1"/>
        </w:rPr>
        <w:t xml:space="preserve"> </w:t>
      </w:r>
      <w:r w:rsidRPr="00323C69">
        <w:rPr>
          <w:color w:val="000000" w:themeColor="text1"/>
        </w:rPr>
        <w:t>emerge</w:t>
      </w:r>
      <w:r w:rsidR="009A0847">
        <w:rPr>
          <w:color w:val="000000" w:themeColor="text1"/>
        </w:rPr>
        <w:t xml:space="preserve"> </w:t>
      </w:r>
      <w:r w:rsidRPr="00323C69">
        <w:rPr>
          <w:color w:val="000000" w:themeColor="text1"/>
        </w:rPr>
        <w:t>in</w:t>
      </w:r>
      <w:r w:rsidR="009A0847">
        <w:rPr>
          <w:color w:val="000000" w:themeColor="text1"/>
        </w:rPr>
        <w:t xml:space="preserve"> </w:t>
      </w:r>
      <w:r w:rsidRPr="00323C69">
        <w:rPr>
          <w:color w:val="000000" w:themeColor="text1"/>
        </w:rPr>
        <w:t>the</w:t>
      </w:r>
      <w:r w:rsidR="009A0847">
        <w:rPr>
          <w:color w:val="000000" w:themeColor="text1"/>
        </w:rPr>
        <w:t xml:space="preserve"> </w:t>
      </w:r>
      <w:r w:rsidRPr="00323C69">
        <w:rPr>
          <w:color w:val="000000" w:themeColor="text1"/>
        </w:rPr>
        <w:t>low</w:t>
      </w:r>
      <w:r w:rsidR="009A0847">
        <w:rPr>
          <w:color w:val="000000" w:themeColor="text1"/>
        </w:rPr>
        <w:t xml:space="preserve"> </w:t>
      </w:r>
      <w:r w:rsidRPr="00323C69">
        <w:rPr>
          <w:color w:val="000000" w:themeColor="text1"/>
        </w:rPr>
        <w:t>detection</w:t>
      </w:r>
      <w:r w:rsidR="009A0847">
        <w:rPr>
          <w:color w:val="000000" w:themeColor="text1"/>
        </w:rPr>
        <w:t xml:space="preserve"> </w:t>
      </w:r>
      <w:r w:rsidR="00B969C1">
        <w:rPr>
          <w:color w:val="000000" w:themeColor="text1"/>
        </w:rPr>
        <w:t>and</w:t>
      </w:r>
      <w:r w:rsidR="009A0847">
        <w:rPr>
          <w:color w:val="000000" w:themeColor="text1"/>
        </w:rPr>
        <w:t xml:space="preserve"> </w:t>
      </w:r>
      <w:r w:rsidR="00B969C1">
        <w:rPr>
          <w:color w:val="000000" w:themeColor="text1"/>
        </w:rPr>
        <w:t>control</w:t>
      </w:r>
      <w:r w:rsidR="009A0847">
        <w:rPr>
          <w:color w:val="000000" w:themeColor="text1"/>
        </w:rPr>
        <w:t xml:space="preserve"> </w:t>
      </w:r>
      <w:r w:rsidRPr="00323C69">
        <w:rPr>
          <w:color w:val="000000" w:themeColor="text1"/>
        </w:rPr>
        <w:t>treatment</w:t>
      </w:r>
      <w:r w:rsidR="00B969C1">
        <w:rPr>
          <w:color w:val="000000" w:themeColor="text1"/>
        </w:rPr>
        <w:t>s</w:t>
      </w:r>
      <w:r w:rsidRPr="00323C69">
        <w:rPr>
          <w:color w:val="000000" w:themeColor="text1"/>
        </w:rPr>
        <w:t>.</w:t>
      </w:r>
      <w:r w:rsidR="009A0847">
        <w:rPr>
          <w:color w:val="000000" w:themeColor="text1"/>
        </w:rPr>
        <w:t xml:space="preserve"> </w:t>
      </w:r>
      <w:r w:rsidRPr="00323C69">
        <w:rPr>
          <w:color w:val="000000" w:themeColor="text1"/>
        </w:rPr>
        <w:t>Despite</w:t>
      </w:r>
      <w:r w:rsidR="009A0847">
        <w:rPr>
          <w:color w:val="000000" w:themeColor="text1"/>
        </w:rPr>
        <w:t xml:space="preserve"> </w:t>
      </w:r>
      <w:r w:rsidRPr="00323C69">
        <w:rPr>
          <w:color w:val="000000" w:themeColor="text1"/>
        </w:rPr>
        <w:t>some</w:t>
      </w:r>
      <w:r w:rsidR="009A0847">
        <w:rPr>
          <w:color w:val="000000" w:themeColor="text1"/>
        </w:rPr>
        <w:t xml:space="preserve"> </w:t>
      </w:r>
      <w:r w:rsidRPr="00323C69">
        <w:rPr>
          <w:color w:val="000000" w:themeColor="text1"/>
        </w:rPr>
        <w:t>differences</w:t>
      </w:r>
      <w:r w:rsidR="009A0847">
        <w:rPr>
          <w:color w:val="000000" w:themeColor="text1"/>
        </w:rPr>
        <w:t xml:space="preserve"> </w:t>
      </w:r>
      <w:r w:rsidRPr="00323C69">
        <w:rPr>
          <w:color w:val="000000" w:themeColor="text1"/>
        </w:rPr>
        <w:t>in</w:t>
      </w:r>
      <w:r w:rsidR="009A0847">
        <w:rPr>
          <w:color w:val="000000" w:themeColor="text1"/>
        </w:rPr>
        <w:t xml:space="preserve"> </w:t>
      </w:r>
      <w:r w:rsidRPr="00323C69">
        <w:rPr>
          <w:color w:val="000000" w:themeColor="text1"/>
        </w:rPr>
        <w:t>early</w:t>
      </w:r>
      <w:r w:rsidR="009A0847">
        <w:rPr>
          <w:color w:val="000000" w:themeColor="text1"/>
        </w:rPr>
        <w:t xml:space="preserve"> </w:t>
      </w:r>
      <w:r w:rsidRPr="00323C69">
        <w:rPr>
          <w:color w:val="000000" w:themeColor="text1"/>
        </w:rPr>
        <w:t>rounds,</w:t>
      </w:r>
      <w:r w:rsidR="009A0847">
        <w:rPr>
          <w:color w:val="000000" w:themeColor="text1"/>
        </w:rPr>
        <w:t xml:space="preserve"> </w:t>
      </w:r>
      <w:r w:rsidRPr="00323C69">
        <w:rPr>
          <w:color w:val="000000" w:themeColor="text1"/>
        </w:rPr>
        <w:t>investors</w:t>
      </w:r>
      <w:r w:rsidR="009A0847">
        <w:rPr>
          <w:color w:val="000000" w:themeColor="text1"/>
        </w:rPr>
        <w:t xml:space="preserve"> </w:t>
      </w:r>
      <w:r w:rsidRPr="00323C69">
        <w:rPr>
          <w:color w:val="000000" w:themeColor="text1"/>
        </w:rPr>
        <w:t>learn</w:t>
      </w:r>
      <w:r w:rsidR="009A0847">
        <w:rPr>
          <w:color w:val="000000" w:themeColor="text1"/>
        </w:rPr>
        <w:t xml:space="preserve"> </w:t>
      </w:r>
      <w:r w:rsidRPr="00323C69">
        <w:rPr>
          <w:color w:val="000000" w:themeColor="text1"/>
        </w:rPr>
        <w:t>to</w:t>
      </w:r>
      <w:r w:rsidR="009A0847">
        <w:rPr>
          <w:color w:val="000000" w:themeColor="text1"/>
        </w:rPr>
        <w:t xml:space="preserve"> </w:t>
      </w:r>
      <w:r w:rsidRPr="00323C69">
        <w:rPr>
          <w:color w:val="000000" w:themeColor="text1"/>
        </w:rPr>
        <w:t>fund</w:t>
      </w:r>
      <w:r w:rsidR="009A0847">
        <w:rPr>
          <w:color w:val="000000" w:themeColor="text1"/>
        </w:rPr>
        <w:t xml:space="preserve"> </w:t>
      </w:r>
      <w:r w:rsidRPr="00323C69">
        <w:rPr>
          <w:color w:val="000000" w:themeColor="text1"/>
        </w:rPr>
        <w:t>only</w:t>
      </w:r>
      <w:r w:rsidR="009A0847">
        <w:rPr>
          <w:color w:val="000000" w:themeColor="text1"/>
        </w:rPr>
        <w:t xml:space="preserve"> </w:t>
      </w:r>
      <w:r w:rsidRPr="00323C69">
        <w:rPr>
          <w:color w:val="000000" w:themeColor="text1"/>
        </w:rPr>
        <w:t>non-detected</w:t>
      </w:r>
      <w:r w:rsidR="009A0847">
        <w:rPr>
          <w:color w:val="000000" w:themeColor="text1"/>
        </w:rPr>
        <w:t xml:space="preserve"> </w:t>
      </w:r>
      <w:r w:rsidRPr="00323C69">
        <w:rPr>
          <w:color w:val="000000" w:themeColor="text1"/>
        </w:rPr>
        <w:t>banks</w:t>
      </w:r>
      <w:r w:rsidR="009A0847">
        <w:rPr>
          <w:color w:val="000000" w:themeColor="text1"/>
        </w:rPr>
        <w:t xml:space="preserve"> </w:t>
      </w:r>
      <w:r w:rsidRPr="00323C69">
        <w:rPr>
          <w:color w:val="000000" w:themeColor="text1"/>
        </w:rPr>
        <w:t>in</w:t>
      </w:r>
      <w:r w:rsidR="009A0847">
        <w:rPr>
          <w:color w:val="000000" w:themeColor="text1"/>
        </w:rPr>
        <w:t xml:space="preserve"> </w:t>
      </w:r>
      <w:r w:rsidRPr="00323C69">
        <w:rPr>
          <w:color w:val="000000" w:themeColor="text1"/>
        </w:rPr>
        <w:t>both</w:t>
      </w:r>
      <w:r w:rsidR="009A0847">
        <w:rPr>
          <w:color w:val="000000" w:themeColor="text1"/>
        </w:rPr>
        <w:t xml:space="preserve"> </w:t>
      </w:r>
      <w:r w:rsidRPr="00323C69">
        <w:rPr>
          <w:color w:val="000000" w:themeColor="text1"/>
        </w:rPr>
        <w:t>treatments.</w:t>
      </w:r>
      <w:r w:rsidR="009A0847">
        <w:rPr>
          <w:color w:val="000000" w:themeColor="text1"/>
        </w:rPr>
        <w:t xml:space="preserve"> </w:t>
      </w:r>
      <w:r w:rsidRPr="00323C69">
        <w:rPr>
          <w:color w:val="000000" w:themeColor="text1"/>
        </w:rPr>
        <w:t>Further,</w:t>
      </w:r>
      <w:r w:rsidR="009A0847">
        <w:rPr>
          <w:color w:val="000000" w:themeColor="text1"/>
        </w:rPr>
        <w:t xml:space="preserve"> </w:t>
      </w:r>
      <w:r w:rsidRPr="00323C69">
        <w:rPr>
          <w:color w:val="000000" w:themeColor="text1"/>
        </w:rPr>
        <w:t>after</w:t>
      </w:r>
      <w:r w:rsidR="009A0847">
        <w:rPr>
          <w:color w:val="000000" w:themeColor="text1"/>
        </w:rPr>
        <w:t xml:space="preserve"> </w:t>
      </w:r>
      <w:r w:rsidRPr="00323C69">
        <w:rPr>
          <w:color w:val="000000" w:themeColor="text1"/>
        </w:rPr>
        <w:t>an</w:t>
      </w:r>
      <w:r w:rsidR="009A0847">
        <w:rPr>
          <w:color w:val="000000" w:themeColor="text1"/>
        </w:rPr>
        <w:t xml:space="preserve"> </w:t>
      </w:r>
      <w:r w:rsidRPr="00323C69">
        <w:rPr>
          <w:color w:val="000000" w:themeColor="text1"/>
        </w:rPr>
        <w:t>early</w:t>
      </w:r>
      <w:r w:rsidR="009A0847">
        <w:rPr>
          <w:color w:val="000000" w:themeColor="text1"/>
        </w:rPr>
        <w:t xml:space="preserve"> </w:t>
      </w:r>
      <w:r w:rsidRPr="00323C69">
        <w:rPr>
          <w:color w:val="000000" w:themeColor="text1"/>
        </w:rPr>
        <w:lastRenderedPageBreak/>
        <w:t>attempt</w:t>
      </w:r>
      <w:r w:rsidR="009A0847">
        <w:rPr>
          <w:color w:val="000000" w:themeColor="text1"/>
        </w:rPr>
        <w:t xml:space="preserve"> </w:t>
      </w:r>
      <w:r w:rsidR="00E11012" w:rsidRPr="00323C69">
        <w:rPr>
          <w:color w:val="000000" w:themeColor="text1"/>
        </w:rPr>
        <w:t>at</w:t>
      </w:r>
      <w:r w:rsidR="009A0847">
        <w:rPr>
          <w:color w:val="000000" w:themeColor="text1"/>
        </w:rPr>
        <w:t xml:space="preserve"> </w:t>
      </w:r>
      <w:r w:rsidRPr="00323C69">
        <w:rPr>
          <w:color w:val="000000" w:themeColor="text1"/>
        </w:rPr>
        <w:t>coo</w:t>
      </w:r>
      <w:r w:rsidR="00E11012" w:rsidRPr="00323C69">
        <w:rPr>
          <w:color w:val="000000" w:themeColor="text1"/>
        </w:rPr>
        <w:t>rdinating</w:t>
      </w:r>
      <w:r w:rsidR="009A0847">
        <w:rPr>
          <w:color w:val="000000" w:themeColor="text1"/>
        </w:rPr>
        <w:t xml:space="preserve"> </w:t>
      </w:r>
      <w:r w:rsidR="00E11012" w:rsidRPr="00323C69">
        <w:rPr>
          <w:color w:val="000000" w:themeColor="text1"/>
        </w:rPr>
        <w:t>on</w:t>
      </w:r>
      <w:r w:rsidR="009A0847">
        <w:rPr>
          <w:color w:val="000000" w:themeColor="text1"/>
        </w:rPr>
        <w:t xml:space="preserve"> </w:t>
      </w:r>
      <w:r w:rsidR="00E11012" w:rsidRPr="00323C69">
        <w:rPr>
          <w:color w:val="000000" w:themeColor="text1"/>
        </w:rPr>
        <w:t>the</w:t>
      </w:r>
      <w:r w:rsidR="009A0847">
        <w:rPr>
          <w:color w:val="000000" w:themeColor="text1"/>
        </w:rPr>
        <w:t xml:space="preserve"> </w:t>
      </w:r>
      <w:r w:rsidR="00E11012" w:rsidRPr="00323C69">
        <w:rPr>
          <w:color w:val="000000" w:themeColor="text1"/>
        </w:rPr>
        <w:t>good</w:t>
      </w:r>
      <w:r w:rsidR="009A0847">
        <w:rPr>
          <w:color w:val="000000" w:themeColor="text1"/>
        </w:rPr>
        <w:t xml:space="preserve"> </w:t>
      </w:r>
      <w:r w:rsidR="00E11012" w:rsidRPr="00323C69">
        <w:rPr>
          <w:color w:val="000000" w:themeColor="text1"/>
        </w:rPr>
        <w:t>equilibrium,</w:t>
      </w:r>
      <w:r w:rsidR="009A0847">
        <w:rPr>
          <w:color w:val="000000" w:themeColor="text1"/>
        </w:rPr>
        <w:t xml:space="preserve"> </w:t>
      </w:r>
      <w:r w:rsidR="00E11012" w:rsidRPr="00323C69">
        <w:rPr>
          <w:color w:val="000000" w:themeColor="text1"/>
        </w:rPr>
        <w:t>most</w:t>
      </w:r>
      <w:r w:rsidR="009A0847">
        <w:rPr>
          <w:color w:val="000000" w:themeColor="text1"/>
        </w:rPr>
        <w:t xml:space="preserve"> </w:t>
      </w:r>
      <w:r w:rsidRPr="00323C69">
        <w:rPr>
          <w:color w:val="000000" w:themeColor="text1"/>
        </w:rPr>
        <w:t>banks</w:t>
      </w:r>
      <w:r w:rsidR="009A0847">
        <w:rPr>
          <w:color w:val="000000" w:themeColor="text1"/>
        </w:rPr>
        <w:t xml:space="preserve"> </w:t>
      </w:r>
      <w:r w:rsidR="00E11012" w:rsidRPr="00323C69">
        <w:rPr>
          <w:color w:val="000000" w:themeColor="text1"/>
        </w:rPr>
        <w:t>end</w:t>
      </w:r>
      <w:r w:rsidR="009A0847">
        <w:rPr>
          <w:color w:val="000000" w:themeColor="text1"/>
        </w:rPr>
        <w:t xml:space="preserve"> </w:t>
      </w:r>
      <w:r w:rsidR="00E11012" w:rsidRPr="00323C69">
        <w:rPr>
          <w:color w:val="000000" w:themeColor="text1"/>
        </w:rPr>
        <w:t>up</w:t>
      </w:r>
      <w:r w:rsidR="009A0847">
        <w:rPr>
          <w:color w:val="000000" w:themeColor="text1"/>
        </w:rPr>
        <w:t xml:space="preserve"> </w:t>
      </w:r>
      <w:r w:rsidR="00E11012" w:rsidRPr="00323C69">
        <w:rPr>
          <w:color w:val="000000" w:themeColor="text1"/>
        </w:rPr>
        <w:t>settling</w:t>
      </w:r>
      <w:r w:rsidR="009A0847">
        <w:rPr>
          <w:color w:val="000000" w:themeColor="text1"/>
        </w:rPr>
        <w:t xml:space="preserve"> </w:t>
      </w:r>
      <w:r w:rsidRPr="00323C69">
        <w:rPr>
          <w:color w:val="000000" w:themeColor="text1"/>
        </w:rPr>
        <w:t>on</w:t>
      </w:r>
      <w:r w:rsidR="009A0847">
        <w:rPr>
          <w:color w:val="000000" w:themeColor="text1"/>
        </w:rPr>
        <w:t xml:space="preserve"> </w:t>
      </w:r>
      <w:r w:rsidRPr="00323C69">
        <w:rPr>
          <w:color w:val="000000" w:themeColor="text1"/>
        </w:rPr>
        <w:t>the</w:t>
      </w:r>
      <w:r w:rsidR="009A0847">
        <w:rPr>
          <w:color w:val="000000" w:themeColor="text1"/>
        </w:rPr>
        <w:t xml:space="preserve"> </w:t>
      </w:r>
      <w:r w:rsidRPr="00323C69">
        <w:rPr>
          <w:color w:val="000000" w:themeColor="text1"/>
        </w:rPr>
        <w:t>DW</w:t>
      </w:r>
      <w:r w:rsidR="009A0847">
        <w:rPr>
          <w:color w:val="000000" w:themeColor="text1"/>
        </w:rPr>
        <w:t xml:space="preserve"> </w:t>
      </w:r>
      <w:r w:rsidRPr="00323C69">
        <w:rPr>
          <w:color w:val="000000" w:themeColor="text1"/>
        </w:rPr>
        <w:t>stigma</w:t>
      </w:r>
      <w:r w:rsidR="009A0847">
        <w:rPr>
          <w:color w:val="000000" w:themeColor="text1"/>
        </w:rPr>
        <w:t xml:space="preserve"> </w:t>
      </w:r>
      <w:r w:rsidRPr="00323C69">
        <w:rPr>
          <w:color w:val="000000" w:themeColor="text1"/>
        </w:rPr>
        <w:t>strategy.</w:t>
      </w:r>
      <w:r w:rsidR="009A0847">
        <w:rPr>
          <w:color w:val="000000" w:themeColor="text1"/>
        </w:rPr>
        <w:t xml:space="preserve"> </w:t>
      </w:r>
      <w:r w:rsidRPr="00323C69">
        <w:rPr>
          <w:color w:val="000000" w:themeColor="text1"/>
        </w:rPr>
        <w:t>In</w:t>
      </w:r>
      <w:r w:rsidR="009A0847">
        <w:rPr>
          <w:color w:val="000000" w:themeColor="text1"/>
        </w:rPr>
        <w:t xml:space="preserve"> </w:t>
      </w:r>
      <w:r w:rsidRPr="00323C69">
        <w:rPr>
          <w:color w:val="000000" w:themeColor="text1"/>
        </w:rPr>
        <w:t>fact,</w:t>
      </w:r>
      <w:r w:rsidR="009A0847">
        <w:rPr>
          <w:color w:val="000000" w:themeColor="text1"/>
        </w:rPr>
        <w:t xml:space="preserve"> </w:t>
      </w:r>
      <w:r w:rsidRPr="00323C69">
        <w:rPr>
          <w:color w:val="000000" w:themeColor="text1"/>
        </w:rPr>
        <w:t>we</w:t>
      </w:r>
      <w:r w:rsidR="009A0847">
        <w:rPr>
          <w:color w:val="000000" w:themeColor="text1"/>
        </w:rPr>
        <w:t xml:space="preserve"> </w:t>
      </w:r>
      <w:r w:rsidRPr="00323C69">
        <w:rPr>
          <w:color w:val="000000" w:themeColor="text1"/>
        </w:rPr>
        <w:t>are</w:t>
      </w:r>
      <w:r w:rsidR="009A0847">
        <w:rPr>
          <w:color w:val="000000" w:themeColor="text1"/>
        </w:rPr>
        <w:t xml:space="preserve"> </w:t>
      </w:r>
      <w:r w:rsidRPr="00323C69">
        <w:rPr>
          <w:color w:val="000000" w:themeColor="text1"/>
        </w:rPr>
        <w:t>unable</w:t>
      </w:r>
      <w:r w:rsidR="009A0847">
        <w:rPr>
          <w:color w:val="000000" w:themeColor="text1"/>
        </w:rPr>
        <w:t xml:space="preserve"> </w:t>
      </w:r>
      <w:r w:rsidRPr="00323C69">
        <w:rPr>
          <w:color w:val="000000" w:themeColor="text1"/>
        </w:rPr>
        <w:t>to</w:t>
      </w:r>
      <w:r w:rsidR="009A0847">
        <w:rPr>
          <w:color w:val="000000" w:themeColor="text1"/>
        </w:rPr>
        <w:t xml:space="preserve"> </w:t>
      </w:r>
      <w:r w:rsidRPr="00323C69">
        <w:rPr>
          <w:color w:val="000000" w:themeColor="text1"/>
        </w:rPr>
        <w:t>find</w:t>
      </w:r>
      <w:r w:rsidR="009A0847">
        <w:rPr>
          <w:color w:val="000000" w:themeColor="text1"/>
        </w:rPr>
        <w:t xml:space="preserve"> </w:t>
      </w:r>
      <w:r w:rsidRPr="00323C69">
        <w:rPr>
          <w:color w:val="000000" w:themeColor="text1"/>
        </w:rPr>
        <w:t>a</w:t>
      </w:r>
      <w:r w:rsidR="009A0847">
        <w:rPr>
          <w:color w:val="000000" w:themeColor="text1"/>
        </w:rPr>
        <w:t xml:space="preserve"> </w:t>
      </w:r>
      <w:r w:rsidRPr="00323C69">
        <w:rPr>
          <w:color w:val="000000" w:themeColor="text1"/>
        </w:rPr>
        <w:t>significant</w:t>
      </w:r>
      <w:r w:rsidR="009A0847">
        <w:rPr>
          <w:color w:val="000000" w:themeColor="text1"/>
        </w:rPr>
        <w:t xml:space="preserve"> </w:t>
      </w:r>
      <w:r w:rsidRPr="00323C69">
        <w:rPr>
          <w:color w:val="000000" w:themeColor="text1"/>
        </w:rPr>
        <w:t>difference</w:t>
      </w:r>
      <w:r w:rsidR="009A0847">
        <w:rPr>
          <w:color w:val="000000" w:themeColor="text1"/>
        </w:rPr>
        <w:t xml:space="preserve"> </w:t>
      </w:r>
      <w:r w:rsidRPr="00323C69">
        <w:rPr>
          <w:color w:val="000000" w:themeColor="text1"/>
        </w:rPr>
        <w:t>(at</w:t>
      </w:r>
      <w:r w:rsidR="009A0847">
        <w:rPr>
          <w:color w:val="000000" w:themeColor="text1"/>
        </w:rPr>
        <w:t xml:space="preserve"> </w:t>
      </w:r>
      <w:r w:rsidRPr="00323C69">
        <w:rPr>
          <w:color w:val="000000" w:themeColor="text1"/>
        </w:rPr>
        <w:t>usual</w:t>
      </w:r>
      <w:r w:rsidR="009A0847">
        <w:rPr>
          <w:color w:val="000000" w:themeColor="text1"/>
        </w:rPr>
        <w:t xml:space="preserve"> </w:t>
      </w:r>
      <w:r w:rsidRPr="00323C69">
        <w:rPr>
          <w:color w:val="000000" w:themeColor="text1"/>
        </w:rPr>
        <w:t>significance</w:t>
      </w:r>
      <w:r w:rsidR="009A0847">
        <w:rPr>
          <w:color w:val="000000" w:themeColor="text1"/>
        </w:rPr>
        <w:t xml:space="preserve"> </w:t>
      </w:r>
      <w:r w:rsidRPr="00323C69">
        <w:rPr>
          <w:color w:val="000000" w:themeColor="text1"/>
        </w:rPr>
        <w:t>levels)</w:t>
      </w:r>
      <w:r w:rsidR="009A0847">
        <w:rPr>
          <w:color w:val="000000" w:themeColor="text1"/>
        </w:rPr>
        <w:t xml:space="preserve"> </w:t>
      </w:r>
      <w:r w:rsidRPr="00323C69">
        <w:rPr>
          <w:color w:val="000000" w:themeColor="text1"/>
        </w:rPr>
        <w:t>between</w:t>
      </w:r>
      <w:r w:rsidR="009A0847">
        <w:rPr>
          <w:color w:val="000000" w:themeColor="text1"/>
        </w:rPr>
        <w:t xml:space="preserve"> </w:t>
      </w:r>
      <w:r w:rsidRPr="00323C69">
        <w:rPr>
          <w:color w:val="000000" w:themeColor="text1"/>
        </w:rPr>
        <w:t>choices</w:t>
      </w:r>
      <w:r w:rsidR="009A0847">
        <w:rPr>
          <w:color w:val="000000" w:themeColor="text1"/>
        </w:rPr>
        <w:t xml:space="preserve"> </w:t>
      </w:r>
      <w:r w:rsidRPr="00323C69">
        <w:rPr>
          <w:color w:val="000000" w:themeColor="text1"/>
        </w:rPr>
        <w:t>over</w:t>
      </w:r>
      <w:r w:rsidR="009A0847">
        <w:rPr>
          <w:color w:val="000000" w:themeColor="text1"/>
        </w:rPr>
        <w:t xml:space="preserve"> </w:t>
      </w:r>
      <w:r w:rsidRPr="00323C69">
        <w:rPr>
          <w:color w:val="000000" w:themeColor="text1"/>
        </w:rPr>
        <w:t>the</w:t>
      </w:r>
      <w:r w:rsidR="009A0847">
        <w:rPr>
          <w:color w:val="000000" w:themeColor="text1"/>
        </w:rPr>
        <w:t xml:space="preserve"> </w:t>
      </w:r>
      <w:r w:rsidRPr="00323C69">
        <w:rPr>
          <w:color w:val="000000" w:themeColor="text1"/>
        </w:rPr>
        <w:t>last</w:t>
      </w:r>
      <w:r w:rsidR="009A0847">
        <w:rPr>
          <w:color w:val="000000" w:themeColor="text1"/>
        </w:rPr>
        <w:t xml:space="preserve"> </w:t>
      </w:r>
      <w:r w:rsidRPr="00323C69">
        <w:rPr>
          <w:color w:val="000000" w:themeColor="text1"/>
        </w:rPr>
        <w:t>10</w:t>
      </w:r>
      <w:r w:rsidR="009A0847">
        <w:rPr>
          <w:color w:val="000000" w:themeColor="text1"/>
        </w:rPr>
        <w:t xml:space="preserve"> </w:t>
      </w:r>
      <w:r w:rsidRPr="00323C69">
        <w:rPr>
          <w:color w:val="000000" w:themeColor="text1"/>
        </w:rPr>
        <w:t>rounds</w:t>
      </w:r>
      <w:r w:rsidR="009A0847">
        <w:rPr>
          <w:color w:val="000000" w:themeColor="text1"/>
        </w:rPr>
        <w:t xml:space="preserve"> </w:t>
      </w:r>
      <w:r w:rsidRPr="00323C69">
        <w:rPr>
          <w:color w:val="000000" w:themeColor="text1"/>
        </w:rPr>
        <w:t>in</w:t>
      </w:r>
      <w:r w:rsidR="009A0847">
        <w:rPr>
          <w:color w:val="000000" w:themeColor="text1"/>
        </w:rPr>
        <w:t xml:space="preserve"> </w:t>
      </w:r>
      <w:r w:rsidRPr="00323C69">
        <w:rPr>
          <w:color w:val="000000" w:themeColor="text1"/>
        </w:rPr>
        <w:t>the</w:t>
      </w:r>
      <w:r w:rsidR="009A0847">
        <w:rPr>
          <w:color w:val="000000" w:themeColor="text1"/>
        </w:rPr>
        <w:t xml:space="preserve"> </w:t>
      </w:r>
      <w:r w:rsidRPr="00323C69">
        <w:rPr>
          <w:color w:val="000000" w:themeColor="text1"/>
        </w:rPr>
        <w:t>control</w:t>
      </w:r>
      <w:r w:rsidR="009A0847">
        <w:rPr>
          <w:color w:val="000000" w:themeColor="text1"/>
        </w:rPr>
        <w:t xml:space="preserve"> </w:t>
      </w:r>
      <w:r w:rsidRPr="00323C69">
        <w:rPr>
          <w:color w:val="000000" w:themeColor="text1"/>
        </w:rPr>
        <w:t>and</w:t>
      </w:r>
      <w:r w:rsidR="009A0847">
        <w:rPr>
          <w:color w:val="000000" w:themeColor="text1"/>
        </w:rPr>
        <w:t xml:space="preserve"> </w:t>
      </w:r>
      <w:r w:rsidRPr="00323C69">
        <w:rPr>
          <w:color w:val="000000" w:themeColor="text1"/>
        </w:rPr>
        <w:t>low</w:t>
      </w:r>
      <w:r w:rsidR="009A0847">
        <w:rPr>
          <w:color w:val="000000" w:themeColor="text1"/>
        </w:rPr>
        <w:t xml:space="preserve"> </w:t>
      </w:r>
      <w:r w:rsidRPr="00323C69">
        <w:rPr>
          <w:color w:val="000000" w:themeColor="text1"/>
        </w:rPr>
        <w:t>detection</w:t>
      </w:r>
      <w:r w:rsidR="009A0847">
        <w:rPr>
          <w:color w:val="000000" w:themeColor="text1"/>
        </w:rPr>
        <w:t xml:space="preserve"> </w:t>
      </w:r>
      <w:r w:rsidRPr="00323C69">
        <w:rPr>
          <w:color w:val="000000" w:themeColor="text1"/>
        </w:rPr>
        <w:t>treatments</w:t>
      </w:r>
      <w:r w:rsidR="009A0847">
        <w:rPr>
          <w:color w:val="000000" w:themeColor="text1"/>
        </w:rPr>
        <w:t xml:space="preserve"> </w:t>
      </w:r>
      <w:r w:rsidR="00E11012" w:rsidRPr="00323C69">
        <w:rPr>
          <w:color w:val="000000" w:themeColor="text1"/>
        </w:rPr>
        <w:t>for</w:t>
      </w:r>
      <w:r w:rsidR="009A0847">
        <w:rPr>
          <w:color w:val="000000" w:themeColor="text1"/>
        </w:rPr>
        <w:t xml:space="preserve"> </w:t>
      </w:r>
      <w:r w:rsidR="00E11012" w:rsidRPr="00B969C1">
        <w:rPr>
          <w:color w:val="000000" w:themeColor="text1"/>
        </w:rPr>
        <w:t>banks</w:t>
      </w:r>
      <w:r w:rsidR="009A0847">
        <w:rPr>
          <w:color w:val="000000" w:themeColor="text1"/>
        </w:rPr>
        <w:t xml:space="preserve"> </w:t>
      </w:r>
      <w:r w:rsidR="00E11012" w:rsidRPr="00B969C1">
        <w:rPr>
          <w:color w:val="000000" w:themeColor="text1"/>
        </w:rPr>
        <w:t>and</w:t>
      </w:r>
      <w:r w:rsidR="009A0847">
        <w:rPr>
          <w:color w:val="000000" w:themeColor="text1"/>
        </w:rPr>
        <w:t xml:space="preserve"> </w:t>
      </w:r>
      <w:r w:rsidR="00E11012" w:rsidRPr="00B969C1">
        <w:rPr>
          <w:color w:val="000000" w:themeColor="text1"/>
        </w:rPr>
        <w:t>investors</w:t>
      </w:r>
      <w:r w:rsidRPr="00B969C1">
        <w:rPr>
          <w:color w:val="000000" w:themeColor="text1"/>
        </w:rPr>
        <w:t>.</w:t>
      </w:r>
      <w:r w:rsidR="009A0847">
        <w:rPr>
          <w:color w:val="000000" w:themeColor="text1"/>
        </w:rPr>
        <w:t xml:space="preserve"> </w:t>
      </w:r>
    </w:p>
    <w:p w14:paraId="1238F220" w14:textId="77777777" w:rsidR="009373B1" w:rsidRPr="00107B69" w:rsidRDefault="009373B1" w:rsidP="001F347A">
      <w:pPr>
        <w:pStyle w:val="Olivier1"/>
        <w:spacing w:after="0" w:line="240" w:lineRule="auto"/>
        <w:ind w:left="90"/>
        <w:rPr>
          <w:color w:val="FF0000"/>
          <w:sz w:val="8"/>
          <w:szCs w:val="8"/>
        </w:rPr>
      </w:pPr>
    </w:p>
    <w:p w14:paraId="2DAD782A" w14:textId="6B4C59F9" w:rsidR="009373B1" w:rsidRDefault="009373B1" w:rsidP="001F34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0"/>
        <w:jc w:val="center"/>
        <w:rPr>
          <w:b/>
          <w:u w:val="single"/>
        </w:rPr>
      </w:pPr>
      <w:r w:rsidRPr="00473F8A">
        <w:rPr>
          <w:b/>
          <w:color w:val="000000" w:themeColor="text1"/>
          <w:u w:val="single"/>
        </w:rPr>
        <w:t>Figure</w:t>
      </w:r>
      <w:r w:rsidR="009A0847" w:rsidRPr="00473F8A">
        <w:rPr>
          <w:b/>
          <w:color w:val="000000" w:themeColor="text1"/>
          <w:u w:val="single"/>
        </w:rPr>
        <w:t xml:space="preserve"> </w:t>
      </w:r>
      <w:r w:rsidRPr="00473F8A">
        <w:rPr>
          <w:b/>
          <w:color w:val="000000" w:themeColor="text1"/>
          <w:u w:val="single"/>
        </w:rPr>
        <w:t>4:</w:t>
      </w:r>
      <w:r w:rsidR="009A0847" w:rsidRPr="00473F8A">
        <w:rPr>
          <w:b/>
          <w:color w:val="000000" w:themeColor="text1"/>
          <w:u w:val="single"/>
        </w:rPr>
        <w:t xml:space="preserve"> </w:t>
      </w:r>
      <w:r w:rsidRPr="00473F8A">
        <w:rPr>
          <w:b/>
          <w:color w:val="000000" w:themeColor="text1"/>
          <w:u w:val="single"/>
        </w:rPr>
        <w:t>Low</w:t>
      </w:r>
      <w:r w:rsidR="009A0847" w:rsidRPr="00473F8A">
        <w:rPr>
          <w:b/>
          <w:color w:val="000000" w:themeColor="text1"/>
          <w:u w:val="single"/>
        </w:rPr>
        <w:t xml:space="preserve"> </w:t>
      </w:r>
      <w:r w:rsidRPr="00473F8A">
        <w:rPr>
          <w:b/>
          <w:color w:val="000000" w:themeColor="text1"/>
          <w:u w:val="single"/>
        </w:rPr>
        <w:t>Detection</w:t>
      </w:r>
      <w:r w:rsidR="009A0847" w:rsidRPr="00473F8A">
        <w:rPr>
          <w:b/>
          <w:color w:val="000000" w:themeColor="text1"/>
          <w:u w:val="single"/>
        </w:rPr>
        <w:t xml:space="preserve"> </w:t>
      </w:r>
      <w:r w:rsidRPr="00473F8A">
        <w:rPr>
          <w:b/>
          <w:color w:val="000000" w:themeColor="text1"/>
          <w:u w:val="single"/>
        </w:rPr>
        <w:t>Treatment</w:t>
      </w:r>
      <w:r w:rsidRPr="00E23E2F">
        <w:rPr>
          <w:sz w:val="20"/>
          <w:szCs w:val="20"/>
          <w:vertAlign w:val="superscript"/>
        </w:rPr>
        <w:t>*</w:t>
      </w:r>
    </w:p>
    <w:p w14:paraId="72E7A21F" w14:textId="77777777" w:rsidR="009373B1" w:rsidRPr="00562DD9" w:rsidRDefault="009373B1" w:rsidP="001F34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0"/>
        <w:rPr>
          <w:b/>
          <w:sz w:val="4"/>
          <w:szCs w:val="4"/>
          <w:u w:val="single"/>
        </w:rPr>
      </w:pPr>
    </w:p>
    <w:p w14:paraId="3B436850" w14:textId="034F5F47" w:rsidR="009373B1" w:rsidRPr="00D927CE" w:rsidRDefault="009373B1" w:rsidP="001F34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0"/>
        <w:rPr>
          <w:color w:val="FFFF00"/>
          <w:sz w:val="2"/>
          <w:szCs w:val="2"/>
        </w:rPr>
      </w:pPr>
      <w:r>
        <w:rPr>
          <w:noProof/>
        </w:rPr>
        <w:drawing>
          <wp:inline distT="0" distB="0" distL="0" distR="0" wp14:anchorId="04BF6BD6" wp14:editId="1381345B">
            <wp:extent cx="2971800" cy="2470785"/>
            <wp:effectExtent l="0" t="0" r="25400" b="18415"/>
            <wp:docPr id="15" name="Chart 15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C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="009A0847">
        <w:rPr>
          <w:noProof/>
          <w:sz w:val="12"/>
          <w:szCs w:val="12"/>
        </w:rPr>
        <w:t xml:space="preserve"> </w:t>
      </w:r>
      <w:r>
        <w:rPr>
          <w:noProof/>
        </w:rPr>
        <w:drawing>
          <wp:inline distT="0" distB="0" distL="0" distR="0" wp14:anchorId="038CEB3D" wp14:editId="03F9DD63">
            <wp:extent cx="2971800" cy="2473085"/>
            <wp:effectExtent l="0" t="0" r="25400" b="16510"/>
            <wp:docPr id="16" name="Chart 16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1E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24059204" w14:textId="2FEB5B65" w:rsidR="009373B1" w:rsidRPr="00F636C6" w:rsidRDefault="009373B1" w:rsidP="001F34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" w:line="120" w:lineRule="exact"/>
        <w:ind w:left="90"/>
        <w:rPr>
          <w:sz w:val="16"/>
          <w:szCs w:val="16"/>
        </w:rPr>
      </w:pPr>
      <w:r w:rsidRPr="008F4D7F">
        <w:rPr>
          <w:sz w:val="14"/>
          <w:szCs w:val="14"/>
          <w:vertAlign w:val="superscript"/>
        </w:rPr>
        <w:t>*</w:t>
      </w:r>
      <w:r>
        <w:rPr>
          <w:sz w:val="16"/>
          <w:szCs w:val="16"/>
        </w:rPr>
        <w:t>Average</w:t>
      </w:r>
      <w:r w:rsidR="009A0847">
        <w:rPr>
          <w:sz w:val="16"/>
          <w:szCs w:val="16"/>
        </w:rPr>
        <w:t xml:space="preserve"> </w:t>
      </w:r>
      <w:r>
        <w:rPr>
          <w:sz w:val="16"/>
          <w:szCs w:val="16"/>
        </w:rPr>
        <w:t>across</w:t>
      </w:r>
      <w:r w:rsidR="009A0847">
        <w:rPr>
          <w:sz w:val="16"/>
          <w:szCs w:val="16"/>
        </w:rPr>
        <w:t xml:space="preserve"> </w:t>
      </w:r>
      <w:r>
        <w:rPr>
          <w:sz w:val="16"/>
          <w:szCs w:val="16"/>
        </w:rPr>
        <w:t>6</w:t>
      </w:r>
      <w:r w:rsidR="009A0847">
        <w:rPr>
          <w:sz w:val="16"/>
          <w:szCs w:val="16"/>
        </w:rPr>
        <w:t xml:space="preserve"> </w:t>
      </w:r>
      <w:r>
        <w:rPr>
          <w:sz w:val="16"/>
          <w:szCs w:val="16"/>
        </w:rPr>
        <w:t>sessions</w:t>
      </w:r>
    </w:p>
    <w:p w14:paraId="79F49B76" w14:textId="77777777" w:rsidR="009373B1" w:rsidRPr="00107B69" w:rsidRDefault="009373B1" w:rsidP="009373B1">
      <w:pPr>
        <w:pStyle w:val="Olivier1"/>
        <w:spacing w:after="0" w:line="240" w:lineRule="auto"/>
        <w:rPr>
          <w:color w:val="FF0000"/>
          <w:sz w:val="8"/>
          <w:szCs w:val="8"/>
        </w:rPr>
      </w:pPr>
    </w:p>
    <w:p w14:paraId="457A326E" w14:textId="3DAB79AA" w:rsidR="009373B1" w:rsidRPr="00323C69" w:rsidRDefault="008D1245" w:rsidP="00F86E09">
      <w:pPr>
        <w:pStyle w:val="Olivier1"/>
        <w:widowControl w:val="0"/>
        <w:rPr>
          <w:color w:val="000000" w:themeColor="text1"/>
        </w:rPr>
      </w:pPr>
      <w:r>
        <w:rPr>
          <w:color w:val="000000" w:themeColor="text1"/>
        </w:rPr>
        <w:t>These</w:t>
      </w:r>
      <w:r w:rsidR="009A0847">
        <w:rPr>
          <w:color w:val="000000" w:themeColor="text1"/>
        </w:rPr>
        <w:t xml:space="preserve"> </w:t>
      </w:r>
      <w:r>
        <w:rPr>
          <w:color w:val="000000" w:themeColor="text1"/>
        </w:rPr>
        <w:t>r</w:t>
      </w:r>
      <w:r w:rsidR="00E11012" w:rsidRPr="00323C69">
        <w:rPr>
          <w:color w:val="000000" w:themeColor="text1"/>
        </w:rPr>
        <w:t>esult</w:t>
      </w:r>
      <w:r>
        <w:rPr>
          <w:color w:val="000000" w:themeColor="text1"/>
        </w:rPr>
        <w:t>s</w:t>
      </w:r>
      <w:r w:rsidR="009A0847">
        <w:rPr>
          <w:color w:val="000000" w:themeColor="text1"/>
        </w:rPr>
        <w:t xml:space="preserve"> </w:t>
      </w:r>
      <w:r>
        <w:rPr>
          <w:color w:val="000000" w:themeColor="text1"/>
        </w:rPr>
        <w:t>provide</w:t>
      </w:r>
      <w:r w:rsidR="009A0847">
        <w:rPr>
          <w:color w:val="000000" w:themeColor="text1"/>
        </w:rPr>
        <w:t xml:space="preserve"> </w:t>
      </w:r>
      <w:r w:rsidR="00E11012" w:rsidRPr="00323C69">
        <w:rPr>
          <w:color w:val="000000" w:themeColor="text1"/>
        </w:rPr>
        <w:t>some</w:t>
      </w:r>
      <w:r w:rsidR="009A0847">
        <w:rPr>
          <w:color w:val="000000" w:themeColor="text1"/>
        </w:rPr>
        <w:t xml:space="preserve"> </w:t>
      </w:r>
      <w:r w:rsidR="00E11012" w:rsidRPr="00323C69">
        <w:rPr>
          <w:color w:val="000000" w:themeColor="text1"/>
        </w:rPr>
        <w:t>insights</w:t>
      </w:r>
      <w:r w:rsidR="009A0847">
        <w:rPr>
          <w:color w:val="000000" w:themeColor="text1"/>
        </w:rPr>
        <w:t xml:space="preserve"> </w:t>
      </w:r>
      <w:r w:rsidR="00E11012" w:rsidRPr="00323C69">
        <w:rPr>
          <w:color w:val="000000" w:themeColor="text1"/>
        </w:rPr>
        <w:t>into</w:t>
      </w:r>
      <w:r w:rsidR="009A0847">
        <w:rPr>
          <w:color w:val="000000" w:themeColor="text1"/>
        </w:rPr>
        <w:t xml:space="preserve"> </w:t>
      </w:r>
      <w:r w:rsidR="001F347A">
        <w:rPr>
          <w:color w:val="000000" w:themeColor="text1"/>
        </w:rPr>
        <w:t>how</w:t>
      </w:r>
      <w:r w:rsidR="009A0847">
        <w:rPr>
          <w:color w:val="000000" w:themeColor="text1"/>
        </w:rPr>
        <w:t xml:space="preserve"> </w:t>
      </w:r>
      <w:r w:rsidR="00DD02A5" w:rsidRPr="00323C69">
        <w:rPr>
          <w:color w:val="000000" w:themeColor="text1"/>
        </w:rPr>
        <w:t>random</w:t>
      </w:r>
      <w:r w:rsidR="009A0847">
        <w:rPr>
          <w:color w:val="000000" w:themeColor="text1"/>
        </w:rPr>
        <w:t xml:space="preserve"> </w:t>
      </w:r>
      <w:r w:rsidR="00DD02A5" w:rsidRPr="00323C69">
        <w:rPr>
          <w:color w:val="000000" w:themeColor="text1"/>
        </w:rPr>
        <w:t>borrowing</w:t>
      </w:r>
      <w:r w:rsidR="009A0847">
        <w:rPr>
          <w:color w:val="000000" w:themeColor="text1"/>
        </w:rPr>
        <w:t xml:space="preserve"> </w:t>
      </w:r>
      <w:r w:rsidR="001F347A">
        <w:rPr>
          <w:color w:val="000000" w:themeColor="text1"/>
        </w:rPr>
        <w:t>helped overcome</w:t>
      </w:r>
      <w:r w:rsidR="009A0847">
        <w:rPr>
          <w:color w:val="000000" w:themeColor="text1"/>
        </w:rPr>
        <w:t xml:space="preserve"> </w:t>
      </w:r>
      <w:r w:rsidR="00DD02A5" w:rsidRPr="00323C69">
        <w:rPr>
          <w:color w:val="000000" w:themeColor="text1"/>
        </w:rPr>
        <w:t>DW</w:t>
      </w:r>
      <w:r w:rsidR="009A0847">
        <w:rPr>
          <w:color w:val="000000" w:themeColor="text1"/>
        </w:rPr>
        <w:t xml:space="preserve"> </w:t>
      </w:r>
      <w:r w:rsidR="00DD02A5" w:rsidRPr="00323C69">
        <w:rPr>
          <w:color w:val="000000" w:themeColor="text1"/>
        </w:rPr>
        <w:t>stigma.</w:t>
      </w:r>
      <w:r w:rsidR="009A0847">
        <w:rPr>
          <w:color w:val="000000" w:themeColor="text1"/>
        </w:rPr>
        <w:t xml:space="preserve"> </w:t>
      </w:r>
      <w:r w:rsidR="00E11012" w:rsidRPr="00323C69">
        <w:rPr>
          <w:color w:val="000000" w:themeColor="text1"/>
        </w:rPr>
        <w:t>There</w:t>
      </w:r>
      <w:r w:rsidR="009A0847">
        <w:rPr>
          <w:color w:val="000000" w:themeColor="text1"/>
        </w:rPr>
        <w:t xml:space="preserve"> </w:t>
      </w:r>
      <w:r w:rsidR="00E11012" w:rsidRPr="00323C69">
        <w:rPr>
          <w:color w:val="000000" w:themeColor="text1"/>
        </w:rPr>
        <w:t>are</w:t>
      </w:r>
      <w:r w:rsidR="009A0847">
        <w:rPr>
          <w:color w:val="000000" w:themeColor="text1"/>
        </w:rPr>
        <w:t xml:space="preserve"> </w:t>
      </w:r>
      <w:r w:rsidR="00E11012" w:rsidRPr="00323C69">
        <w:rPr>
          <w:color w:val="000000" w:themeColor="text1"/>
        </w:rPr>
        <w:t>two</w:t>
      </w:r>
      <w:r w:rsidR="009A0847">
        <w:rPr>
          <w:color w:val="000000" w:themeColor="text1"/>
        </w:rPr>
        <w:t xml:space="preserve"> </w:t>
      </w:r>
      <w:r w:rsidR="00E11012" w:rsidRPr="00323C69">
        <w:rPr>
          <w:color w:val="000000" w:themeColor="text1"/>
        </w:rPr>
        <w:t>possible</w:t>
      </w:r>
      <w:r w:rsidR="009A0847">
        <w:rPr>
          <w:color w:val="000000" w:themeColor="text1"/>
        </w:rPr>
        <w:t xml:space="preserve"> </w:t>
      </w:r>
      <w:r w:rsidR="00E11012" w:rsidRPr="00323C69">
        <w:rPr>
          <w:color w:val="000000" w:themeColor="text1"/>
        </w:rPr>
        <w:t>hypotheses</w:t>
      </w:r>
      <w:r w:rsidR="009A0847">
        <w:rPr>
          <w:color w:val="000000" w:themeColor="text1"/>
        </w:rPr>
        <w:t xml:space="preserve"> </w:t>
      </w:r>
      <w:r>
        <w:rPr>
          <w:color w:val="000000" w:themeColor="text1"/>
        </w:rPr>
        <w:t>to</w:t>
      </w:r>
      <w:r w:rsidR="009A0847">
        <w:rPr>
          <w:color w:val="000000" w:themeColor="text1"/>
        </w:rPr>
        <w:t xml:space="preserve"> </w:t>
      </w:r>
      <w:r>
        <w:rPr>
          <w:color w:val="000000" w:themeColor="text1"/>
        </w:rPr>
        <w:t>explain</w:t>
      </w:r>
      <w:r w:rsidR="009A0847">
        <w:rPr>
          <w:color w:val="000000" w:themeColor="text1"/>
        </w:rPr>
        <w:t xml:space="preserve"> </w:t>
      </w:r>
      <w:r>
        <w:rPr>
          <w:color w:val="000000" w:themeColor="text1"/>
        </w:rPr>
        <w:t>why</w:t>
      </w:r>
      <w:r w:rsidR="009A0847">
        <w:rPr>
          <w:color w:val="000000" w:themeColor="text1"/>
        </w:rPr>
        <w:t xml:space="preserve"> </w:t>
      </w:r>
      <w:r>
        <w:rPr>
          <w:color w:val="000000" w:themeColor="text1"/>
        </w:rPr>
        <w:t>subjects</w:t>
      </w:r>
      <w:r w:rsidR="009A0847">
        <w:rPr>
          <w:color w:val="000000" w:themeColor="text1"/>
        </w:rPr>
        <w:t xml:space="preserve"> </w:t>
      </w:r>
      <w:r>
        <w:rPr>
          <w:color w:val="000000" w:themeColor="text1"/>
        </w:rPr>
        <w:t>were</w:t>
      </w:r>
      <w:r w:rsidR="009A0847">
        <w:rPr>
          <w:color w:val="000000" w:themeColor="text1"/>
        </w:rPr>
        <w:t xml:space="preserve"> </w:t>
      </w:r>
      <w:r>
        <w:rPr>
          <w:color w:val="000000" w:themeColor="text1"/>
        </w:rPr>
        <w:t>able</w:t>
      </w:r>
      <w:r w:rsidR="009A0847">
        <w:rPr>
          <w:color w:val="000000" w:themeColor="text1"/>
        </w:rPr>
        <w:t xml:space="preserve"> </w:t>
      </w:r>
      <w:r>
        <w:rPr>
          <w:color w:val="000000" w:themeColor="text1"/>
        </w:rPr>
        <w:t>to</w:t>
      </w:r>
      <w:r w:rsidR="009A0847">
        <w:rPr>
          <w:color w:val="000000" w:themeColor="text1"/>
        </w:rPr>
        <w:t xml:space="preserve"> </w:t>
      </w:r>
      <w:r>
        <w:rPr>
          <w:color w:val="000000" w:themeColor="text1"/>
        </w:rPr>
        <w:t>coordinate</w:t>
      </w:r>
      <w:r w:rsidR="009A0847">
        <w:rPr>
          <w:color w:val="000000" w:themeColor="text1"/>
        </w:rPr>
        <w:t xml:space="preserve"> </w:t>
      </w:r>
      <w:r>
        <w:rPr>
          <w:color w:val="000000" w:themeColor="text1"/>
        </w:rPr>
        <w:t>on</w:t>
      </w:r>
      <w:r w:rsidR="009A0847">
        <w:rPr>
          <w:color w:val="000000" w:themeColor="text1"/>
        </w:rPr>
        <w:t xml:space="preserve"> </w:t>
      </w:r>
      <w:r>
        <w:rPr>
          <w:color w:val="000000" w:themeColor="text1"/>
        </w:rPr>
        <w:t>the</w:t>
      </w:r>
      <w:r w:rsidR="009A0847">
        <w:rPr>
          <w:color w:val="000000" w:themeColor="text1"/>
        </w:rPr>
        <w:t xml:space="preserve"> </w:t>
      </w:r>
      <w:r>
        <w:rPr>
          <w:color w:val="000000" w:themeColor="text1"/>
        </w:rPr>
        <w:t>stigma-free</w:t>
      </w:r>
      <w:r w:rsidR="009A0847">
        <w:rPr>
          <w:color w:val="000000" w:themeColor="text1"/>
        </w:rPr>
        <w:t xml:space="preserve"> </w:t>
      </w:r>
      <w:r>
        <w:rPr>
          <w:color w:val="000000" w:themeColor="text1"/>
        </w:rPr>
        <w:t>equilibrium</w:t>
      </w:r>
      <w:r w:rsidR="00E11012" w:rsidRPr="00323C69">
        <w:rPr>
          <w:color w:val="000000" w:themeColor="text1"/>
        </w:rPr>
        <w:t>:</w:t>
      </w:r>
      <w:r w:rsidR="009A0847">
        <w:rPr>
          <w:color w:val="000000" w:themeColor="text1"/>
        </w:rPr>
        <w:t xml:space="preserve"> </w:t>
      </w:r>
      <w:r w:rsidR="00E11012" w:rsidRPr="00323C69">
        <w:rPr>
          <w:color w:val="000000" w:themeColor="text1"/>
        </w:rPr>
        <w:t>a</w:t>
      </w:r>
      <w:r w:rsidR="009A0847">
        <w:rPr>
          <w:color w:val="000000" w:themeColor="text1"/>
        </w:rPr>
        <w:t xml:space="preserve"> </w:t>
      </w:r>
      <w:r w:rsidR="00E11012" w:rsidRPr="00323C69">
        <w:rPr>
          <w:color w:val="000000" w:themeColor="text1"/>
        </w:rPr>
        <w:t>lower</w:t>
      </w:r>
      <w:r w:rsidR="009A0847">
        <w:rPr>
          <w:color w:val="000000" w:themeColor="text1"/>
        </w:rPr>
        <w:t xml:space="preserve"> </w:t>
      </w:r>
      <w:r w:rsidR="00E11012" w:rsidRPr="00323C69">
        <w:rPr>
          <w:color w:val="000000" w:themeColor="text1"/>
        </w:rPr>
        <w:t>detection</w:t>
      </w:r>
      <w:r w:rsidR="009A0847">
        <w:rPr>
          <w:color w:val="000000" w:themeColor="text1"/>
        </w:rPr>
        <w:t xml:space="preserve"> </w:t>
      </w:r>
      <w:r w:rsidR="00E11012" w:rsidRPr="00323C69">
        <w:rPr>
          <w:color w:val="000000" w:themeColor="text1"/>
        </w:rPr>
        <w:t>probability</w:t>
      </w:r>
      <w:r w:rsidR="009A0847">
        <w:rPr>
          <w:color w:val="000000" w:themeColor="text1"/>
        </w:rPr>
        <w:t xml:space="preserve"> </w:t>
      </w:r>
      <w:r w:rsidR="00E11012" w:rsidRPr="00323C69">
        <w:rPr>
          <w:color w:val="000000" w:themeColor="text1"/>
        </w:rPr>
        <w:t>and</w:t>
      </w:r>
      <w:r w:rsidR="009A0847">
        <w:rPr>
          <w:color w:val="000000" w:themeColor="text1"/>
        </w:rPr>
        <w:t xml:space="preserve"> </w:t>
      </w:r>
      <w:r w:rsidR="00E11012" w:rsidRPr="00323C69">
        <w:rPr>
          <w:color w:val="000000" w:themeColor="text1"/>
        </w:rPr>
        <w:t>involuntary</w:t>
      </w:r>
      <w:r w:rsidR="009A0847">
        <w:rPr>
          <w:color w:val="000000" w:themeColor="text1"/>
        </w:rPr>
        <w:t xml:space="preserve"> </w:t>
      </w:r>
      <w:r w:rsidR="00E11012" w:rsidRPr="00323C69">
        <w:rPr>
          <w:color w:val="000000" w:themeColor="text1"/>
        </w:rPr>
        <w:t>DW</w:t>
      </w:r>
      <w:r w:rsidR="009A0847">
        <w:rPr>
          <w:color w:val="000000" w:themeColor="text1"/>
        </w:rPr>
        <w:t xml:space="preserve"> </w:t>
      </w:r>
      <w:r w:rsidR="00E11012" w:rsidRPr="00323C69">
        <w:rPr>
          <w:color w:val="000000" w:themeColor="text1"/>
        </w:rPr>
        <w:t>experience.</w:t>
      </w:r>
      <w:r w:rsidR="009A0847">
        <w:rPr>
          <w:color w:val="000000" w:themeColor="text1"/>
        </w:rPr>
        <w:t xml:space="preserve"> </w:t>
      </w:r>
      <w:r w:rsidR="00E11012" w:rsidRPr="00323C69">
        <w:rPr>
          <w:color w:val="000000" w:themeColor="text1"/>
        </w:rPr>
        <w:t>Under</w:t>
      </w:r>
      <w:r w:rsidR="009A0847">
        <w:rPr>
          <w:color w:val="000000" w:themeColor="text1"/>
        </w:rPr>
        <w:t xml:space="preserve"> </w:t>
      </w:r>
      <w:r w:rsidR="00E11012" w:rsidRPr="00323C69">
        <w:rPr>
          <w:color w:val="000000" w:themeColor="text1"/>
        </w:rPr>
        <w:t>the</w:t>
      </w:r>
      <w:r w:rsidR="009A0847">
        <w:rPr>
          <w:color w:val="000000" w:themeColor="text1"/>
        </w:rPr>
        <w:t xml:space="preserve"> </w:t>
      </w:r>
      <w:r w:rsidR="00E11012" w:rsidRPr="00323C69">
        <w:rPr>
          <w:i/>
          <w:color w:val="000000" w:themeColor="text1"/>
        </w:rPr>
        <w:t>detection</w:t>
      </w:r>
      <w:r w:rsidR="009A0847">
        <w:rPr>
          <w:color w:val="000000" w:themeColor="text1"/>
        </w:rPr>
        <w:t xml:space="preserve"> </w:t>
      </w:r>
      <w:r w:rsidR="00E11012" w:rsidRPr="00323C69">
        <w:rPr>
          <w:color w:val="000000" w:themeColor="text1"/>
        </w:rPr>
        <w:t>hypothesis,</w:t>
      </w:r>
      <w:r w:rsidR="009A0847">
        <w:rPr>
          <w:color w:val="000000" w:themeColor="text1"/>
        </w:rPr>
        <w:t xml:space="preserve"> </w:t>
      </w:r>
      <w:r w:rsidR="00E11012" w:rsidRPr="00323C69">
        <w:rPr>
          <w:color w:val="000000" w:themeColor="text1"/>
        </w:rPr>
        <w:t>banks</w:t>
      </w:r>
      <w:r w:rsidR="009A0847">
        <w:rPr>
          <w:color w:val="000000" w:themeColor="text1"/>
        </w:rPr>
        <w:t xml:space="preserve"> </w:t>
      </w:r>
      <w:r w:rsidR="00E11012" w:rsidRPr="00323C69">
        <w:rPr>
          <w:color w:val="000000" w:themeColor="text1"/>
        </w:rPr>
        <w:t>find</w:t>
      </w:r>
      <w:r w:rsidR="009A0847">
        <w:rPr>
          <w:color w:val="000000" w:themeColor="text1"/>
        </w:rPr>
        <w:t xml:space="preserve"> </w:t>
      </w:r>
      <w:r w:rsidR="00E11012" w:rsidRPr="00323C69">
        <w:rPr>
          <w:color w:val="000000" w:themeColor="text1"/>
        </w:rPr>
        <w:t>it</w:t>
      </w:r>
      <w:r w:rsidR="009A0847">
        <w:rPr>
          <w:color w:val="000000" w:themeColor="text1"/>
        </w:rPr>
        <w:t xml:space="preserve"> </w:t>
      </w:r>
      <w:r w:rsidR="00E11012" w:rsidRPr="00323C69">
        <w:rPr>
          <w:color w:val="000000" w:themeColor="text1"/>
        </w:rPr>
        <w:t>easier</w:t>
      </w:r>
      <w:r w:rsidR="009A0847">
        <w:rPr>
          <w:color w:val="000000" w:themeColor="text1"/>
        </w:rPr>
        <w:t xml:space="preserve"> </w:t>
      </w:r>
      <w:r w:rsidR="00E11012" w:rsidRPr="00323C69">
        <w:rPr>
          <w:color w:val="000000" w:themeColor="text1"/>
        </w:rPr>
        <w:t>to</w:t>
      </w:r>
      <w:r w:rsidR="009A0847">
        <w:rPr>
          <w:color w:val="000000" w:themeColor="text1"/>
        </w:rPr>
        <w:t xml:space="preserve"> </w:t>
      </w:r>
      <w:r w:rsidR="00E11012" w:rsidRPr="00323C69">
        <w:rPr>
          <w:color w:val="000000" w:themeColor="text1"/>
        </w:rPr>
        <w:t>coordinate</w:t>
      </w:r>
      <w:r w:rsidR="009A0847">
        <w:rPr>
          <w:color w:val="000000" w:themeColor="text1"/>
        </w:rPr>
        <w:t xml:space="preserve"> </w:t>
      </w:r>
      <w:r w:rsidR="00E11012" w:rsidRPr="00323C69">
        <w:rPr>
          <w:color w:val="000000" w:themeColor="text1"/>
        </w:rPr>
        <w:t>on</w:t>
      </w:r>
      <w:r w:rsidR="009A0847">
        <w:rPr>
          <w:color w:val="000000" w:themeColor="text1"/>
        </w:rPr>
        <w:t xml:space="preserve"> </w:t>
      </w:r>
      <w:r w:rsidR="00E11012" w:rsidRPr="00323C69">
        <w:rPr>
          <w:color w:val="000000" w:themeColor="text1"/>
        </w:rPr>
        <w:t>DW</w:t>
      </w:r>
      <w:r w:rsidR="009A0847">
        <w:rPr>
          <w:color w:val="000000" w:themeColor="text1"/>
        </w:rPr>
        <w:t xml:space="preserve"> </w:t>
      </w:r>
      <w:r w:rsidR="00E11012" w:rsidRPr="00323C69">
        <w:rPr>
          <w:color w:val="000000" w:themeColor="text1"/>
        </w:rPr>
        <w:t>borrowing</w:t>
      </w:r>
      <w:r w:rsidR="009A0847">
        <w:rPr>
          <w:color w:val="000000" w:themeColor="text1"/>
        </w:rPr>
        <w:t xml:space="preserve"> </w:t>
      </w:r>
      <w:r w:rsidR="00E11012" w:rsidRPr="00323C69">
        <w:rPr>
          <w:color w:val="000000" w:themeColor="text1"/>
        </w:rPr>
        <w:t>because</w:t>
      </w:r>
      <w:r w:rsidR="009A0847">
        <w:rPr>
          <w:color w:val="000000" w:themeColor="text1"/>
        </w:rPr>
        <w:t xml:space="preserve"> </w:t>
      </w:r>
      <w:r w:rsidR="00E11012" w:rsidRPr="00323C69">
        <w:rPr>
          <w:color w:val="000000" w:themeColor="text1"/>
        </w:rPr>
        <w:t>the</w:t>
      </w:r>
      <w:r w:rsidR="009A0847">
        <w:rPr>
          <w:color w:val="000000" w:themeColor="text1"/>
        </w:rPr>
        <w:t xml:space="preserve"> </w:t>
      </w:r>
      <w:r w:rsidR="00E11012" w:rsidRPr="00323C69">
        <w:rPr>
          <w:color w:val="000000" w:themeColor="text1"/>
        </w:rPr>
        <w:t>endogenous</w:t>
      </w:r>
      <w:r w:rsidR="009A0847">
        <w:rPr>
          <w:color w:val="000000" w:themeColor="text1"/>
        </w:rPr>
        <w:t xml:space="preserve"> </w:t>
      </w:r>
      <w:r w:rsidR="00E11012" w:rsidRPr="00323C69">
        <w:rPr>
          <w:color w:val="000000" w:themeColor="text1"/>
        </w:rPr>
        <w:t>detection</w:t>
      </w:r>
      <w:r w:rsidR="009A0847">
        <w:rPr>
          <w:color w:val="000000" w:themeColor="text1"/>
        </w:rPr>
        <w:t xml:space="preserve"> </w:t>
      </w:r>
      <w:r w:rsidR="00E11012" w:rsidRPr="00323C69">
        <w:rPr>
          <w:color w:val="000000" w:themeColor="text1"/>
        </w:rPr>
        <w:t>probabilities</w:t>
      </w:r>
      <w:r w:rsidR="009A0847">
        <w:rPr>
          <w:color w:val="000000" w:themeColor="text1"/>
        </w:rPr>
        <w:t xml:space="preserve"> </w:t>
      </w:r>
      <w:r w:rsidR="00E11012" w:rsidRPr="00323C69">
        <w:rPr>
          <w:color w:val="000000" w:themeColor="text1"/>
        </w:rPr>
        <w:t>are</w:t>
      </w:r>
      <w:r w:rsidR="009A0847">
        <w:rPr>
          <w:color w:val="000000" w:themeColor="text1"/>
        </w:rPr>
        <w:t xml:space="preserve"> </w:t>
      </w:r>
      <w:r w:rsidR="00E11012" w:rsidRPr="00323C69">
        <w:rPr>
          <w:color w:val="000000" w:themeColor="text1"/>
        </w:rPr>
        <w:t>lower</w:t>
      </w:r>
      <w:r w:rsidR="009A0847">
        <w:rPr>
          <w:color w:val="000000" w:themeColor="text1"/>
        </w:rPr>
        <w:t xml:space="preserve"> </w:t>
      </w:r>
      <w:r>
        <w:rPr>
          <w:color w:val="000000" w:themeColor="text1"/>
        </w:rPr>
        <w:t>for</w:t>
      </w:r>
      <w:r w:rsidR="009A0847">
        <w:rPr>
          <w:color w:val="000000" w:themeColor="text1"/>
        </w:rPr>
        <w:t xml:space="preserve"> </w:t>
      </w:r>
      <w:r>
        <w:rPr>
          <w:color w:val="000000" w:themeColor="text1"/>
        </w:rPr>
        <w:t>voluntary</w:t>
      </w:r>
      <w:r w:rsidR="009A0847">
        <w:rPr>
          <w:color w:val="000000" w:themeColor="text1"/>
        </w:rPr>
        <w:t xml:space="preserve"> </w:t>
      </w:r>
      <w:r>
        <w:rPr>
          <w:color w:val="000000" w:themeColor="text1"/>
        </w:rPr>
        <w:t>borrowers</w:t>
      </w:r>
      <w:r w:rsidR="00FA6A09" w:rsidRPr="00323C69">
        <w:rPr>
          <w:color w:val="000000" w:themeColor="text1"/>
        </w:rPr>
        <w:t>.</w:t>
      </w:r>
      <w:r w:rsidR="009A0847">
        <w:rPr>
          <w:color w:val="000000" w:themeColor="text1"/>
        </w:rPr>
        <w:t xml:space="preserve"> </w:t>
      </w:r>
      <w:r w:rsidR="00E11012" w:rsidRPr="00323C69">
        <w:rPr>
          <w:color w:val="000000" w:themeColor="text1"/>
        </w:rPr>
        <w:t>Under</w:t>
      </w:r>
      <w:r w:rsidR="009A0847">
        <w:rPr>
          <w:color w:val="000000" w:themeColor="text1"/>
        </w:rPr>
        <w:t xml:space="preserve"> </w:t>
      </w:r>
      <w:r w:rsidR="00E11012" w:rsidRPr="00323C69">
        <w:rPr>
          <w:color w:val="000000" w:themeColor="text1"/>
        </w:rPr>
        <w:t>the</w:t>
      </w:r>
      <w:r w:rsidR="009A0847">
        <w:rPr>
          <w:color w:val="000000" w:themeColor="text1"/>
        </w:rPr>
        <w:t xml:space="preserve"> </w:t>
      </w:r>
      <w:r w:rsidR="00E11012" w:rsidRPr="00323C69">
        <w:rPr>
          <w:i/>
          <w:color w:val="000000" w:themeColor="text1"/>
        </w:rPr>
        <w:t>experience</w:t>
      </w:r>
      <w:r w:rsidR="009A0847">
        <w:rPr>
          <w:color w:val="000000" w:themeColor="text1"/>
        </w:rPr>
        <w:t xml:space="preserve"> </w:t>
      </w:r>
      <w:r w:rsidR="00E11012" w:rsidRPr="00323C69">
        <w:rPr>
          <w:color w:val="000000" w:themeColor="text1"/>
        </w:rPr>
        <w:t>hypothesis,</w:t>
      </w:r>
      <w:r w:rsidR="009A0847">
        <w:rPr>
          <w:color w:val="000000" w:themeColor="text1"/>
        </w:rPr>
        <w:t xml:space="preserve"> </w:t>
      </w:r>
      <w:r w:rsidR="00E11012" w:rsidRPr="00323C69">
        <w:rPr>
          <w:color w:val="000000" w:themeColor="text1"/>
        </w:rPr>
        <w:t>a</w:t>
      </w:r>
      <w:r w:rsidR="009A0847">
        <w:rPr>
          <w:color w:val="000000" w:themeColor="text1"/>
        </w:rPr>
        <w:t xml:space="preserve"> </w:t>
      </w:r>
      <w:r w:rsidR="00E11012" w:rsidRPr="00323C69">
        <w:rPr>
          <w:color w:val="000000" w:themeColor="text1"/>
        </w:rPr>
        <w:t>bank</w:t>
      </w:r>
      <w:r w:rsidR="009A0847">
        <w:rPr>
          <w:color w:val="000000" w:themeColor="text1"/>
        </w:rPr>
        <w:t xml:space="preserve"> </w:t>
      </w:r>
      <w:r w:rsidR="00E11012" w:rsidRPr="00323C69">
        <w:rPr>
          <w:color w:val="000000" w:themeColor="text1"/>
        </w:rPr>
        <w:t>learns</w:t>
      </w:r>
      <w:r w:rsidR="009A0847">
        <w:rPr>
          <w:color w:val="000000" w:themeColor="text1"/>
        </w:rPr>
        <w:t xml:space="preserve"> </w:t>
      </w:r>
      <w:r w:rsidR="00E11012" w:rsidRPr="00323C69">
        <w:rPr>
          <w:color w:val="000000" w:themeColor="text1"/>
        </w:rPr>
        <w:t>the</w:t>
      </w:r>
      <w:r w:rsidR="009A0847">
        <w:rPr>
          <w:color w:val="000000" w:themeColor="text1"/>
        </w:rPr>
        <w:t xml:space="preserve"> </w:t>
      </w:r>
      <w:r w:rsidR="00E11012" w:rsidRPr="00323C69">
        <w:rPr>
          <w:color w:val="000000" w:themeColor="text1"/>
        </w:rPr>
        <w:t>value</w:t>
      </w:r>
      <w:r w:rsidR="009A0847">
        <w:rPr>
          <w:color w:val="000000" w:themeColor="text1"/>
        </w:rPr>
        <w:t xml:space="preserve"> </w:t>
      </w:r>
      <w:r w:rsidR="00E11012" w:rsidRPr="00323C69">
        <w:rPr>
          <w:color w:val="000000" w:themeColor="text1"/>
        </w:rPr>
        <w:t>of</w:t>
      </w:r>
      <w:r w:rsidR="009A0847">
        <w:rPr>
          <w:color w:val="000000" w:themeColor="text1"/>
        </w:rPr>
        <w:t xml:space="preserve"> </w:t>
      </w:r>
      <w:r w:rsidR="00E11012" w:rsidRPr="00323C69">
        <w:rPr>
          <w:color w:val="000000" w:themeColor="text1"/>
        </w:rPr>
        <w:t>borrowing</w:t>
      </w:r>
      <w:r w:rsidR="009A0847">
        <w:rPr>
          <w:color w:val="000000" w:themeColor="text1"/>
        </w:rPr>
        <w:t xml:space="preserve"> </w:t>
      </w:r>
      <w:r w:rsidR="00E11012" w:rsidRPr="00323C69">
        <w:rPr>
          <w:color w:val="000000" w:themeColor="text1"/>
        </w:rPr>
        <w:t>at</w:t>
      </w:r>
      <w:r w:rsidR="009A0847">
        <w:rPr>
          <w:color w:val="000000" w:themeColor="text1"/>
        </w:rPr>
        <w:t xml:space="preserve"> </w:t>
      </w:r>
      <w:r w:rsidR="00E11012" w:rsidRPr="00323C69">
        <w:rPr>
          <w:color w:val="000000" w:themeColor="text1"/>
        </w:rPr>
        <w:t>the</w:t>
      </w:r>
      <w:r w:rsidR="009A0847">
        <w:rPr>
          <w:color w:val="000000" w:themeColor="text1"/>
        </w:rPr>
        <w:t xml:space="preserve"> </w:t>
      </w:r>
      <w:r w:rsidR="00E11012" w:rsidRPr="00323C69">
        <w:rPr>
          <w:color w:val="000000" w:themeColor="text1"/>
        </w:rPr>
        <w:t>DW</w:t>
      </w:r>
      <w:r w:rsidR="009A0847">
        <w:rPr>
          <w:color w:val="000000" w:themeColor="text1"/>
        </w:rPr>
        <w:t xml:space="preserve"> </w:t>
      </w:r>
      <w:r>
        <w:rPr>
          <w:color w:val="000000" w:themeColor="text1"/>
        </w:rPr>
        <w:t>from</w:t>
      </w:r>
      <w:r w:rsidR="009A0847">
        <w:rPr>
          <w:color w:val="000000" w:themeColor="text1"/>
        </w:rPr>
        <w:t xml:space="preserve"> </w:t>
      </w:r>
      <w:r w:rsidR="00E11012" w:rsidRPr="00323C69">
        <w:rPr>
          <w:color w:val="000000" w:themeColor="text1"/>
        </w:rPr>
        <w:t>having</w:t>
      </w:r>
      <w:r w:rsidR="009A0847">
        <w:rPr>
          <w:color w:val="000000" w:themeColor="text1"/>
        </w:rPr>
        <w:t xml:space="preserve"> </w:t>
      </w:r>
      <w:r w:rsidR="00E11012" w:rsidRPr="00323C69">
        <w:rPr>
          <w:color w:val="000000" w:themeColor="text1"/>
        </w:rPr>
        <w:t>to</w:t>
      </w:r>
      <w:r w:rsidR="009A0847">
        <w:rPr>
          <w:color w:val="000000" w:themeColor="text1"/>
        </w:rPr>
        <w:t xml:space="preserve"> </w:t>
      </w:r>
      <w:r w:rsidR="00E11012" w:rsidRPr="00323C69">
        <w:rPr>
          <w:color w:val="000000" w:themeColor="text1"/>
        </w:rPr>
        <w:t>do</w:t>
      </w:r>
      <w:r w:rsidR="009A0847">
        <w:rPr>
          <w:color w:val="000000" w:themeColor="text1"/>
        </w:rPr>
        <w:t xml:space="preserve"> </w:t>
      </w:r>
      <w:r w:rsidR="00E11012" w:rsidRPr="00323C69">
        <w:rPr>
          <w:color w:val="000000" w:themeColor="text1"/>
        </w:rPr>
        <w:t>so</w:t>
      </w:r>
      <w:r w:rsidR="009A0847">
        <w:rPr>
          <w:color w:val="000000" w:themeColor="text1"/>
        </w:rPr>
        <w:t xml:space="preserve"> </w:t>
      </w:r>
      <w:r w:rsidR="00E11012" w:rsidRPr="00323C69">
        <w:rPr>
          <w:color w:val="000000" w:themeColor="text1"/>
        </w:rPr>
        <w:t>involuntarily.</w:t>
      </w:r>
      <w:r w:rsidR="009A0847">
        <w:rPr>
          <w:color w:val="000000" w:themeColor="text1"/>
        </w:rPr>
        <w:t xml:space="preserve"> </w:t>
      </w:r>
      <w:r w:rsidR="00FA6A09" w:rsidRPr="00323C69">
        <w:rPr>
          <w:color w:val="000000" w:themeColor="text1"/>
        </w:rPr>
        <w:t>Because</w:t>
      </w:r>
      <w:r w:rsidR="009A0847">
        <w:rPr>
          <w:color w:val="000000" w:themeColor="text1"/>
        </w:rPr>
        <w:t xml:space="preserve"> </w:t>
      </w:r>
      <w:r w:rsidR="006011B5">
        <w:rPr>
          <w:color w:val="000000" w:themeColor="text1"/>
        </w:rPr>
        <w:t>t</w:t>
      </w:r>
      <w:r w:rsidR="00FA6A09" w:rsidRPr="00323C69">
        <w:rPr>
          <w:color w:val="000000" w:themeColor="text1"/>
        </w:rPr>
        <w:t>he</w:t>
      </w:r>
      <w:r w:rsidR="009A0847">
        <w:rPr>
          <w:color w:val="000000" w:themeColor="text1"/>
        </w:rPr>
        <w:t xml:space="preserve"> </w:t>
      </w:r>
      <w:r w:rsidR="00FA6A09" w:rsidRPr="00323C69">
        <w:rPr>
          <w:color w:val="000000" w:themeColor="text1"/>
        </w:rPr>
        <w:t>detection</w:t>
      </w:r>
      <w:r w:rsidR="009A0847">
        <w:rPr>
          <w:color w:val="000000" w:themeColor="text1"/>
        </w:rPr>
        <w:t xml:space="preserve"> </w:t>
      </w:r>
      <w:r w:rsidR="00FA6A09" w:rsidRPr="00323C69">
        <w:rPr>
          <w:color w:val="000000" w:themeColor="text1"/>
        </w:rPr>
        <w:t>probabilit</w:t>
      </w:r>
      <w:r w:rsidR="006011B5">
        <w:rPr>
          <w:color w:val="000000" w:themeColor="text1"/>
        </w:rPr>
        <w:t>ies for voluntary borrowers</w:t>
      </w:r>
      <w:r w:rsidR="009A0847">
        <w:rPr>
          <w:color w:val="000000" w:themeColor="text1"/>
        </w:rPr>
        <w:t xml:space="preserve"> </w:t>
      </w:r>
      <w:r w:rsidR="00FA6A09" w:rsidRPr="00323C69">
        <w:rPr>
          <w:color w:val="000000" w:themeColor="text1"/>
        </w:rPr>
        <w:t>are</w:t>
      </w:r>
      <w:r w:rsidR="009A0847">
        <w:rPr>
          <w:color w:val="000000" w:themeColor="text1"/>
        </w:rPr>
        <w:t xml:space="preserve"> </w:t>
      </w:r>
      <w:r w:rsidR="00FA6A09" w:rsidRPr="00323C69">
        <w:rPr>
          <w:color w:val="000000" w:themeColor="text1"/>
        </w:rPr>
        <w:t>the</w:t>
      </w:r>
      <w:r w:rsidR="009A0847">
        <w:rPr>
          <w:color w:val="000000" w:themeColor="text1"/>
        </w:rPr>
        <w:t xml:space="preserve"> </w:t>
      </w:r>
      <w:r w:rsidR="00FA6A09" w:rsidRPr="00323C69">
        <w:rPr>
          <w:color w:val="000000" w:themeColor="text1"/>
        </w:rPr>
        <w:t>same</w:t>
      </w:r>
      <w:r w:rsidR="009A0847">
        <w:rPr>
          <w:color w:val="000000" w:themeColor="text1"/>
        </w:rPr>
        <w:t xml:space="preserve"> </w:t>
      </w:r>
      <w:r w:rsidR="00FA6A09" w:rsidRPr="00323C69">
        <w:rPr>
          <w:color w:val="000000" w:themeColor="text1"/>
        </w:rPr>
        <w:t>as</w:t>
      </w:r>
      <w:r w:rsidR="009A0847">
        <w:rPr>
          <w:color w:val="000000" w:themeColor="text1"/>
        </w:rPr>
        <w:t xml:space="preserve"> </w:t>
      </w:r>
      <w:r w:rsidR="00FA6A09" w:rsidRPr="00323C69">
        <w:rPr>
          <w:color w:val="000000" w:themeColor="text1"/>
        </w:rPr>
        <w:t>in</w:t>
      </w:r>
      <w:r w:rsidR="009A0847">
        <w:rPr>
          <w:color w:val="000000" w:themeColor="text1"/>
        </w:rPr>
        <w:t xml:space="preserve"> </w:t>
      </w:r>
      <w:r w:rsidR="00FA6A09" w:rsidRPr="00323C69">
        <w:rPr>
          <w:color w:val="000000" w:themeColor="text1"/>
        </w:rPr>
        <w:t>the</w:t>
      </w:r>
      <w:r w:rsidR="009A0847">
        <w:rPr>
          <w:color w:val="000000" w:themeColor="text1"/>
        </w:rPr>
        <w:t xml:space="preserve"> </w:t>
      </w:r>
      <w:r w:rsidR="00FA6A09" w:rsidRPr="00323C69">
        <w:rPr>
          <w:color w:val="000000" w:themeColor="text1"/>
        </w:rPr>
        <w:t>random</w:t>
      </w:r>
      <w:r w:rsidR="009A0847">
        <w:rPr>
          <w:color w:val="000000" w:themeColor="text1"/>
        </w:rPr>
        <w:t xml:space="preserve"> </w:t>
      </w:r>
      <w:r w:rsidR="00FA6A09" w:rsidRPr="00323C69">
        <w:rPr>
          <w:color w:val="000000" w:themeColor="text1"/>
        </w:rPr>
        <w:t>borrowing</w:t>
      </w:r>
      <w:r w:rsidR="009A0847">
        <w:rPr>
          <w:color w:val="000000" w:themeColor="text1"/>
        </w:rPr>
        <w:t xml:space="preserve"> </w:t>
      </w:r>
      <w:r w:rsidR="00FA6A09" w:rsidRPr="00323C69">
        <w:rPr>
          <w:color w:val="000000" w:themeColor="text1"/>
        </w:rPr>
        <w:t>treatment,</w:t>
      </w:r>
      <w:r w:rsidR="009A0847">
        <w:rPr>
          <w:color w:val="000000" w:themeColor="text1"/>
        </w:rPr>
        <w:t xml:space="preserve"> </w:t>
      </w:r>
      <w:r w:rsidR="00FA6A09" w:rsidRPr="00323C69">
        <w:rPr>
          <w:color w:val="000000" w:themeColor="text1"/>
        </w:rPr>
        <w:t>the</w:t>
      </w:r>
      <w:r w:rsidR="009A0847">
        <w:rPr>
          <w:color w:val="000000" w:themeColor="text1"/>
        </w:rPr>
        <w:t xml:space="preserve"> </w:t>
      </w:r>
      <w:r w:rsidR="00FA6A09" w:rsidRPr="00323C69">
        <w:rPr>
          <w:color w:val="000000" w:themeColor="text1"/>
        </w:rPr>
        <w:t>low</w:t>
      </w:r>
      <w:r w:rsidR="009A0847">
        <w:rPr>
          <w:color w:val="000000" w:themeColor="text1"/>
        </w:rPr>
        <w:t xml:space="preserve"> </w:t>
      </w:r>
      <w:r w:rsidR="00FA6A09" w:rsidRPr="00323C69">
        <w:rPr>
          <w:color w:val="000000" w:themeColor="text1"/>
        </w:rPr>
        <w:t>detection</w:t>
      </w:r>
      <w:r w:rsidR="009A0847">
        <w:rPr>
          <w:color w:val="000000" w:themeColor="text1"/>
        </w:rPr>
        <w:t xml:space="preserve"> </w:t>
      </w:r>
      <w:r w:rsidR="00FA6A09" w:rsidRPr="00323C69">
        <w:rPr>
          <w:color w:val="000000" w:themeColor="text1"/>
        </w:rPr>
        <w:t>treatment</w:t>
      </w:r>
      <w:r w:rsidR="009A0847">
        <w:rPr>
          <w:color w:val="000000" w:themeColor="text1"/>
        </w:rPr>
        <w:t xml:space="preserve"> </w:t>
      </w:r>
      <w:r w:rsidR="00CA059D">
        <w:rPr>
          <w:color w:val="000000" w:themeColor="text1"/>
        </w:rPr>
        <w:t>allows</w:t>
      </w:r>
      <w:r w:rsidR="009A0847">
        <w:rPr>
          <w:color w:val="000000" w:themeColor="text1"/>
        </w:rPr>
        <w:t xml:space="preserve"> </w:t>
      </w:r>
      <w:r w:rsidR="00FA6A09" w:rsidRPr="00323C69">
        <w:rPr>
          <w:color w:val="000000" w:themeColor="text1"/>
        </w:rPr>
        <w:t>us</w:t>
      </w:r>
      <w:r w:rsidR="009A0847">
        <w:rPr>
          <w:color w:val="000000" w:themeColor="text1"/>
        </w:rPr>
        <w:t xml:space="preserve"> </w:t>
      </w:r>
      <w:r w:rsidR="00FA6A09" w:rsidRPr="00323C69">
        <w:rPr>
          <w:color w:val="000000" w:themeColor="text1"/>
        </w:rPr>
        <w:t>to</w:t>
      </w:r>
      <w:r w:rsidR="009A0847">
        <w:rPr>
          <w:color w:val="000000" w:themeColor="text1"/>
        </w:rPr>
        <w:t xml:space="preserve"> </w:t>
      </w:r>
      <w:r w:rsidR="00FA6A09" w:rsidRPr="00323C69">
        <w:rPr>
          <w:color w:val="000000" w:themeColor="text1"/>
        </w:rPr>
        <w:t>disentangle</w:t>
      </w:r>
      <w:r w:rsidR="009A0847">
        <w:rPr>
          <w:color w:val="000000" w:themeColor="text1"/>
        </w:rPr>
        <w:t xml:space="preserve"> </w:t>
      </w:r>
      <w:r w:rsidR="00FA6A09" w:rsidRPr="00323C69">
        <w:rPr>
          <w:color w:val="000000" w:themeColor="text1"/>
        </w:rPr>
        <w:t>the</w:t>
      </w:r>
      <w:r w:rsidR="009A0847">
        <w:rPr>
          <w:color w:val="000000" w:themeColor="text1"/>
        </w:rPr>
        <w:t xml:space="preserve"> </w:t>
      </w:r>
      <w:r w:rsidR="00FA6A09" w:rsidRPr="00323C69">
        <w:rPr>
          <w:color w:val="000000" w:themeColor="text1"/>
        </w:rPr>
        <w:t>two</w:t>
      </w:r>
      <w:r w:rsidR="009A0847">
        <w:rPr>
          <w:color w:val="000000" w:themeColor="text1"/>
        </w:rPr>
        <w:t xml:space="preserve"> </w:t>
      </w:r>
      <w:r w:rsidR="00FA6A09" w:rsidRPr="00323C69">
        <w:rPr>
          <w:color w:val="000000" w:themeColor="text1"/>
        </w:rPr>
        <w:t>hypotheses</w:t>
      </w:r>
      <w:r w:rsidR="009A0847">
        <w:rPr>
          <w:color w:val="000000" w:themeColor="text1"/>
        </w:rPr>
        <w:t xml:space="preserve"> </w:t>
      </w:r>
      <w:r w:rsidR="00FA6A09" w:rsidRPr="00323C69">
        <w:rPr>
          <w:color w:val="000000" w:themeColor="text1"/>
        </w:rPr>
        <w:t>by</w:t>
      </w:r>
      <w:r w:rsidR="009A0847">
        <w:rPr>
          <w:color w:val="000000" w:themeColor="text1"/>
        </w:rPr>
        <w:t xml:space="preserve"> </w:t>
      </w:r>
      <w:r w:rsidR="00FA6A09" w:rsidRPr="00323C69">
        <w:rPr>
          <w:color w:val="000000" w:themeColor="text1"/>
        </w:rPr>
        <w:t>muting</w:t>
      </w:r>
      <w:r w:rsidR="009A0847">
        <w:rPr>
          <w:color w:val="000000" w:themeColor="text1"/>
        </w:rPr>
        <w:t xml:space="preserve"> </w:t>
      </w:r>
      <w:r w:rsidR="00FA6A09" w:rsidRPr="00323C69">
        <w:rPr>
          <w:color w:val="000000" w:themeColor="text1"/>
        </w:rPr>
        <w:t>the</w:t>
      </w:r>
      <w:r w:rsidR="009A0847">
        <w:rPr>
          <w:color w:val="000000" w:themeColor="text1"/>
        </w:rPr>
        <w:t xml:space="preserve"> </w:t>
      </w:r>
      <w:r w:rsidR="009373B1" w:rsidRPr="00323C69">
        <w:rPr>
          <w:i/>
          <w:color w:val="000000" w:themeColor="text1"/>
        </w:rPr>
        <w:t>experience</w:t>
      </w:r>
      <w:r w:rsidR="009A0847">
        <w:rPr>
          <w:color w:val="000000" w:themeColor="text1"/>
        </w:rPr>
        <w:t xml:space="preserve"> </w:t>
      </w:r>
      <w:r w:rsidR="00FA6A09" w:rsidRPr="00323C69">
        <w:rPr>
          <w:color w:val="000000" w:themeColor="text1"/>
        </w:rPr>
        <w:t>effect.</w:t>
      </w:r>
      <w:r w:rsidR="009A0847">
        <w:rPr>
          <w:color w:val="000000" w:themeColor="text1"/>
        </w:rPr>
        <w:t xml:space="preserve"> </w:t>
      </w:r>
      <w:r>
        <w:rPr>
          <w:color w:val="000000" w:themeColor="text1"/>
        </w:rPr>
        <w:t>Because</w:t>
      </w:r>
      <w:r w:rsidR="009A0847">
        <w:rPr>
          <w:color w:val="000000" w:themeColor="text1"/>
        </w:rPr>
        <w:t xml:space="preserve"> </w:t>
      </w:r>
      <w:r>
        <w:rPr>
          <w:color w:val="000000" w:themeColor="text1"/>
        </w:rPr>
        <w:t>behavior</w:t>
      </w:r>
      <w:r w:rsidR="009A0847">
        <w:rPr>
          <w:color w:val="000000" w:themeColor="text1"/>
        </w:rPr>
        <w:t xml:space="preserve"> </w:t>
      </w:r>
      <w:r>
        <w:rPr>
          <w:color w:val="000000" w:themeColor="text1"/>
        </w:rPr>
        <w:t>converged</w:t>
      </w:r>
      <w:r w:rsidR="009A0847">
        <w:rPr>
          <w:color w:val="000000" w:themeColor="text1"/>
        </w:rPr>
        <w:t xml:space="preserve"> </w:t>
      </w:r>
      <w:r>
        <w:rPr>
          <w:color w:val="000000" w:themeColor="text1"/>
        </w:rPr>
        <w:t>toward</w:t>
      </w:r>
      <w:r w:rsidR="009A0847">
        <w:rPr>
          <w:color w:val="000000" w:themeColor="text1"/>
        </w:rPr>
        <w:t xml:space="preserve"> </w:t>
      </w:r>
      <w:r>
        <w:rPr>
          <w:color w:val="000000" w:themeColor="text1"/>
        </w:rPr>
        <w:t>the</w:t>
      </w:r>
      <w:r w:rsidR="009A0847">
        <w:rPr>
          <w:color w:val="000000" w:themeColor="text1"/>
        </w:rPr>
        <w:t xml:space="preserve"> </w:t>
      </w:r>
      <w:r>
        <w:rPr>
          <w:color w:val="000000" w:themeColor="text1"/>
        </w:rPr>
        <w:t>stigma</w:t>
      </w:r>
      <w:r w:rsidR="009A0847">
        <w:rPr>
          <w:color w:val="000000" w:themeColor="text1"/>
        </w:rPr>
        <w:t xml:space="preserve"> </w:t>
      </w:r>
      <w:r>
        <w:rPr>
          <w:color w:val="000000" w:themeColor="text1"/>
        </w:rPr>
        <w:t>equilibrium</w:t>
      </w:r>
      <w:r w:rsidR="009A0847">
        <w:rPr>
          <w:color w:val="000000" w:themeColor="text1"/>
        </w:rPr>
        <w:t xml:space="preserve"> </w:t>
      </w:r>
      <w:r>
        <w:rPr>
          <w:color w:val="000000" w:themeColor="text1"/>
        </w:rPr>
        <w:t>in</w:t>
      </w:r>
      <w:r w:rsidR="009A0847">
        <w:rPr>
          <w:color w:val="000000" w:themeColor="text1"/>
        </w:rPr>
        <w:t xml:space="preserve"> </w:t>
      </w:r>
      <w:r>
        <w:rPr>
          <w:color w:val="000000" w:themeColor="text1"/>
        </w:rPr>
        <w:t>t</w:t>
      </w:r>
      <w:r w:rsidR="00E11012" w:rsidRPr="00323C69">
        <w:rPr>
          <w:color w:val="000000" w:themeColor="text1"/>
        </w:rPr>
        <w:t>he</w:t>
      </w:r>
      <w:r w:rsidR="009A0847">
        <w:rPr>
          <w:color w:val="000000" w:themeColor="text1"/>
        </w:rPr>
        <w:t xml:space="preserve"> </w:t>
      </w:r>
      <w:r w:rsidR="009373B1" w:rsidRPr="00323C69">
        <w:rPr>
          <w:color w:val="000000" w:themeColor="text1"/>
        </w:rPr>
        <w:t>low</w:t>
      </w:r>
      <w:r w:rsidR="009A0847">
        <w:rPr>
          <w:color w:val="000000" w:themeColor="text1"/>
        </w:rPr>
        <w:t xml:space="preserve"> </w:t>
      </w:r>
      <w:r w:rsidR="009373B1" w:rsidRPr="00323C69">
        <w:rPr>
          <w:color w:val="000000" w:themeColor="text1"/>
        </w:rPr>
        <w:t>detection</w:t>
      </w:r>
      <w:r w:rsidR="009A0847">
        <w:rPr>
          <w:color w:val="000000" w:themeColor="text1"/>
        </w:rPr>
        <w:t xml:space="preserve"> </w:t>
      </w:r>
      <w:r w:rsidR="009373B1" w:rsidRPr="00323C69">
        <w:rPr>
          <w:color w:val="000000" w:themeColor="text1"/>
        </w:rPr>
        <w:t>treatment</w:t>
      </w:r>
      <w:r>
        <w:rPr>
          <w:color w:val="000000" w:themeColor="text1"/>
        </w:rPr>
        <w:t>,</w:t>
      </w:r>
      <w:r w:rsidR="009A0847">
        <w:rPr>
          <w:color w:val="000000" w:themeColor="text1"/>
        </w:rPr>
        <w:t xml:space="preserve"> </w:t>
      </w:r>
      <w:r>
        <w:rPr>
          <w:color w:val="000000" w:themeColor="text1"/>
        </w:rPr>
        <w:t>we</w:t>
      </w:r>
      <w:r w:rsidR="009A0847">
        <w:rPr>
          <w:color w:val="000000" w:themeColor="text1"/>
        </w:rPr>
        <w:t xml:space="preserve"> </w:t>
      </w:r>
      <w:r>
        <w:rPr>
          <w:color w:val="000000" w:themeColor="text1"/>
        </w:rPr>
        <w:t>find</w:t>
      </w:r>
      <w:r w:rsidR="009A0847">
        <w:rPr>
          <w:color w:val="000000" w:themeColor="text1"/>
        </w:rPr>
        <w:t xml:space="preserve"> </w:t>
      </w:r>
      <w:r w:rsidR="00E11012" w:rsidRPr="00323C69">
        <w:rPr>
          <w:color w:val="000000" w:themeColor="text1"/>
        </w:rPr>
        <w:t>no</w:t>
      </w:r>
      <w:r w:rsidR="009A0847">
        <w:rPr>
          <w:color w:val="000000" w:themeColor="text1"/>
        </w:rPr>
        <w:t xml:space="preserve"> </w:t>
      </w:r>
      <w:r w:rsidR="00E11012" w:rsidRPr="00323C69">
        <w:rPr>
          <w:color w:val="000000" w:themeColor="text1"/>
        </w:rPr>
        <w:t>support</w:t>
      </w:r>
      <w:r w:rsidR="009A0847">
        <w:rPr>
          <w:color w:val="000000" w:themeColor="text1"/>
        </w:rPr>
        <w:t xml:space="preserve"> </w:t>
      </w:r>
      <w:r w:rsidR="00E11012" w:rsidRPr="00323C69">
        <w:rPr>
          <w:color w:val="000000" w:themeColor="text1"/>
        </w:rPr>
        <w:t>for</w:t>
      </w:r>
      <w:r w:rsidR="009A0847">
        <w:rPr>
          <w:color w:val="000000" w:themeColor="text1"/>
        </w:rPr>
        <w:t xml:space="preserve"> </w:t>
      </w:r>
      <w:r>
        <w:rPr>
          <w:color w:val="000000" w:themeColor="text1"/>
        </w:rPr>
        <w:t>the</w:t>
      </w:r>
      <w:r w:rsidR="009A0847">
        <w:rPr>
          <w:color w:val="000000" w:themeColor="text1"/>
        </w:rPr>
        <w:t xml:space="preserve"> </w:t>
      </w:r>
      <w:r w:rsidR="009373B1" w:rsidRPr="00323C69">
        <w:rPr>
          <w:i/>
          <w:color w:val="000000" w:themeColor="text1"/>
        </w:rPr>
        <w:t>detection</w:t>
      </w:r>
      <w:r w:rsidR="009A0847">
        <w:rPr>
          <w:color w:val="000000" w:themeColor="text1"/>
        </w:rPr>
        <w:t xml:space="preserve"> </w:t>
      </w:r>
      <w:r w:rsidR="00E11012" w:rsidRPr="00323C69">
        <w:rPr>
          <w:color w:val="000000" w:themeColor="text1"/>
        </w:rPr>
        <w:t>hypothesis</w:t>
      </w:r>
      <w:r w:rsidR="009373B1" w:rsidRPr="00323C69">
        <w:rPr>
          <w:color w:val="000000" w:themeColor="text1"/>
        </w:rPr>
        <w:t>.</w:t>
      </w:r>
      <w:r w:rsidR="009A0847">
        <w:rPr>
          <w:color w:val="000000" w:themeColor="text1"/>
        </w:rPr>
        <w:t xml:space="preserve"> </w:t>
      </w:r>
      <w:r w:rsidR="009373B1" w:rsidRPr="00323C69">
        <w:rPr>
          <w:color w:val="000000" w:themeColor="text1"/>
        </w:rPr>
        <w:t>Instead,</w:t>
      </w:r>
      <w:r w:rsidR="009A0847">
        <w:rPr>
          <w:color w:val="000000" w:themeColor="text1"/>
        </w:rPr>
        <w:t xml:space="preserve"> </w:t>
      </w:r>
      <w:r w:rsidR="009373B1" w:rsidRPr="00323C69">
        <w:rPr>
          <w:color w:val="000000" w:themeColor="text1"/>
        </w:rPr>
        <w:t>it</w:t>
      </w:r>
      <w:r w:rsidR="009A0847">
        <w:rPr>
          <w:color w:val="000000" w:themeColor="text1"/>
        </w:rPr>
        <w:t xml:space="preserve"> </w:t>
      </w:r>
      <w:r w:rsidR="009373B1" w:rsidRPr="00323C69">
        <w:rPr>
          <w:color w:val="000000" w:themeColor="text1"/>
        </w:rPr>
        <w:t>appears</w:t>
      </w:r>
      <w:r w:rsidR="009A0847">
        <w:rPr>
          <w:color w:val="000000" w:themeColor="text1"/>
        </w:rPr>
        <w:t xml:space="preserve"> </w:t>
      </w:r>
      <w:r w:rsidR="009373B1" w:rsidRPr="00323C69">
        <w:rPr>
          <w:color w:val="000000" w:themeColor="text1"/>
        </w:rPr>
        <w:t>that</w:t>
      </w:r>
      <w:r w:rsidR="009A0847">
        <w:rPr>
          <w:color w:val="000000" w:themeColor="text1"/>
        </w:rPr>
        <w:t xml:space="preserve"> </w:t>
      </w:r>
      <w:r w:rsidR="009373B1" w:rsidRPr="00323C69">
        <w:rPr>
          <w:color w:val="000000" w:themeColor="text1"/>
        </w:rPr>
        <w:t>it</w:t>
      </w:r>
      <w:r w:rsidR="009A0847">
        <w:rPr>
          <w:color w:val="000000" w:themeColor="text1"/>
        </w:rPr>
        <w:t xml:space="preserve"> </w:t>
      </w:r>
      <w:r w:rsidR="009373B1" w:rsidRPr="00323C69">
        <w:rPr>
          <w:color w:val="000000" w:themeColor="text1"/>
        </w:rPr>
        <w:t>is</w:t>
      </w:r>
      <w:r w:rsidR="009A0847">
        <w:rPr>
          <w:color w:val="000000" w:themeColor="text1"/>
        </w:rPr>
        <w:t xml:space="preserve"> </w:t>
      </w:r>
      <w:r w:rsidR="009373B1" w:rsidRPr="00323C69">
        <w:rPr>
          <w:color w:val="000000" w:themeColor="text1"/>
        </w:rPr>
        <w:t>the</w:t>
      </w:r>
      <w:r w:rsidR="009A0847">
        <w:rPr>
          <w:color w:val="000000" w:themeColor="text1"/>
        </w:rPr>
        <w:t xml:space="preserve"> </w:t>
      </w:r>
      <w:r w:rsidR="009373B1" w:rsidRPr="00323C69">
        <w:rPr>
          <w:color w:val="000000" w:themeColor="text1"/>
        </w:rPr>
        <w:t>experience</w:t>
      </w:r>
      <w:r w:rsidR="009A0847">
        <w:rPr>
          <w:color w:val="000000" w:themeColor="text1"/>
        </w:rPr>
        <w:t xml:space="preserve"> </w:t>
      </w:r>
      <w:r w:rsidR="009C669D">
        <w:rPr>
          <w:color w:val="000000" w:themeColor="text1"/>
        </w:rPr>
        <w:t>banks</w:t>
      </w:r>
      <w:r w:rsidR="009A0847">
        <w:rPr>
          <w:color w:val="000000" w:themeColor="text1"/>
        </w:rPr>
        <w:t xml:space="preserve"> </w:t>
      </w:r>
      <w:r w:rsidR="009373B1" w:rsidRPr="00323C69">
        <w:rPr>
          <w:color w:val="000000" w:themeColor="text1"/>
        </w:rPr>
        <w:t>acquire</w:t>
      </w:r>
      <w:r w:rsidR="009A0847">
        <w:rPr>
          <w:color w:val="000000" w:themeColor="text1"/>
        </w:rPr>
        <w:t xml:space="preserve"> </w:t>
      </w:r>
      <w:r w:rsidR="009373B1" w:rsidRPr="00323C69">
        <w:rPr>
          <w:color w:val="000000" w:themeColor="text1"/>
        </w:rPr>
        <w:t>when</w:t>
      </w:r>
      <w:r w:rsidR="009A0847">
        <w:rPr>
          <w:color w:val="000000" w:themeColor="text1"/>
        </w:rPr>
        <w:t xml:space="preserve"> </w:t>
      </w:r>
      <w:r w:rsidR="009C669D">
        <w:rPr>
          <w:color w:val="000000" w:themeColor="text1"/>
        </w:rPr>
        <w:t>they</w:t>
      </w:r>
      <w:r w:rsidR="009A0847">
        <w:rPr>
          <w:color w:val="000000" w:themeColor="text1"/>
        </w:rPr>
        <w:t xml:space="preserve"> </w:t>
      </w:r>
      <w:r w:rsidR="009C669D">
        <w:rPr>
          <w:color w:val="000000" w:themeColor="text1"/>
        </w:rPr>
        <w:t>have</w:t>
      </w:r>
      <w:r w:rsidR="009A0847">
        <w:rPr>
          <w:color w:val="000000" w:themeColor="text1"/>
        </w:rPr>
        <w:t xml:space="preserve"> </w:t>
      </w:r>
      <w:r w:rsidR="009373B1" w:rsidRPr="00323C69">
        <w:rPr>
          <w:color w:val="000000" w:themeColor="text1"/>
        </w:rPr>
        <w:t>to</w:t>
      </w:r>
      <w:r w:rsidR="009A0847">
        <w:rPr>
          <w:color w:val="000000" w:themeColor="text1"/>
        </w:rPr>
        <w:t xml:space="preserve"> </w:t>
      </w:r>
      <w:r w:rsidR="009373B1" w:rsidRPr="00323C69">
        <w:rPr>
          <w:color w:val="000000" w:themeColor="text1"/>
        </w:rPr>
        <w:t>borrow</w:t>
      </w:r>
      <w:r w:rsidR="009A0847">
        <w:rPr>
          <w:color w:val="000000" w:themeColor="text1"/>
        </w:rPr>
        <w:t xml:space="preserve"> </w:t>
      </w:r>
      <w:r w:rsidR="009373B1" w:rsidRPr="00323C69">
        <w:rPr>
          <w:color w:val="000000" w:themeColor="text1"/>
        </w:rPr>
        <w:t>involuntarily</w:t>
      </w:r>
      <w:r w:rsidR="009A0847">
        <w:rPr>
          <w:color w:val="000000" w:themeColor="text1"/>
        </w:rPr>
        <w:t xml:space="preserve"> </w:t>
      </w:r>
      <w:r w:rsidR="009373B1" w:rsidRPr="00323C69">
        <w:rPr>
          <w:color w:val="000000" w:themeColor="text1"/>
        </w:rPr>
        <w:t>at</w:t>
      </w:r>
      <w:r w:rsidR="009A0847">
        <w:rPr>
          <w:color w:val="000000" w:themeColor="text1"/>
        </w:rPr>
        <w:t xml:space="preserve"> </w:t>
      </w:r>
      <w:r w:rsidR="009373B1" w:rsidRPr="00323C69">
        <w:rPr>
          <w:color w:val="000000" w:themeColor="text1"/>
        </w:rPr>
        <w:t>the</w:t>
      </w:r>
      <w:r w:rsidR="009A0847">
        <w:rPr>
          <w:color w:val="000000" w:themeColor="text1"/>
        </w:rPr>
        <w:t xml:space="preserve"> </w:t>
      </w:r>
      <w:r w:rsidR="009373B1" w:rsidRPr="00323C69">
        <w:rPr>
          <w:color w:val="000000" w:themeColor="text1"/>
        </w:rPr>
        <w:t>DW</w:t>
      </w:r>
      <w:r w:rsidR="009A0847">
        <w:rPr>
          <w:color w:val="000000" w:themeColor="text1"/>
        </w:rPr>
        <w:t xml:space="preserve"> </w:t>
      </w:r>
      <w:r w:rsidR="009373B1" w:rsidRPr="00323C69">
        <w:rPr>
          <w:color w:val="000000" w:themeColor="text1"/>
        </w:rPr>
        <w:t>that</w:t>
      </w:r>
      <w:r w:rsidR="009A0847">
        <w:rPr>
          <w:color w:val="000000" w:themeColor="text1"/>
        </w:rPr>
        <w:t xml:space="preserve"> </w:t>
      </w:r>
      <w:r w:rsidR="009373B1" w:rsidRPr="00323C69">
        <w:rPr>
          <w:color w:val="000000" w:themeColor="text1"/>
        </w:rPr>
        <w:t>help</w:t>
      </w:r>
      <w:r w:rsidR="009C669D">
        <w:rPr>
          <w:color w:val="000000" w:themeColor="text1"/>
        </w:rPr>
        <w:t>s</w:t>
      </w:r>
      <w:r w:rsidR="009A0847">
        <w:rPr>
          <w:color w:val="000000" w:themeColor="text1"/>
        </w:rPr>
        <w:t xml:space="preserve"> </w:t>
      </w:r>
      <w:r w:rsidR="009C669D">
        <w:rPr>
          <w:color w:val="000000" w:themeColor="text1"/>
        </w:rPr>
        <w:t>drives</w:t>
      </w:r>
      <w:r w:rsidR="009A0847">
        <w:rPr>
          <w:color w:val="000000" w:themeColor="text1"/>
        </w:rPr>
        <w:t xml:space="preserve"> </w:t>
      </w:r>
      <w:r w:rsidR="009C669D">
        <w:rPr>
          <w:color w:val="000000" w:themeColor="text1"/>
        </w:rPr>
        <w:t>behavior</w:t>
      </w:r>
      <w:r w:rsidR="009A0847">
        <w:rPr>
          <w:color w:val="000000" w:themeColor="text1"/>
        </w:rPr>
        <w:t xml:space="preserve"> </w:t>
      </w:r>
      <w:r w:rsidR="009C669D">
        <w:rPr>
          <w:color w:val="000000" w:themeColor="text1"/>
        </w:rPr>
        <w:t>toward</w:t>
      </w:r>
      <w:r w:rsidR="009A0847">
        <w:rPr>
          <w:color w:val="000000" w:themeColor="text1"/>
        </w:rPr>
        <w:t xml:space="preserve"> </w:t>
      </w:r>
      <w:r w:rsidR="009373B1" w:rsidRPr="00323C69">
        <w:rPr>
          <w:color w:val="000000" w:themeColor="text1"/>
        </w:rPr>
        <w:t>the</w:t>
      </w:r>
      <w:r w:rsidR="009A0847">
        <w:rPr>
          <w:color w:val="000000" w:themeColor="text1"/>
        </w:rPr>
        <w:t xml:space="preserve"> </w:t>
      </w:r>
      <w:r w:rsidR="009373B1" w:rsidRPr="00323C69">
        <w:rPr>
          <w:color w:val="000000" w:themeColor="text1"/>
        </w:rPr>
        <w:t>no-stigma</w:t>
      </w:r>
      <w:r w:rsidR="009A0847">
        <w:rPr>
          <w:color w:val="000000" w:themeColor="text1"/>
        </w:rPr>
        <w:t xml:space="preserve"> </w:t>
      </w:r>
      <w:r w:rsidR="009373B1" w:rsidRPr="00323C69">
        <w:rPr>
          <w:color w:val="000000" w:themeColor="text1"/>
        </w:rPr>
        <w:t>equilibrium</w:t>
      </w:r>
      <w:r w:rsidR="009A0847">
        <w:rPr>
          <w:color w:val="000000" w:themeColor="text1"/>
        </w:rPr>
        <w:t xml:space="preserve"> </w:t>
      </w:r>
      <w:r w:rsidR="009373B1" w:rsidRPr="00323C69">
        <w:rPr>
          <w:color w:val="000000" w:themeColor="text1"/>
        </w:rPr>
        <w:t>in</w:t>
      </w:r>
      <w:r w:rsidR="009A0847">
        <w:rPr>
          <w:color w:val="000000" w:themeColor="text1"/>
        </w:rPr>
        <w:t xml:space="preserve"> </w:t>
      </w:r>
      <w:r w:rsidR="009373B1" w:rsidRPr="00323C69">
        <w:rPr>
          <w:color w:val="000000" w:themeColor="text1"/>
        </w:rPr>
        <w:t>the</w:t>
      </w:r>
      <w:r w:rsidR="009A0847">
        <w:rPr>
          <w:color w:val="000000" w:themeColor="text1"/>
        </w:rPr>
        <w:t xml:space="preserve"> </w:t>
      </w:r>
      <w:r w:rsidR="009373B1" w:rsidRPr="00323C69">
        <w:rPr>
          <w:color w:val="000000" w:themeColor="text1"/>
        </w:rPr>
        <w:t>random</w:t>
      </w:r>
      <w:r w:rsidR="009A0847">
        <w:rPr>
          <w:color w:val="000000" w:themeColor="text1"/>
        </w:rPr>
        <w:t xml:space="preserve"> </w:t>
      </w:r>
      <w:r w:rsidR="009373B1" w:rsidRPr="00323C69">
        <w:rPr>
          <w:color w:val="000000" w:themeColor="text1"/>
        </w:rPr>
        <w:t>borrowing</w:t>
      </w:r>
      <w:r w:rsidR="009A0847">
        <w:rPr>
          <w:color w:val="000000" w:themeColor="text1"/>
        </w:rPr>
        <w:t xml:space="preserve"> </w:t>
      </w:r>
      <w:r w:rsidR="009373B1" w:rsidRPr="00323C69">
        <w:rPr>
          <w:color w:val="000000" w:themeColor="text1"/>
        </w:rPr>
        <w:t>treatment.</w:t>
      </w:r>
    </w:p>
    <w:p w14:paraId="5F49E4BF" w14:textId="2DAF1CC9" w:rsidR="00703B03" w:rsidRPr="00323C69" w:rsidRDefault="00703B03" w:rsidP="00F86E09">
      <w:pPr>
        <w:pStyle w:val="Olivier1"/>
        <w:widowControl w:val="0"/>
        <w:ind w:firstLine="360"/>
        <w:rPr>
          <w:color w:val="000000" w:themeColor="text1"/>
        </w:rPr>
      </w:pPr>
      <w:r w:rsidRPr="00323C69">
        <w:rPr>
          <w:color w:val="000000" w:themeColor="text1"/>
        </w:rPr>
        <w:t>We</w:t>
      </w:r>
      <w:r w:rsidR="009A0847">
        <w:rPr>
          <w:color w:val="000000" w:themeColor="text1"/>
        </w:rPr>
        <w:t xml:space="preserve"> </w:t>
      </w:r>
      <w:r w:rsidRPr="00323C69">
        <w:rPr>
          <w:color w:val="000000" w:themeColor="text1"/>
        </w:rPr>
        <w:t>conclude</w:t>
      </w:r>
      <w:r w:rsidR="009A0847">
        <w:rPr>
          <w:color w:val="000000" w:themeColor="text1"/>
        </w:rPr>
        <w:t xml:space="preserve"> </w:t>
      </w:r>
      <w:r w:rsidRPr="00323C69">
        <w:rPr>
          <w:color w:val="000000" w:themeColor="text1"/>
        </w:rPr>
        <w:t>with</w:t>
      </w:r>
      <w:r w:rsidR="009A0847">
        <w:rPr>
          <w:color w:val="000000" w:themeColor="text1"/>
        </w:rPr>
        <w:t xml:space="preserve"> </w:t>
      </w:r>
      <w:r w:rsidRPr="00323C69">
        <w:rPr>
          <w:color w:val="000000" w:themeColor="text1"/>
        </w:rPr>
        <w:t>a</w:t>
      </w:r>
      <w:r w:rsidR="009A0847">
        <w:rPr>
          <w:color w:val="000000" w:themeColor="text1"/>
        </w:rPr>
        <w:t xml:space="preserve"> </w:t>
      </w:r>
      <w:r w:rsidRPr="00323C69">
        <w:rPr>
          <w:color w:val="000000" w:themeColor="text1"/>
        </w:rPr>
        <w:t>brief</w:t>
      </w:r>
      <w:r w:rsidR="009A0847">
        <w:rPr>
          <w:color w:val="000000" w:themeColor="text1"/>
        </w:rPr>
        <w:t xml:space="preserve"> </w:t>
      </w:r>
      <w:r w:rsidRPr="00323C69">
        <w:rPr>
          <w:color w:val="000000" w:themeColor="text1"/>
        </w:rPr>
        <w:t>comparison</w:t>
      </w:r>
      <w:r w:rsidR="009A0847">
        <w:rPr>
          <w:color w:val="000000" w:themeColor="text1"/>
        </w:rPr>
        <w:t xml:space="preserve"> </w:t>
      </w:r>
      <w:r w:rsidRPr="00323C69">
        <w:rPr>
          <w:color w:val="000000" w:themeColor="text1"/>
        </w:rPr>
        <w:t>of</w:t>
      </w:r>
      <w:r w:rsidR="009A0847">
        <w:rPr>
          <w:color w:val="000000" w:themeColor="text1"/>
        </w:rPr>
        <w:t xml:space="preserve"> </w:t>
      </w:r>
      <w:r w:rsidRPr="00323C69">
        <w:rPr>
          <w:color w:val="000000" w:themeColor="text1"/>
        </w:rPr>
        <w:t>profits</w:t>
      </w:r>
      <w:r w:rsidR="009A0847">
        <w:rPr>
          <w:color w:val="000000" w:themeColor="text1"/>
        </w:rPr>
        <w:t xml:space="preserve"> </w:t>
      </w:r>
      <w:r w:rsidRPr="00323C69">
        <w:rPr>
          <w:color w:val="000000" w:themeColor="text1"/>
        </w:rPr>
        <w:t>and</w:t>
      </w:r>
      <w:r w:rsidR="009A0847">
        <w:rPr>
          <w:color w:val="000000" w:themeColor="text1"/>
        </w:rPr>
        <w:t xml:space="preserve"> </w:t>
      </w:r>
      <w:r w:rsidRPr="00323C69">
        <w:rPr>
          <w:color w:val="000000" w:themeColor="text1"/>
        </w:rPr>
        <w:t>surplus</w:t>
      </w:r>
      <w:r w:rsidR="009A0847">
        <w:rPr>
          <w:color w:val="000000" w:themeColor="text1"/>
        </w:rPr>
        <w:t xml:space="preserve"> </w:t>
      </w:r>
      <w:r w:rsidR="009373B1" w:rsidRPr="00323C69">
        <w:rPr>
          <w:color w:val="000000" w:themeColor="text1"/>
        </w:rPr>
        <w:t>across</w:t>
      </w:r>
      <w:r w:rsidR="009A0847">
        <w:rPr>
          <w:color w:val="000000" w:themeColor="text1"/>
        </w:rPr>
        <w:t xml:space="preserve"> </w:t>
      </w:r>
      <w:r w:rsidR="009373B1" w:rsidRPr="00323C69">
        <w:rPr>
          <w:color w:val="000000" w:themeColor="text1"/>
        </w:rPr>
        <w:t>treatments</w:t>
      </w:r>
      <w:r w:rsidRPr="00323C69">
        <w:rPr>
          <w:color w:val="000000" w:themeColor="text1"/>
        </w:rPr>
        <w:t>.</w:t>
      </w:r>
      <w:r w:rsidR="009A0847">
        <w:rPr>
          <w:color w:val="000000" w:themeColor="text1"/>
        </w:rPr>
        <w:t xml:space="preserve"> </w:t>
      </w:r>
      <w:r w:rsidRPr="00323C69">
        <w:rPr>
          <w:color w:val="000000" w:themeColor="text1"/>
        </w:rPr>
        <w:t>As</w:t>
      </w:r>
      <w:r w:rsidR="009A0847">
        <w:rPr>
          <w:color w:val="000000" w:themeColor="text1"/>
        </w:rPr>
        <w:t xml:space="preserve"> </w:t>
      </w:r>
      <w:r w:rsidRPr="00323C69">
        <w:rPr>
          <w:color w:val="000000" w:themeColor="text1"/>
        </w:rPr>
        <w:t>shown</w:t>
      </w:r>
      <w:r w:rsidR="009A0847">
        <w:rPr>
          <w:color w:val="000000" w:themeColor="text1"/>
        </w:rPr>
        <w:t xml:space="preserve"> </w:t>
      </w:r>
      <w:r w:rsidRPr="00323C69">
        <w:rPr>
          <w:color w:val="000000" w:themeColor="text1"/>
        </w:rPr>
        <w:t>in</w:t>
      </w:r>
      <w:r w:rsidR="009A0847">
        <w:rPr>
          <w:color w:val="000000" w:themeColor="text1"/>
        </w:rPr>
        <w:t xml:space="preserve"> </w:t>
      </w:r>
      <w:r w:rsidRPr="00323C69">
        <w:rPr>
          <w:color w:val="000000" w:themeColor="text1"/>
        </w:rPr>
        <w:t>Table</w:t>
      </w:r>
      <w:r w:rsidR="009A0847">
        <w:rPr>
          <w:color w:val="000000" w:themeColor="text1"/>
        </w:rPr>
        <w:t xml:space="preserve"> </w:t>
      </w:r>
      <w:r w:rsidRPr="00323C69">
        <w:rPr>
          <w:color w:val="000000" w:themeColor="text1"/>
        </w:rPr>
        <w:t>1,</w:t>
      </w:r>
      <w:r w:rsidR="009A0847">
        <w:rPr>
          <w:color w:val="000000" w:themeColor="text1"/>
        </w:rPr>
        <w:t xml:space="preserve"> </w:t>
      </w:r>
      <w:r w:rsidRPr="00323C69">
        <w:rPr>
          <w:color w:val="000000" w:themeColor="text1"/>
        </w:rPr>
        <w:t>the</w:t>
      </w:r>
      <w:r w:rsidR="009A0847">
        <w:rPr>
          <w:color w:val="000000" w:themeColor="text1"/>
        </w:rPr>
        <w:t xml:space="preserve"> </w:t>
      </w:r>
      <w:r w:rsidRPr="00323C69">
        <w:rPr>
          <w:color w:val="000000" w:themeColor="text1"/>
        </w:rPr>
        <w:t>average</w:t>
      </w:r>
      <w:r w:rsidR="009A0847">
        <w:rPr>
          <w:color w:val="000000" w:themeColor="text1"/>
        </w:rPr>
        <w:t xml:space="preserve"> </w:t>
      </w:r>
      <w:r w:rsidRPr="00323C69">
        <w:rPr>
          <w:color w:val="000000" w:themeColor="text1"/>
        </w:rPr>
        <w:t>profits</w:t>
      </w:r>
      <w:r w:rsidR="009A0847">
        <w:rPr>
          <w:color w:val="000000" w:themeColor="text1"/>
        </w:rPr>
        <w:t xml:space="preserve"> </w:t>
      </w:r>
      <w:r w:rsidRPr="00323C69">
        <w:rPr>
          <w:color w:val="000000" w:themeColor="text1"/>
        </w:rPr>
        <w:t>recorded</w:t>
      </w:r>
      <w:r w:rsidR="009A0847">
        <w:rPr>
          <w:color w:val="000000" w:themeColor="text1"/>
        </w:rPr>
        <w:t xml:space="preserve"> </w:t>
      </w:r>
      <w:r w:rsidRPr="00323C69">
        <w:rPr>
          <w:color w:val="000000" w:themeColor="text1"/>
        </w:rPr>
        <w:t>in</w:t>
      </w:r>
      <w:r w:rsidR="009A0847">
        <w:rPr>
          <w:color w:val="000000" w:themeColor="text1"/>
        </w:rPr>
        <w:t xml:space="preserve"> </w:t>
      </w:r>
      <w:r w:rsidRPr="00323C69">
        <w:rPr>
          <w:color w:val="000000" w:themeColor="text1"/>
        </w:rPr>
        <w:t>the</w:t>
      </w:r>
      <w:r w:rsidR="009A0847">
        <w:rPr>
          <w:color w:val="000000" w:themeColor="text1"/>
        </w:rPr>
        <w:t xml:space="preserve"> </w:t>
      </w:r>
      <w:r w:rsidRPr="00323C69">
        <w:rPr>
          <w:color w:val="000000" w:themeColor="text1"/>
        </w:rPr>
        <w:t>last</w:t>
      </w:r>
      <w:r w:rsidR="009A0847">
        <w:rPr>
          <w:color w:val="000000" w:themeColor="text1"/>
        </w:rPr>
        <w:t xml:space="preserve"> </w:t>
      </w:r>
      <w:r w:rsidRPr="00323C69">
        <w:rPr>
          <w:color w:val="000000" w:themeColor="text1"/>
        </w:rPr>
        <w:t>10</w:t>
      </w:r>
      <w:r w:rsidR="009A0847">
        <w:rPr>
          <w:color w:val="000000" w:themeColor="text1"/>
        </w:rPr>
        <w:t xml:space="preserve"> </w:t>
      </w:r>
      <w:r w:rsidRPr="00323C69">
        <w:rPr>
          <w:color w:val="000000" w:themeColor="text1"/>
        </w:rPr>
        <w:t>rounds</w:t>
      </w:r>
      <w:r w:rsidR="009A0847">
        <w:rPr>
          <w:color w:val="000000" w:themeColor="text1"/>
        </w:rPr>
        <w:t xml:space="preserve"> </w:t>
      </w:r>
      <w:r w:rsidRPr="00323C69">
        <w:rPr>
          <w:color w:val="000000" w:themeColor="text1"/>
        </w:rPr>
        <w:t>of</w:t>
      </w:r>
      <w:r w:rsidR="009A0847">
        <w:rPr>
          <w:color w:val="000000" w:themeColor="text1"/>
        </w:rPr>
        <w:t xml:space="preserve"> </w:t>
      </w:r>
      <w:r w:rsidRPr="00323C69">
        <w:rPr>
          <w:color w:val="000000" w:themeColor="text1"/>
        </w:rPr>
        <w:t>each</w:t>
      </w:r>
      <w:r w:rsidR="009A0847">
        <w:rPr>
          <w:color w:val="000000" w:themeColor="text1"/>
        </w:rPr>
        <w:t xml:space="preserve"> </w:t>
      </w:r>
      <w:r w:rsidRPr="00323C69">
        <w:rPr>
          <w:color w:val="000000" w:themeColor="text1"/>
        </w:rPr>
        <w:t>treatment</w:t>
      </w:r>
      <w:r w:rsidR="009A0847">
        <w:rPr>
          <w:color w:val="000000" w:themeColor="text1"/>
        </w:rPr>
        <w:t xml:space="preserve"> </w:t>
      </w:r>
      <w:r w:rsidRPr="00323C69">
        <w:rPr>
          <w:color w:val="000000" w:themeColor="text1"/>
        </w:rPr>
        <w:t>are</w:t>
      </w:r>
      <w:r w:rsidR="009A0847">
        <w:rPr>
          <w:color w:val="000000" w:themeColor="text1"/>
        </w:rPr>
        <w:t xml:space="preserve"> </w:t>
      </w:r>
      <w:r w:rsidR="009C669D">
        <w:rPr>
          <w:color w:val="000000" w:themeColor="text1"/>
        </w:rPr>
        <w:t>well</w:t>
      </w:r>
      <w:r w:rsidR="009A0847">
        <w:rPr>
          <w:color w:val="000000" w:themeColor="text1"/>
        </w:rPr>
        <w:t xml:space="preserve"> </w:t>
      </w:r>
      <w:r w:rsidRPr="00323C69">
        <w:rPr>
          <w:color w:val="000000" w:themeColor="text1"/>
        </w:rPr>
        <w:t>below</w:t>
      </w:r>
      <w:r w:rsidR="009A0847">
        <w:rPr>
          <w:color w:val="000000" w:themeColor="text1"/>
        </w:rPr>
        <w:t xml:space="preserve"> </w:t>
      </w:r>
      <w:r w:rsidR="00CA059D">
        <w:rPr>
          <w:color w:val="000000" w:themeColor="text1"/>
        </w:rPr>
        <w:t>the</w:t>
      </w:r>
      <w:r w:rsidR="009A0847">
        <w:rPr>
          <w:color w:val="000000" w:themeColor="text1"/>
        </w:rPr>
        <w:t xml:space="preserve"> </w:t>
      </w:r>
      <w:r w:rsidRPr="00323C69">
        <w:rPr>
          <w:color w:val="000000" w:themeColor="text1"/>
        </w:rPr>
        <w:t>theoretic</w:t>
      </w:r>
      <w:r w:rsidR="009A0847">
        <w:rPr>
          <w:color w:val="000000" w:themeColor="text1"/>
        </w:rPr>
        <w:t xml:space="preserve"> </w:t>
      </w:r>
      <w:r w:rsidRPr="00323C69">
        <w:rPr>
          <w:color w:val="000000" w:themeColor="text1"/>
        </w:rPr>
        <w:t>benchmarks.</w:t>
      </w:r>
      <w:r w:rsidR="009A0847">
        <w:rPr>
          <w:color w:val="000000" w:themeColor="text1"/>
        </w:rPr>
        <w:t xml:space="preserve"> </w:t>
      </w:r>
      <w:r w:rsidRPr="00323C69">
        <w:rPr>
          <w:color w:val="000000" w:themeColor="text1"/>
        </w:rPr>
        <w:t>In</w:t>
      </w:r>
      <w:r w:rsidR="009A0847">
        <w:rPr>
          <w:color w:val="000000" w:themeColor="text1"/>
        </w:rPr>
        <w:t xml:space="preserve"> </w:t>
      </w:r>
      <w:r w:rsidRPr="00323C69">
        <w:rPr>
          <w:color w:val="000000" w:themeColor="text1"/>
        </w:rPr>
        <w:t>the</w:t>
      </w:r>
      <w:r w:rsidR="009A0847">
        <w:rPr>
          <w:color w:val="000000" w:themeColor="text1"/>
        </w:rPr>
        <w:t xml:space="preserve"> </w:t>
      </w:r>
      <w:r w:rsidRPr="00323C69">
        <w:rPr>
          <w:color w:val="000000" w:themeColor="text1"/>
        </w:rPr>
        <w:t>last</w:t>
      </w:r>
      <w:r w:rsidR="009A0847">
        <w:rPr>
          <w:color w:val="000000" w:themeColor="text1"/>
        </w:rPr>
        <w:t xml:space="preserve"> </w:t>
      </w:r>
      <w:r w:rsidRPr="00323C69">
        <w:rPr>
          <w:color w:val="000000" w:themeColor="text1"/>
        </w:rPr>
        <w:t>10</w:t>
      </w:r>
      <w:r w:rsidR="009A0847">
        <w:rPr>
          <w:color w:val="000000" w:themeColor="text1"/>
        </w:rPr>
        <w:t xml:space="preserve"> </w:t>
      </w:r>
      <w:r w:rsidRPr="00323C69">
        <w:rPr>
          <w:color w:val="000000" w:themeColor="text1"/>
        </w:rPr>
        <w:t>rounds</w:t>
      </w:r>
      <w:r w:rsidR="009A0847">
        <w:rPr>
          <w:color w:val="000000" w:themeColor="text1"/>
        </w:rPr>
        <w:t xml:space="preserve"> </w:t>
      </w:r>
      <w:r w:rsidRPr="00323C69">
        <w:rPr>
          <w:color w:val="000000" w:themeColor="text1"/>
        </w:rPr>
        <w:t>of</w:t>
      </w:r>
      <w:r w:rsidR="009A0847">
        <w:rPr>
          <w:color w:val="000000" w:themeColor="text1"/>
        </w:rPr>
        <w:t xml:space="preserve"> </w:t>
      </w:r>
      <w:r w:rsidRPr="00323C69">
        <w:rPr>
          <w:color w:val="000000" w:themeColor="text1"/>
        </w:rPr>
        <w:t>the</w:t>
      </w:r>
      <w:r w:rsidR="009A0847">
        <w:rPr>
          <w:color w:val="000000" w:themeColor="text1"/>
        </w:rPr>
        <w:t xml:space="preserve"> </w:t>
      </w:r>
      <w:r w:rsidRPr="00323C69">
        <w:rPr>
          <w:color w:val="000000" w:themeColor="text1"/>
        </w:rPr>
        <w:t>control</w:t>
      </w:r>
      <w:r w:rsidR="009A0847">
        <w:rPr>
          <w:color w:val="000000" w:themeColor="text1"/>
        </w:rPr>
        <w:t xml:space="preserve"> </w:t>
      </w:r>
      <w:r w:rsidRPr="00323C69">
        <w:rPr>
          <w:color w:val="000000" w:themeColor="text1"/>
        </w:rPr>
        <w:t>and</w:t>
      </w:r>
      <w:r w:rsidR="009A0847">
        <w:rPr>
          <w:color w:val="000000" w:themeColor="text1"/>
        </w:rPr>
        <w:t xml:space="preserve"> </w:t>
      </w:r>
      <w:r w:rsidRPr="00323C69">
        <w:rPr>
          <w:color w:val="000000" w:themeColor="text1"/>
        </w:rPr>
        <w:t>random</w:t>
      </w:r>
      <w:r w:rsidR="009A0847">
        <w:rPr>
          <w:color w:val="000000" w:themeColor="text1"/>
        </w:rPr>
        <w:t xml:space="preserve"> </w:t>
      </w:r>
      <w:r w:rsidRPr="00323C69">
        <w:rPr>
          <w:color w:val="000000" w:themeColor="text1"/>
        </w:rPr>
        <w:t>borrowing</w:t>
      </w:r>
      <w:r w:rsidR="009A0847">
        <w:rPr>
          <w:color w:val="000000" w:themeColor="text1"/>
        </w:rPr>
        <w:t xml:space="preserve"> </w:t>
      </w:r>
      <w:r w:rsidRPr="00323C69">
        <w:rPr>
          <w:color w:val="000000" w:themeColor="text1"/>
        </w:rPr>
        <w:t>treatments,</w:t>
      </w:r>
      <w:r w:rsidR="009A0847">
        <w:rPr>
          <w:color w:val="000000" w:themeColor="text1"/>
        </w:rPr>
        <w:t xml:space="preserve"> </w:t>
      </w:r>
      <w:r w:rsidRPr="00323C69">
        <w:rPr>
          <w:color w:val="000000" w:themeColor="text1"/>
        </w:rPr>
        <w:t>total</w:t>
      </w:r>
      <w:r w:rsidR="009A0847">
        <w:rPr>
          <w:color w:val="000000" w:themeColor="text1"/>
        </w:rPr>
        <w:t xml:space="preserve"> </w:t>
      </w:r>
      <w:r w:rsidRPr="00323C69">
        <w:rPr>
          <w:color w:val="000000" w:themeColor="text1"/>
        </w:rPr>
        <w:t>surplus</w:t>
      </w:r>
      <w:r w:rsidR="009A0847">
        <w:rPr>
          <w:color w:val="000000" w:themeColor="text1"/>
        </w:rPr>
        <w:t xml:space="preserve"> </w:t>
      </w:r>
      <w:r w:rsidRPr="0001426B">
        <w:t>was</w:t>
      </w:r>
      <w:r w:rsidR="009A0847" w:rsidRPr="0001426B">
        <w:t xml:space="preserve"> </w:t>
      </w:r>
      <w:r w:rsidRPr="0001426B">
        <w:t>85.1</w:t>
      </w:r>
      <w:r w:rsidR="009A0847" w:rsidRPr="0001426B">
        <w:t xml:space="preserve"> </w:t>
      </w:r>
      <w:r w:rsidRPr="0001426B">
        <w:t>and</w:t>
      </w:r>
      <w:r w:rsidR="009A0847" w:rsidRPr="0001426B">
        <w:t xml:space="preserve"> </w:t>
      </w:r>
      <w:r w:rsidRPr="0001426B">
        <w:t>86.</w:t>
      </w:r>
      <w:r w:rsidR="00955D65" w:rsidRPr="0001426B">
        <w:t>9</w:t>
      </w:r>
      <w:r w:rsidRPr="0001426B">
        <w:t>,</w:t>
      </w:r>
      <w:r w:rsidR="009A0847" w:rsidRPr="0001426B">
        <w:t xml:space="preserve"> </w:t>
      </w:r>
      <w:r w:rsidRPr="0001426B">
        <w:t>respectively.</w:t>
      </w:r>
      <w:r w:rsidR="009A0847" w:rsidRPr="0001426B">
        <w:t xml:space="preserve"> </w:t>
      </w:r>
      <w:r w:rsidRPr="0001426B">
        <w:t>Thus,</w:t>
      </w:r>
      <w:r w:rsidR="009A0847" w:rsidRPr="0001426B">
        <w:t xml:space="preserve"> </w:t>
      </w:r>
      <w:r w:rsidRPr="0001426B">
        <w:t>random</w:t>
      </w:r>
      <w:r w:rsidR="009A0847" w:rsidRPr="0001426B">
        <w:t xml:space="preserve"> </w:t>
      </w:r>
      <w:r w:rsidRPr="0001426B">
        <w:t>borrowing</w:t>
      </w:r>
      <w:r w:rsidR="009A0847" w:rsidRPr="0001426B">
        <w:t xml:space="preserve"> </w:t>
      </w:r>
      <w:r w:rsidRPr="0001426B">
        <w:t>produced</w:t>
      </w:r>
      <w:r w:rsidR="009A0847" w:rsidRPr="0001426B">
        <w:t xml:space="preserve"> </w:t>
      </w:r>
      <w:r w:rsidRPr="0001426B">
        <w:t>higher</w:t>
      </w:r>
      <w:r w:rsidR="009A0847" w:rsidRPr="0001426B">
        <w:t xml:space="preserve"> </w:t>
      </w:r>
      <w:r w:rsidRPr="0001426B">
        <w:t>total</w:t>
      </w:r>
      <w:r w:rsidR="009A0847" w:rsidRPr="0001426B">
        <w:t xml:space="preserve"> </w:t>
      </w:r>
      <w:r w:rsidRPr="0001426B">
        <w:t>surplus</w:t>
      </w:r>
      <w:r w:rsidR="009A0847" w:rsidRPr="0001426B">
        <w:t xml:space="preserve"> </w:t>
      </w:r>
      <w:r w:rsidRPr="0001426B">
        <w:t>and</w:t>
      </w:r>
      <w:r w:rsidR="009A0847" w:rsidRPr="0001426B">
        <w:t xml:space="preserve"> </w:t>
      </w:r>
      <w:r w:rsidRPr="0001426B">
        <w:t>the</w:t>
      </w:r>
      <w:r w:rsidR="009A0847" w:rsidRPr="0001426B">
        <w:t xml:space="preserve"> </w:t>
      </w:r>
      <w:r w:rsidRPr="0001426B">
        <w:t>magnitude</w:t>
      </w:r>
      <w:r w:rsidR="009A0847" w:rsidRPr="0001426B">
        <w:t xml:space="preserve"> </w:t>
      </w:r>
      <w:r w:rsidRPr="0001426B">
        <w:t>of</w:t>
      </w:r>
      <w:r w:rsidR="009A0847" w:rsidRPr="0001426B">
        <w:t xml:space="preserve"> </w:t>
      </w:r>
      <w:r w:rsidRPr="0001426B">
        <w:t>the</w:t>
      </w:r>
      <w:r w:rsidR="009A0847" w:rsidRPr="0001426B">
        <w:t xml:space="preserve"> </w:t>
      </w:r>
      <w:r w:rsidRPr="0001426B">
        <w:t>increase</w:t>
      </w:r>
      <w:r w:rsidR="009A0847" w:rsidRPr="0001426B">
        <w:t xml:space="preserve"> </w:t>
      </w:r>
      <w:r w:rsidRPr="0001426B">
        <w:t>is</w:t>
      </w:r>
      <w:r w:rsidR="009A0847" w:rsidRPr="0001426B">
        <w:t xml:space="preserve"> </w:t>
      </w:r>
      <w:r w:rsidRPr="0001426B">
        <w:t>consistent</w:t>
      </w:r>
      <w:r w:rsidR="009A0847" w:rsidRPr="0001426B">
        <w:t xml:space="preserve"> </w:t>
      </w:r>
      <w:r w:rsidRPr="0001426B">
        <w:t>with</w:t>
      </w:r>
      <w:r w:rsidR="009A0847" w:rsidRPr="0001426B">
        <w:t xml:space="preserve"> </w:t>
      </w:r>
      <w:r w:rsidRPr="0001426B">
        <w:t>theory</w:t>
      </w:r>
      <w:r w:rsidR="009A0847" w:rsidRPr="0001426B">
        <w:t xml:space="preserve"> </w:t>
      </w:r>
      <w:r w:rsidRPr="0001426B">
        <w:t>(+2.1%</w:t>
      </w:r>
      <w:r w:rsidR="009A0847" w:rsidRPr="0001426B">
        <w:t xml:space="preserve"> </w:t>
      </w:r>
      <w:r w:rsidRPr="0001426B">
        <w:t>in</w:t>
      </w:r>
      <w:r w:rsidR="009A0847" w:rsidRPr="0001426B">
        <w:t xml:space="preserve"> </w:t>
      </w:r>
      <w:r w:rsidRPr="0001426B">
        <w:t>the</w:t>
      </w:r>
      <w:r w:rsidR="009A0847" w:rsidRPr="0001426B">
        <w:t xml:space="preserve"> </w:t>
      </w:r>
      <w:r w:rsidRPr="0001426B">
        <w:t>experiment</w:t>
      </w:r>
      <w:r w:rsidR="009A0847" w:rsidRPr="0001426B">
        <w:t xml:space="preserve"> </w:t>
      </w:r>
      <w:r w:rsidRPr="0001426B">
        <w:t>versus</w:t>
      </w:r>
      <w:r w:rsidR="009A0847" w:rsidRPr="0001426B">
        <w:t xml:space="preserve"> </w:t>
      </w:r>
      <w:r w:rsidRPr="0001426B">
        <w:t>+2.</w:t>
      </w:r>
      <w:r w:rsidR="00CA059D" w:rsidRPr="0001426B">
        <w:t>4</w:t>
      </w:r>
      <w:r w:rsidRPr="0001426B">
        <w:t>%</w:t>
      </w:r>
      <w:r w:rsidR="009A0847" w:rsidRPr="0001426B">
        <w:t xml:space="preserve"> </w:t>
      </w:r>
      <w:r w:rsidRPr="0001426B">
        <w:t>under</w:t>
      </w:r>
      <w:r w:rsidR="009A0847" w:rsidRPr="0001426B">
        <w:t xml:space="preserve"> </w:t>
      </w:r>
      <w:r w:rsidRPr="0001426B">
        <w:t>equilibrium</w:t>
      </w:r>
      <w:r w:rsidR="009A0847" w:rsidRPr="0001426B">
        <w:t xml:space="preserve"> </w:t>
      </w:r>
      <w:r w:rsidRPr="0001426B">
        <w:t>behavior).</w:t>
      </w:r>
      <w:r w:rsidR="009A0847" w:rsidRPr="0001426B">
        <w:t xml:space="preserve"> </w:t>
      </w:r>
      <w:r w:rsidRPr="0001426B">
        <w:t>The</w:t>
      </w:r>
      <w:r w:rsidR="009A0847" w:rsidRPr="0001426B">
        <w:t xml:space="preserve"> </w:t>
      </w:r>
      <w:r w:rsidRPr="0001426B">
        <w:t>effect,</w:t>
      </w:r>
      <w:r w:rsidR="009A0847" w:rsidRPr="0001426B">
        <w:t xml:space="preserve"> </w:t>
      </w:r>
      <w:r w:rsidRPr="0001426B">
        <w:t>however,</w:t>
      </w:r>
      <w:r w:rsidR="009A0847" w:rsidRPr="0001426B">
        <w:t xml:space="preserve"> </w:t>
      </w:r>
      <w:r w:rsidRPr="0001426B">
        <w:t>is</w:t>
      </w:r>
      <w:r w:rsidR="009A0847" w:rsidRPr="0001426B">
        <w:t xml:space="preserve"> </w:t>
      </w:r>
      <w:r w:rsidRPr="0001426B">
        <w:t>too</w:t>
      </w:r>
      <w:r w:rsidR="009A0847" w:rsidRPr="0001426B">
        <w:t xml:space="preserve"> </w:t>
      </w:r>
      <w:r w:rsidRPr="0001426B">
        <w:t>small</w:t>
      </w:r>
      <w:r w:rsidR="009A0847" w:rsidRPr="0001426B">
        <w:t xml:space="preserve"> </w:t>
      </w:r>
      <w:r w:rsidRPr="0001426B">
        <w:t>to</w:t>
      </w:r>
      <w:r w:rsidR="009A0847" w:rsidRPr="0001426B">
        <w:t xml:space="preserve"> </w:t>
      </w:r>
      <w:r w:rsidRPr="0001426B">
        <w:t>be</w:t>
      </w:r>
      <w:r w:rsidR="009A0847" w:rsidRPr="0001426B">
        <w:t xml:space="preserve"> </w:t>
      </w:r>
      <w:r w:rsidRPr="0001426B">
        <w:t>significant</w:t>
      </w:r>
      <w:r w:rsidR="009A0847" w:rsidRPr="0001426B">
        <w:t xml:space="preserve"> </w:t>
      </w:r>
      <w:r w:rsidRPr="0001426B">
        <w:t>at</w:t>
      </w:r>
      <w:r w:rsidR="009A0847" w:rsidRPr="0001426B">
        <w:t xml:space="preserve"> </w:t>
      </w:r>
      <w:r w:rsidRPr="0001426B">
        <w:t>usual</w:t>
      </w:r>
      <w:r w:rsidR="009A0847" w:rsidRPr="0001426B">
        <w:t xml:space="preserve"> </w:t>
      </w:r>
      <w:r w:rsidRPr="0001426B">
        <w:t>significance</w:t>
      </w:r>
      <w:r w:rsidR="009A0847">
        <w:rPr>
          <w:color w:val="000000" w:themeColor="text1"/>
        </w:rPr>
        <w:t xml:space="preserve"> </w:t>
      </w:r>
      <w:r w:rsidRPr="00323C69">
        <w:rPr>
          <w:color w:val="000000" w:themeColor="text1"/>
        </w:rPr>
        <w:t>levels.</w:t>
      </w:r>
      <w:r w:rsidR="009A0847">
        <w:rPr>
          <w:color w:val="000000" w:themeColor="text1"/>
        </w:rPr>
        <w:t xml:space="preserve"> </w:t>
      </w:r>
      <w:r w:rsidRPr="00323C69">
        <w:rPr>
          <w:color w:val="000000" w:themeColor="text1"/>
        </w:rPr>
        <w:t>We</w:t>
      </w:r>
      <w:r w:rsidR="009A0847">
        <w:rPr>
          <w:color w:val="000000" w:themeColor="text1"/>
        </w:rPr>
        <w:t xml:space="preserve"> </w:t>
      </w:r>
      <w:r w:rsidRPr="00323C69">
        <w:rPr>
          <w:color w:val="000000" w:themeColor="text1"/>
        </w:rPr>
        <w:t>can</w:t>
      </w:r>
      <w:r w:rsidR="009A0847">
        <w:rPr>
          <w:color w:val="000000" w:themeColor="text1"/>
        </w:rPr>
        <w:t xml:space="preserve"> </w:t>
      </w:r>
      <w:r w:rsidRPr="00323C69">
        <w:rPr>
          <w:color w:val="000000" w:themeColor="text1"/>
        </w:rPr>
        <w:t>also</w:t>
      </w:r>
      <w:r w:rsidR="009A0847">
        <w:rPr>
          <w:color w:val="000000" w:themeColor="text1"/>
        </w:rPr>
        <w:t xml:space="preserve"> </w:t>
      </w:r>
      <w:r w:rsidRPr="00323C69">
        <w:rPr>
          <w:color w:val="000000" w:themeColor="text1"/>
        </w:rPr>
        <w:t>see</w:t>
      </w:r>
      <w:r w:rsidR="009A0847">
        <w:rPr>
          <w:color w:val="000000" w:themeColor="text1"/>
        </w:rPr>
        <w:t xml:space="preserve"> </w:t>
      </w:r>
      <w:r w:rsidRPr="00323C69">
        <w:rPr>
          <w:color w:val="000000" w:themeColor="text1"/>
        </w:rPr>
        <w:t>in</w:t>
      </w:r>
      <w:r w:rsidR="009A0847">
        <w:rPr>
          <w:color w:val="000000" w:themeColor="text1"/>
        </w:rPr>
        <w:t xml:space="preserve"> </w:t>
      </w:r>
      <w:r w:rsidRPr="00323C69">
        <w:rPr>
          <w:color w:val="000000" w:themeColor="text1"/>
        </w:rPr>
        <w:t>Table</w:t>
      </w:r>
      <w:r w:rsidR="009A0847">
        <w:rPr>
          <w:color w:val="000000" w:themeColor="text1"/>
        </w:rPr>
        <w:t xml:space="preserve"> </w:t>
      </w:r>
      <w:r w:rsidRPr="00323C69">
        <w:rPr>
          <w:color w:val="000000" w:themeColor="text1"/>
        </w:rPr>
        <w:t>1</w:t>
      </w:r>
      <w:r w:rsidR="009A0847">
        <w:rPr>
          <w:color w:val="000000" w:themeColor="text1"/>
        </w:rPr>
        <w:t xml:space="preserve"> </w:t>
      </w:r>
      <w:r w:rsidRPr="00323C69">
        <w:rPr>
          <w:color w:val="000000" w:themeColor="text1"/>
        </w:rPr>
        <w:t>that</w:t>
      </w:r>
      <w:r w:rsidR="009A0847">
        <w:rPr>
          <w:color w:val="000000" w:themeColor="text1"/>
        </w:rPr>
        <w:t xml:space="preserve"> </w:t>
      </w:r>
      <w:r w:rsidRPr="00323C69">
        <w:rPr>
          <w:color w:val="000000" w:themeColor="text1"/>
        </w:rPr>
        <w:t>the</w:t>
      </w:r>
      <w:r w:rsidR="009A0847">
        <w:rPr>
          <w:color w:val="000000" w:themeColor="text1"/>
        </w:rPr>
        <w:t xml:space="preserve"> </w:t>
      </w:r>
      <w:r w:rsidRPr="00323C69">
        <w:rPr>
          <w:color w:val="000000" w:themeColor="text1"/>
        </w:rPr>
        <w:t>average</w:t>
      </w:r>
      <w:r w:rsidR="009A0847">
        <w:rPr>
          <w:color w:val="000000" w:themeColor="text1"/>
        </w:rPr>
        <w:t xml:space="preserve"> </w:t>
      </w:r>
      <w:r w:rsidRPr="00323C69">
        <w:rPr>
          <w:color w:val="000000" w:themeColor="text1"/>
        </w:rPr>
        <w:t>profits</w:t>
      </w:r>
      <w:r w:rsidR="009A0847">
        <w:rPr>
          <w:color w:val="000000" w:themeColor="text1"/>
        </w:rPr>
        <w:t xml:space="preserve"> </w:t>
      </w:r>
      <w:r w:rsidRPr="00323C69">
        <w:rPr>
          <w:color w:val="000000" w:themeColor="text1"/>
        </w:rPr>
        <w:t>of</w:t>
      </w:r>
      <w:r w:rsidR="009A0847">
        <w:rPr>
          <w:color w:val="000000" w:themeColor="text1"/>
        </w:rPr>
        <w:t xml:space="preserve"> </w:t>
      </w:r>
      <w:r w:rsidRPr="00323C69">
        <w:rPr>
          <w:color w:val="000000" w:themeColor="text1"/>
        </w:rPr>
        <w:t>illiquid</w:t>
      </w:r>
      <w:r w:rsidR="009A0847">
        <w:rPr>
          <w:color w:val="000000" w:themeColor="text1"/>
        </w:rPr>
        <w:t xml:space="preserve"> </w:t>
      </w:r>
      <w:r w:rsidRPr="00323C69">
        <w:rPr>
          <w:color w:val="000000" w:themeColor="text1"/>
        </w:rPr>
        <w:t>banks</w:t>
      </w:r>
      <w:r w:rsidR="009A0847">
        <w:rPr>
          <w:color w:val="000000" w:themeColor="text1"/>
        </w:rPr>
        <w:t xml:space="preserve"> </w:t>
      </w:r>
      <w:r w:rsidRPr="00323C69">
        <w:rPr>
          <w:color w:val="000000" w:themeColor="text1"/>
        </w:rPr>
        <w:t>over</w:t>
      </w:r>
      <w:r w:rsidR="009A0847">
        <w:rPr>
          <w:color w:val="000000" w:themeColor="text1"/>
        </w:rPr>
        <w:t xml:space="preserve"> </w:t>
      </w:r>
      <w:r w:rsidRPr="00323C69">
        <w:rPr>
          <w:color w:val="000000" w:themeColor="text1"/>
        </w:rPr>
        <w:t>the</w:t>
      </w:r>
      <w:r w:rsidR="009A0847">
        <w:rPr>
          <w:color w:val="000000" w:themeColor="text1"/>
        </w:rPr>
        <w:t xml:space="preserve"> </w:t>
      </w:r>
      <w:r w:rsidRPr="00323C69">
        <w:rPr>
          <w:color w:val="000000" w:themeColor="text1"/>
        </w:rPr>
        <w:t>last</w:t>
      </w:r>
      <w:r w:rsidR="009A0847">
        <w:rPr>
          <w:color w:val="000000" w:themeColor="text1"/>
        </w:rPr>
        <w:t xml:space="preserve"> </w:t>
      </w:r>
      <w:r w:rsidRPr="00323C69">
        <w:rPr>
          <w:color w:val="000000" w:themeColor="text1"/>
        </w:rPr>
        <w:t>10</w:t>
      </w:r>
      <w:r w:rsidR="009A0847">
        <w:rPr>
          <w:color w:val="000000" w:themeColor="text1"/>
        </w:rPr>
        <w:t xml:space="preserve"> </w:t>
      </w:r>
      <w:r w:rsidRPr="00323C69">
        <w:rPr>
          <w:color w:val="000000" w:themeColor="text1"/>
        </w:rPr>
        <w:t>rounds</w:t>
      </w:r>
      <w:r w:rsidR="009A0847">
        <w:rPr>
          <w:color w:val="000000" w:themeColor="text1"/>
        </w:rPr>
        <w:t xml:space="preserve"> </w:t>
      </w:r>
      <w:r w:rsidRPr="00323C69">
        <w:rPr>
          <w:color w:val="000000" w:themeColor="text1"/>
        </w:rPr>
        <w:t>were</w:t>
      </w:r>
      <w:r w:rsidR="009A0847">
        <w:rPr>
          <w:color w:val="000000" w:themeColor="text1"/>
        </w:rPr>
        <w:t xml:space="preserve"> </w:t>
      </w:r>
      <w:r w:rsidRPr="00323C69">
        <w:rPr>
          <w:color w:val="000000" w:themeColor="text1"/>
        </w:rPr>
        <w:t>significantly</w:t>
      </w:r>
      <w:r w:rsidR="009A0847">
        <w:rPr>
          <w:color w:val="000000" w:themeColor="text1"/>
        </w:rPr>
        <w:t xml:space="preserve"> </w:t>
      </w:r>
      <w:r w:rsidRPr="00323C69">
        <w:rPr>
          <w:color w:val="000000" w:themeColor="text1"/>
        </w:rPr>
        <w:t>higher</w:t>
      </w:r>
      <w:r w:rsidR="009A0847">
        <w:rPr>
          <w:color w:val="000000" w:themeColor="text1"/>
        </w:rPr>
        <w:t xml:space="preserve"> </w:t>
      </w:r>
      <w:r w:rsidRPr="00323C69">
        <w:rPr>
          <w:color w:val="000000" w:themeColor="text1"/>
        </w:rPr>
        <w:t>(at</w:t>
      </w:r>
      <w:r w:rsidR="009A0847">
        <w:rPr>
          <w:color w:val="000000" w:themeColor="text1"/>
        </w:rPr>
        <w:t xml:space="preserve"> </w:t>
      </w:r>
      <w:r w:rsidRPr="00323C69">
        <w:rPr>
          <w:color w:val="000000" w:themeColor="text1"/>
        </w:rPr>
        <w:t>the</w:t>
      </w:r>
      <w:r w:rsidR="009A0847">
        <w:rPr>
          <w:color w:val="000000" w:themeColor="text1"/>
        </w:rPr>
        <w:t xml:space="preserve"> </w:t>
      </w:r>
      <w:r w:rsidRPr="00323C69">
        <w:rPr>
          <w:color w:val="000000" w:themeColor="text1"/>
        </w:rPr>
        <w:t>5%</w:t>
      </w:r>
      <w:r w:rsidR="009A0847">
        <w:rPr>
          <w:color w:val="000000" w:themeColor="text1"/>
        </w:rPr>
        <w:t xml:space="preserve"> </w:t>
      </w:r>
      <w:r w:rsidRPr="00323C69">
        <w:rPr>
          <w:color w:val="000000" w:themeColor="text1"/>
        </w:rPr>
        <w:t>level)</w:t>
      </w:r>
      <w:r w:rsidR="009A0847">
        <w:rPr>
          <w:color w:val="000000" w:themeColor="text1"/>
        </w:rPr>
        <w:t xml:space="preserve"> </w:t>
      </w:r>
      <w:r w:rsidRPr="00323C69">
        <w:rPr>
          <w:color w:val="000000" w:themeColor="text1"/>
        </w:rPr>
        <w:t>in</w:t>
      </w:r>
      <w:r w:rsidR="009A0847">
        <w:rPr>
          <w:color w:val="000000" w:themeColor="text1"/>
        </w:rPr>
        <w:t xml:space="preserve"> </w:t>
      </w:r>
      <w:r w:rsidRPr="00323C69">
        <w:rPr>
          <w:color w:val="000000" w:themeColor="text1"/>
        </w:rPr>
        <w:t>the</w:t>
      </w:r>
      <w:r w:rsidR="009A0847">
        <w:rPr>
          <w:color w:val="000000" w:themeColor="text1"/>
        </w:rPr>
        <w:t xml:space="preserve"> </w:t>
      </w:r>
      <w:r w:rsidRPr="00323C69">
        <w:rPr>
          <w:color w:val="000000" w:themeColor="text1"/>
        </w:rPr>
        <w:t>random</w:t>
      </w:r>
      <w:r w:rsidR="009A0847">
        <w:rPr>
          <w:color w:val="000000" w:themeColor="text1"/>
        </w:rPr>
        <w:t xml:space="preserve"> </w:t>
      </w:r>
      <w:r w:rsidRPr="00323C69">
        <w:rPr>
          <w:color w:val="000000" w:themeColor="text1"/>
        </w:rPr>
        <w:t>borrowing</w:t>
      </w:r>
      <w:r w:rsidR="009A0847">
        <w:rPr>
          <w:color w:val="000000" w:themeColor="text1"/>
        </w:rPr>
        <w:t xml:space="preserve"> </w:t>
      </w:r>
      <w:r w:rsidRPr="00323C69">
        <w:rPr>
          <w:color w:val="000000" w:themeColor="text1"/>
        </w:rPr>
        <w:t>treatment.</w:t>
      </w:r>
      <w:r w:rsidR="009A0847">
        <w:rPr>
          <w:color w:val="000000" w:themeColor="text1"/>
        </w:rPr>
        <w:t xml:space="preserve"> </w:t>
      </w:r>
      <w:r w:rsidRPr="00323C69">
        <w:rPr>
          <w:color w:val="000000" w:themeColor="text1"/>
        </w:rPr>
        <w:t>This</w:t>
      </w:r>
      <w:r w:rsidR="009A0847">
        <w:rPr>
          <w:color w:val="000000" w:themeColor="text1"/>
        </w:rPr>
        <w:t xml:space="preserve"> </w:t>
      </w:r>
      <w:r w:rsidRPr="00323C69">
        <w:rPr>
          <w:color w:val="000000" w:themeColor="text1"/>
        </w:rPr>
        <w:t>treatment</w:t>
      </w:r>
      <w:r w:rsidR="009A0847">
        <w:rPr>
          <w:color w:val="000000" w:themeColor="text1"/>
        </w:rPr>
        <w:t xml:space="preserve"> </w:t>
      </w:r>
      <w:r w:rsidRPr="00323C69">
        <w:rPr>
          <w:color w:val="000000" w:themeColor="text1"/>
        </w:rPr>
        <w:t>effect</w:t>
      </w:r>
      <w:r w:rsidR="009A0847">
        <w:rPr>
          <w:color w:val="000000" w:themeColor="text1"/>
        </w:rPr>
        <w:t xml:space="preserve"> </w:t>
      </w:r>
      <w:r w:rsidRPr="00323C69">
        <w:rPr>
          <w:color w:val="000000" w:themeColor="text1"/>
        </w:rPr>
        <w:t>is</w:t>
      </w:r>
      <w:r w:rsidR="009A0847">
        <w:rPr>
          <w:color w:val="000000" w:themeColor="text1"/>
        </w:rPr>
        <w:t xml:space="preserve"> </w:t>
      </w:r>
      <w:r w:rsidRPr="00323C69">
        <w:rPr>
          <w:color w:val="000000" w:themeColor="text1"/>
        </w:rPr>
        <w:t>consistent</w:t>
      </w:r>
      <w:r w:rsidR="009A0847">
        <w:rPr>
          <w:color w:val="000000" w:themeColor="text1"/>
        </w:rPr>
        <w:t xml:space="preserve"> </w:t>
      </w:r>
      <w:r w:rsidRPr="00323C69">
        <w:rPr>
          <w:color w:val="000000" w:themeColor="text1"/>
        </w:rPr>
        <w:t>with</w:t>
      </w:r>
      <w:r w:rsidR="009A0847">
        <w:rPr>
          <w:color w:val="000000" w:themeColor="text1"/>
        </w:rPr>
        <w:t xml:space="preserve"> </w:t>
      </w:r>
      <w:r w:rsidRPr="00323C69">
        <w:rPr>
          <w:color w:val="000000" w:themeColor="text1"/>
        </w:rPr>
        <w:t>theory,</w:t>
      </w:r>
      <w:r w:rsidR="009A0847">
        <w:rPr>
          <w:color w:val="000000" w:themeColor="text1"/>
        </w:rPr>
        <w:t xml:space="preserve"> </w:t>
      </w:r>
      <w:r w:rsidRPr="00323C69">
        <w:rPr>
          <w:color w:val="000000" w:themeColor="text1"/>
        </w:rPr>
        <w:t>because</w:t>
      </w:r>
      <w:r w:rsidR="009A0847">
        <w:rPr>
          <w:color w:val="000000" w:themeColor="text1"/>
        </w:rPr>
        <w:t xml:space="preserve"> </w:t>
      </w:r>
      <w:r w:rsidRPr="00323C69">
        <w:rPr>
          <w:color w:val="000000" w:themeColor="text1"/>
        </w:rPr>
        <w:t>illiquid</w:t>
      </w:r>
      <w:r w:rsidR="009A0847">
        <w:rPr>
          <w:color w:val="000000" w:themeColor="text1"/>
        </w:rPr>
        <w:t xml:space="preserve"> </w:t>
      </w:r>
      <w:r w:rsidRPr="00323C69">
        <w:rPr>
          <w:color w:val="000000" w:themeColor="text1"/>
        </w:rPr>
        <w:t>banks</w:t>
      </w:r>
      <w:r w:rsidR="009A0847">
        <w:rPr>
          <w:color w:val="000000" w:themeColor="text1"/>
        </w:rPr>
        <w:t xml:space="preserve"> </w:t>
      </w:r>
      <w:r w:rsidR="00955D65">
        <w:rPr>
          <w:color w:val="000000" w:themeColor="text1"/>
        </w:rPr>
        <w:t>should</w:t>
      </w:r>
      <w:r w:rsidR="009A0847">
        <w:rPr>
          <w:color w:val="000000" w:themeColor="text1"/>
        </w:rPr>
        <w:t xml:space="preserve"> </w:t>
      </w:r>
      <w:r w:rsidRPr="00323C69">
        <w:rPr>
          <w:color w:val="000000" w:themeColor="text1"/>
        </w:rPr>
        <w:t>benefit</w:t>
      </w:r>
      <w:r w:rsidR="009A0847">
        <w:rPr>
          <w:color w:val="000000" w:themeColor="text1"/>
        </w:rPr>
        <w:t xml:space="preserve"> </w:t>
      </w:r>
      <w:r w:rsidRPr="00323C69">
        <w:rPr>
          <w:color w:val="000000" w:themeColor="text1"/>
        </w:rPr>
        <w:t>the</w:t>
      </w:r>
      <w:r w:rsidR="009A0847">
        <w:rPr>
          <w:color w:val="000000" w:themeColor="text1"/>
        </w:rPr>
        <w:t xml:space="preserve"> </w:t>
      </w:r>
      <w:r w:rsidRPr="00323C69">
        <w:rPr>
          <w:color w:val="000000" w:themeColor="text1"/>
        </w:rPr>
        <w:t>most</w:t>
      </w:r>
      <w:r w:rsidR="009A0847">
        <w:rPr>
          <w:color w:val="000000" w:themeColor="text1"/>
        </w:rPr>
        <w:t xml:space="preserve"> </w:t>
      </w:r>
      <w:r w:rsidRPr="00323C69">
        <w:rPr>
          <w:color w:val="000000" w:themeColor="text1"/>
        </w:rPr>
        <w:t>from</w:t>
      </w:r>
      <w:r w:rsidR="009A0847">
        <w:rPr>
          <w:color w:val="000000" w:themeColor="text1"/>
        </w:rPr>
        <w:t xml:space="preserve"> </w:t>
      </w:r>
      <w:r w:rsidRPr="00323C69">
        <w:rPr>
          <w:color w:val="000000" w:themeColor="text1"/>
        </w:rPr>
        <w:t>random</w:t>
      </w:r>
      <w:r w:rsidR="009A0847">
        <w:rPr>
          <w:color w:val="000000" w:themeColor="text1"/>
        </w:rPr>
        <w:t xml:space="preserve"> </w:t>
      </w:r>
      <w:r w:rsidRPr="00323C69">
        <w:rPr>
          <w:color w:val="000000" w:themeColor="text1"/>
        </w:rPr>
        <w:t>borrowing.</w:t>
      </w:r>
    </w:p>
    <w:p w14:paraId="443D0DF8" w14:textId="58713D94" w:rsidR="00F45B3E" w:rsidRDefault="00F45B3E" w:rsidP="00F86E09">
      <w:pPr>
        <w:pStyle w:val="Olivier1"/>
        <w:widowControl w:val="0"/>
        <w:ind w:firstLine="360"/>
      </w:pPr>
      <w:r>
        <w:t>Summing</w:t>
      </w:r>
      <w:r w:rsidR="009A0847">
        <w:t xml:space="preserve"> </w:t>
      </w:r>
      <w:r>
        <w:t>up</w:t>
      </w:r>
      <w:r w:rsidR="009A0847">
        <w:t xml:space="preserve"> </w:t>
      </w:r>
      <w:r>
        <w:t>the</w:t>
      </w:r>
      <w:r w:rsidR="009A0847">
        <w:t xml:space="preserve"> </w:t>
      </w:r>
      <w:r>
        <w:t>results</w:t>
      </w:r>
      <w:r w:rsidR="009A0847">
        <w:t xml:space="preserve"> </w:t>
      </w:r>
      <w:r>
        <w:t>from</w:t>
      </w:r>
      <w:r w:rsidR="009A0847">
        <w:t xml:space="preserve"> </w:t>
      </w:r>
      <w:r>
        <w:t>this</w:t>
      </w:r>
      <w:r w:rsidR="009A0847">
        <w:t xml:space="preserve"> </w:t>
      </w:r>
      <w:r>
        <w:t>section,</w:t>
      </w:r>
      <w:r w:rsidR="009A0847">
        <w:t xml:space="preserve"> </w:t>
      </w:r>
      <w:r>
        <w:t>we</w:t>
      </w:r>
      <w:r w:rsidR="009A0847">
        <w:t xml:space="preserve"> </w:t>
      </w:r>
      <w:r>
        <w:t>were</w:t>
      </w:r>
      <w:r w:rsidR="009A0847">
        <w:t xml:space="preserve"> </w:t>
      </w:r>
      <w:r>
        <w:t>able</w:t>
      </w:r>
      <w:r w:rsidR="009A0847">
        <w:t xml:space="preserve"> </w:t>
      </w:r>
      <w:r>
        <w:t>to</w:t>
      </w:r>
      <w:r w:rsidR="009A0847">
        <w:t xml:space="preserve"> </w:t>
      </w:r>
      <w:r>
        <w:t>generate</w:t>
      </w:r>
      <w:r w:rsidR="009A0847">
        <w:t xml:space="preserve"> </w:t>
      </w:r>
      <w:r>
        <w:t>DW</w:t>
      </w:r>
      <w:r w:rsidR="009A0847">
        <w:t xml:space="preserve"> </w:t>
      </w:r>
      <w:r>
        <w:t>stigma</w:t>
      </w:r>
      <w:r w:rsidR="009A0847">
        <w:t xml:space="preserve"> </w:t>
      </w:r>
      <w:r>
        <w:t>in</w:t>
      </w:r>
      <w:r w:rsidR="009A0847">
        <w:t xml:space="preserve"> </w:t>
      </w:r>
      <w:r>
        <w:t>the</w:t>
      </w:r>
      <w:r w:rsidR="009A0847">
        <w:t xml:space="preserve"> </w:t>
      </w:r>
      <w:r>
        <w:t>control</w:t>
      </w:r>
      <w:r w:rsidR="009A0847">
        <w:t xml:space="preserve"> </w:t>
      </w:r>
      <w:r>
        <w:lastRenderedPageBreak/>
        <w:t>treatment.</w:t>
      </w:r>
      <w:r w:rsidR="009A0847">
        <w:t xml:space="preserve"> </w:t>
      </w:r>
      <w:r>
        <w:t>In</w:t>
      </w:r>
      <w:r w:rsidR="009A0847">
        <w:t xml:space="preserve"> </w:t>
      </w:r>
      <w:r>
        <w:t>contrast</w:t>
      </w:r>
      <w:r w:rsidR="009A0847">
        <w:t xml:space="preserve"> </w:t>
      </w:r>
      <w:r>
        <w:t>with</w:t>
      </w:r>
      <w:r w:rsidR="009A0847">
        <w:t xml:space="preserve"> </w:t>
      </w:r>
      <w:r>
        <w:t>lowering</w:t>
      </w:r>
      <w:r w:rsidR="009A0847">
        <w:t xml:space="preserve"> </w:t>
      </w:r>
      <w:r>
        <w:t>the</w:t>
      </w:r>
      <w:r w:rsidR="009A0847">
        <w:t xml:space="preserve"> </w:t>
      </w:r>
      <w:r>
        <w:t>DW</w:t>
      </w:r>
      <w:r w:rsidR="009A0847">
        <w:t xml:space="preserve"> </w:t>
      </w:r>
      <w:r>
        <w:t>cost</w:t>
      </w:r>
      <w:r w:rsidR="009A0847">
        <w:t xml:space="preserve"> </w:t>
      </w:r>
      <w:r w:rsidR="009373B1">
        <w:t>and</w:t>
      </w:r>
      <w:r w:rsidR="009A0847">
        <w:t xml:space="preserve"> </w:t>
      </w:r>
      <w:r w:rsidR="009373B1">
        <w:t>lowering</w:t>
      </w:r>
      <w:r w:rsidR="009A0847">
        <w:t xml:space="preserve"> </w:t>
      </w:r>
      <w:r w:rsidR="009373B1">
        <w:t>the</w:t>
      </w:r>
      <w:r w:rsidR="009A0847">
        <w:t xml:space="preserve"> </w:t>
      </w:r>
      <w:r w:rsidR="009373B1">
        <w:t>probability</w:t>
      </w:r>
      <w:r w:rsidR="009A0847">
        <w:t xml:space="preserve"> </w:t>
      </w:r>
      <w:r w:rsidR="009373B1">
        <w:t>of</w:t>
      </w:r>
      <w:r w:rsidR="009A0847">
        <w:t xml:space="preserve"> </w:t>
      </w:r>
      <w:r w:rsidR="009373B1">
        <w:t>detection</w:t>
      </w:r>
      <w:r>
        <w:t>,</w:t>
      </w:r>
      <w:r w:rsidR="009A0847">
        <w:t xml:space="preserve"> </w:t>
      </w:r>
      <w:r>
        <w:t>which</w:t>
      </w:r>
      <w:r w:rsidR="009A0847">
        <w:t xml:space="preserve"> </w:t>
      </w:r>
      <w:r>
        <w:t>w</w:t>
      </w:r>
      <w:r w:rsidR="006D5840">
        <w:t>ere</w:t>
      </w:r>
      <w:r w:rsidR="009A0847">
        <w:t xml:space="preserve"> </w:t>
      </w:r>
      <w:r>
        <w:t>ineffective</w:t>
      </w:r>
      <w:r w:rsidR="009A0847">
        <w:t xml:space="preserve"> </w:t>
      </w:r>
      <w:r w:rsidR="006D5840">
        <w:t>at</w:t>
      </w:r>
      <w:r w:rsidR="009A0847">
        <w:t xml:space="preserve"> </w:t>
      </w:r>
      <w:r w:rsidR="009373B1">
        <w:t>overcom</w:t>
      </w:r>
      <w:r w:rsidR="006D5840">
        <w:t>ing</w:t>
      </w:r>
      <w:r w:rsidR="009A0847">
        <w:t xml:space="preserve"> </w:t>
      </w:r>
      <w:r>
        <w:t>st</w:t>
      </w:r>
      <w:r w:rsidR="009373B1">
        <w:t>igma,</w:t>
      </w:r>
      <w:r w:rsidR="009A0847">
        <w:t xml:space="preserve"> </w:t>
      </w:r>
      <w:r>
        <w:t>random</w:t>
      </w:r>
      <w:r w:rsidR="009A0847">
        <w:t xml:space="preserve"> </w:t>
      </w:r>
      <w:r>
        <w:t>borrowing</w:t>
      </w:r>
      <w:r w:rsidR="009A0847">
        <w:t xml:space="preserve"> </w:t>
      </w:r>
      <w:r>
        <w:t>helped</w:t>
      </w:r>
      <w:r w:rsidR="009A0847">
        <w:t xml:space="preserve"> </w:t>
      </w:r>
      <w:r>
        <w:t>subjects</w:t>
      </w:r>
      <w:r w:rsidR="009A0847">
        <w:t xml:space="preserve"> </w:t>
      </w:r>
      <w:r>
        <w:t>coordinate</w:t>
      </w:r>
      <w:r w:rsidR="009A0847">
        <w:t xml:space="preserve"> </w:t>
      </w:r>
      <w:r>
        <w:t>on</w:t>
      </w:r>
      <w:r w:rsidR="009A0847">
        <w:t xml:space="preserve"> </w:t>
      </w:r>
      <w:r>
        <w:t>the</w:t>
      </w:r>
      <w:r w:rsidR="009A0847">
        <w:t xml:space="preserve"> </w:t>
      </w:r>
      <w:r>
        <w:t>stigma-free</w:t>
      </w:r>
      <w:r w:rsidR="009A0847">
        <w:t xml:space="preserve"> </w:t>
      </w:r>
      <w:r>
        <w:t>equilibrium.</w:t>
      </w:r>
      <w:r w:rsidR="009A0847">
        <w:t xml:space="preserve"> </w:t>
      </w:r>
    </w:p>
    <w:p w14:paraId="480CB370" w14:textId="6FB2DBF2" w:rsidR="00E33382" w:rsidRDefault="00DC5304" w:rsidP="00F86E09">
      <w:pPr>
        <w:pStyle w:val="Heading1"/>
        <w:widowControl w:val="0"/>
        <w:spacing w:line="276" w:lineRule="auto"/>
      </w:pPr>
      <w:r>
        <w:t>5.</w:t>
      </w:r>
      <w:r w:rsidR="009A0847">
        <w:t xml:space="preserve"> </w:t>
      </w:r>
      <w:r w:rsidR="00E33382">
        <w:t>Regressions</w:t>
      </w:r>
      <w:r w:rsidR="009A0847">
        <w:t xml:space="preserve"> </w:t>
      </w:r>
      <w:r w:rsidR="00E33382">
        <w:t>analysis</w:t>
      </w:r>
    </w:p>
    <w:p w14:paraId="55A04BA1" w14:textId="57CE0A25" w:rsidR="00A7436E" w:rsidRPr="00323C69" w:rsidRDefault="00A7436E" w:rsidP="00F86E09">
      <w:pPr>
        <w:pStyle w:val="Olivier1"/>
        <w:widowControl w:val="0"/>
        <w:rPr>
          <w:color w:val="000000" w:themeColor="text1"/>
        </w:rPr>
      </w:pPr>
      <w:r w:rsidRPr="00323C69">
        <w:rPr>
          <w:color w:val="000000" w:themeColor="text1"/>
        </w:rPr>
        <w:t>This</w:t>
      </w:r>
      <w:r w:rsidR="009A0847">
        <w:rPr>
          <w:color w:val="000000" w:themeColor="text1"/>
        </w:rPr>
        <w:t xml:space="preserve"> </w:t>
      </w:r>
      <w:r w:rsidRPr="00323C69">
        <w:rPr>
          <w:color w:val="000000" w:themeColor="text1"/>
        </w:rPr>
        <w:t>section</w:t>
      </w:r>
      <w:r w:rsidR="009A0847">
        <w:rPr>
          <w:color w:val="000000" w:themeColor="text1"/>
        </w:rPr>
        <w:t xml:space="preserve"> </w:t>
      </w:r>
      <w:r w:rsidRPr="00323C69">
        <w:rPr>
          <w:color w:val="000000" w:themeColor="text1"/>
        </w:rPr>
        <w:t>uses</w:t>
      </w:r>
      <w:r w:rsidR="009A0847">
        <w:rPr>
          <w:color w:val="000000" w:themeColor="text1"/>
        </w:rPr>
        <w:t xml:space="preserve"> </w:t>
      </w:r>
      <w:r w:rsidRPr="00323C69">
        <w:rPr>
          <w:color w:val="000000" w:themeColor="text1"/>
        </w:rPr>
        <w:t>econometric</w:t>
      </w:r>
      <w:r w:rsidR="009A0847">
        <w:rPr>
          <w:color w:val="000000" w:themeColor="text1"/>
        </w:rPr>
        <w:t xml:space="preserve"> </w:t>
      </w:r>
      <w:r w:rsidRPr="00323C69">
        <w:rPr>
          <w:color w:val="000000" w:themeColor="text1"/>
        </w:rPr>
        <w:t>methods</w:t>
      </w:r>
      <w:r w:rsidR="009A0847">
        <w:rPr>
          <w:color w:val="000000" w:themeColor="text1"/>
        </w:rPr>
        <w:t xml:space="preserve"> </w:t>
      </w:r>
      <w:r w:rsidRPr="00323C69">
        <w:rPr>
          <w:color w:val="000000" w:themeColor="text1"/>
        </w:rPr>
        <w:t>to</w:t>
      </w:r>
      <w:r w:rsidR="009A0847">
        <w:rPr>
          <w:color w:val="000000" w:themeColor="text1"/>
        </w:rPr>
        <w:t xml:space="preserve"> </w:t>
      </w:r>
      <w:r w:rsidR="004105C1" w:rsidRPr="00323C69">
        <w:rPr>
          <w:color w:val="000000" w:themeColor="text1"/>
        </w:rPr>
        <w:t>study</w:t>
      </w:r>
      <w:r w:rsidR="009A0847">
        <w:rPr>
          <w:color w:val="000000" w:themeColor="text1"/>
        </w:rPr>
        <w:t xml:space="preserve"> </w:t>
      </w:r>
      <w:r w:rsidR="004105C1" w:rsidRPr="00323C69">
        <w:rPr>
          <w:color w:val="000000" w:themeColor="text1"/>
        </w:rPr>
        <w:t>the</w:t>
      </w:r>
      <w:r w:rsidR="009A0847">
        <w:rPr>
          <w:color w:val="000000" w:themeColor="text1"/>
        </w:rPr>
        <w:t xml:space="preserve"> </w:t>
      </w:r>
      <w:r w:rsidR="004105C1" w:rsidRPr="00323C69">
        <w:rPr>
          <w:color w:val="000000" w:themeColor="text1"/>
        </w:rPr>
        <w:t>dynamics</w:t>
      </w:r>
      <w:r w:rsidR="009A0847">
        <w:rPr>
          <w:color w:val="000000" w:themeColor="text1"/>
        </w:rPr>
        <w:t xml:space="preserve"> </w:t>
      </w:r>
      <w:r w:rsidR="004105C1" w:rsidRPr="00323C69">
        <w:rPr>
          <w:color w:val="000000" w:themeColor="text1"/>
        </w:rPr>
        <w:t>of</w:t>
      </w:r>
      <w:r w:rsidR="009A0847">
        <w:rPr>
          <w:color w:val="000000" w:themeColor="text1"/>
        </w:rPr>
        <w:t xml:space="preserve"> </w:t>
      </w:r>
      <w:r w:rsidR="004105C1" w:rsidRPr="00323C69">
        <w:rPr>
          <w:color w:val="000000" w:themeColor="text1"/>
        </w:rPr>
        <w:t>play</w:t>
      </w:r>
      <w:r w:rsidR="009A0847">
        <w:rPr>
          <w:color w:val="000000" w:themeColor="text1"/>
        </w:rPr>
        <w:t xml:space="preserve"> </w:t>
      </w:r>
      <w:r w:rsidR="004105C1" w:rsidRPr="00323C69">
        <w:rPr>
          <w:color w:val="000000" w:themeColor="text1"/>
        </w:rPr>
        <w:t>in</w:t>
      </w:r>
      <w:r w:rsidR="009A0847">
        <w:rPr>
          <w:color w:val="000000" w:themeColor="text1"/>
        </w:rPr>
        <w:t xml:space="preserve"> </w:t>
      </w:r>
      <w:r w:rsidR="004105C1" w:rsidRPr="00323C69">
        <w:rPr>
          <w:color w:val="000000" w:themeColor="text1"/>
        </w:rPr>
        <w:t>the</w:t>
      </w:r>
      <w:r w:rsidR="009A0847">
        <w:rPr>
          <w:color w:val="000000" w:themeColor="text1"/>
        </w:rPr>
        <w:t xml:space="preserve"> </w:t>
      </w:r>
      <w:r w:rsidR="004105C1" w:rsidRPr="00323C69">
        <w:rPr>
          <w:color w:val="000000" w:themeColor="text1"/>
        </w:rPr>
        <w:t>experiment</w:t>
      </w:r>
      <w:r w:rsidR="009A0847">
        <w:rPr>
          <w:color w:val="000000" w:themeColor="text1"/>
        </w:rPr>
        <w:t xml:space="preserve"> </w:t>
      </w:r>
      <w:r w:rsidRPr="00323C69">
        <w:rPr>
          <w:color w:val="000000" w:themeColor="text1"/>
        </w:rPr>
        <w:t>and</w:t>
      </w:r>
      <w:r w:rsidR="009A0847">
        <w:rPr>
          <w:color w:val="000000" w:themeColor="text1"/>
        </w:rPr>
        <w:t xml:space="preserve"> </w:t>
      </w:r>
      <w:r w:rsidRPr="00323C69">
        <w:rPr>
          <w:color w:val="000000" w:themeColor="text1"/>
        </w:rPr>
        <w:t>identify</w:t>
      </w:r>
      <w:r w:rsidR="009A0847">
        <w:rPr>
          <w:color w:val="000000" w:themeColor="text1"/>
        </w:rPr>
        <w:t xml:space="preserve"> </w:t>
      </w:r>
      <w:r w:rsidRPr="00323C69">
        <w:rPr>
          <w:color w:val="000000" w:themeColor="text1"/>
        </w:rPr>
        <w:t>the</w:t>
      </w:r>
      <w:r w:rsidR="009A0847">
        <w:rPr>
          <w:color w:val="000000" w:themeColor="text1"/>
        </w:rPr>
        <w:t xml:space="preserve"> </w:t>
      </w:r>
      <w:r w:rsidRPr="00323C69">
        <w:rPr>
          <w:color w:val="000000" w:themeColor="text1"/>
        </w:rPr>
        <w:t>factors</w:t>
      </w:r>
      <w:r w:rsidR="009A0847">
        <w:rPr>
          <w:color w:val="000000" w:themeColor="text1"/>
        </w:rPr>
        <w:t xml:space="preserve"> </w:t>
      </w:r>
      <w:r w:rsidRPr="00323C69">
        <w:rPr>
          <w:color w:val="000000" w:themeColor="text1"/>
        </w:rPr>
        <w:t>that</w:t>
      </w:r>
      <w:r w:rsidR="009A0847">
        <w:rPr>
          <w:color w:val="000000" w:themeColor="text1"/>
        </w:rPr>
        <w:t xml:space="preserve"> </w:t>
      </w:r>
      <w:r w:rsidRPr="00323C69">
        <w:rPr>
          <w:color w:val="000000" w:themeColor="text1"/>
        </w:rPr>
        <w:t>drive</w:t>
      </w:r>
      <w:r w:rsidR="009A0847">
        <w:rPr>
          <w:color w:val="000000" w:themeColor="text1"/>
        </w:rPr>
        <w:t xml:space="preserve"> </w:t>
      </w:r>
      <w:r w:rsidRPr="00323C69">
        <w:rPr>
          <w:color w:val="000000" w:themeColor="text1"/>
        </w:rPr>
        <w:t>coordination</w:t>
      </w:r>
      <w:r w:rsidR="009A0847">
        <w:rPr>
          <w:color w:val="000000" w:themeColor="text1"/>
        </w:rPr>
        <w:t xml:space="preserve"> </w:t>
      </w:r>
      <w:r w:rsidRPr="00323C69">
        <w:rPr>
          <w:color w:val="000000" w:themeColor="text1"/>
        </w:rPr>
        <w:t>toward</w:t>
      </w:r>
      <w:r w:rsidR="009A0847">
        <w:rPr>
          <w:color w:val="000000" w:themeColor="text1"/>
        </w:rPr>
        <w:t xml:space="preserve"> </w:t>
      </w:r>
      <w:r w:rsidRPr="00323C69">
        <w:rPr>
          <w:color w:val="000000" w:themeColor="text1"/>
        </w:rPr>
        <w:t>one</w:t>
      </w:r>
      <w:r w:rsidR="009A0847">
        <w:rPr>
          <w:color w:val="000000" w:themeColor="text1"/>
        </w:rPr>
        <w:t xml:space="preserve"> </w:t>
      </w:r>
      <w:r w:rsidRPr="00323C69">
        <w:rPr>
          <w:color w:val="000000" w:themeColor="text1"/>
        </w:rPr>
        <w:t>equilibrium</w:t>
      </w:r>
      <w:r w:rsidR="009A0847">
        <w:rPr>
          <w:color w:val="000000" w:themeColor="text1"/>
        </w:rPr>
        <w:t xml:space="preserve"> </w:t>
      </w:r>
      <w:r w:rsidRPr="00323C69">
        <w:rPr>
          <w:color w:val="000000" w:themeColor="text1"/>
        </w:rPr>
        <w:t>or</w:t>
      </w:r>
      <w:r w:rsidR="009A0847">
        <w:rPr>
          <w:color w:val="000000" w:themeColor="text1"/>
        </w:rPr>
        <w:t xml:space="preserve"> </w:t>
      </w:r>
      <w:r w:rsidRPr="00323C69">
        <w:rPr>
          <w:color w:val="000000" w:themeColor="text1"/>
        </w:rPr>
        <w:t>the</w:t>
      </w:r>
      <w:r w:rsidR="009A0847">
        <w:rPr>
          <w:color w:val="000000" w:themeColor="text1"/>
        </w:rPr>
        <w:t xml:space="preserve"> </w:t>
      </w:r>
      <w:r w:rsidRPr="00323C69">
        <w:rPr>
          <w:color w:val="000000" w:themeColor="text1"/>
        </w:rPr>
        <w:t>other.</w:t>
      </w:r>
    </w:p>
    <w:p w14:paraId="2A4CAFAC" w14:textId="2CC83B96" w:rsidR="00E33382" w:rsidRPr="008504BA" w:rsidRDefault="008504BA" w:rsidP="00F86E09">
      <w:pPr>
        <w:pStyle w:val="Heading2"/>
        <w:widowControl w:val="0"/>
        <w:spacing w:line="276" w:lineRule="auto"/>
      </w:pPr>
      <w:r>
        <w:t>5.1</w:t>
      </w:r>
      <w:r w:rsidR="009A0847">
        <w:t xml:space="preserve"> </w:t>
      </w:r>
      <w:r w:rsidR="00E33382" w:rsidRPr="008504BA">
        <w:t>Banks’</w:t>
      </w:r>
      <w:r w:rsidR="009A0847">
        <w:t xml:space="preserve"> </w:t>
      </w:r>
      <w:r w:rsidR="00E33382" w:rsidRPr="008504BA">
        <w:t>Behavior</w:t>
      </w:r>
    </w:p>
    <w:p w14:paraId="5AFC271C" w14:textId="65B13D9C" w:rsidR="00E33382" w:rsidRDefault="00E33382" w:rsidP="00F86E09">
      <w:pPr>
        <w:pStyle w:val="Olivier1"/>
        <w:widowControl w:val="0"/>
      </w:pPr>
      <w:r>
        <w:t>To</w:t>
      </w:r>
      <w:r w:rsidR="009A0847">
        <w:t xml:space="preserve"> </w:t>
      </w:r>
      <w:r>
        <w:t>study</w:t>
      </w:r>
      <w:r w:rsidR="009A0847">
        <w:t xml:space="preserve"> </w:t>
      </w:r>
      <w:r>
        <w:t>a</w:t>
      </w:r>
      <w:r w:rsidR="009A0847">
        <w:t xml:space="preserve"> </w:t>
      </w:r>
      <w:r w:rsidRPr="00244222">
        <w:t>bank’s</w:t>
      </w:r>
      <w:r w:rsidR="009A0847">
        <w:t xml:space="preserve"> </w:t>
      </w:r>
      <w:r>
        <w:t>simultaneous</w:t>
      </w:r>
      <w:r w:rsidR="009A0847">
        <w:t xml:space="preserve"> </w:t>
      </w:r>
      <w:r w:rsidRPr="00244222">
        <w:t>decision</w:t>
      </w:r>
      <w:r>
        <w:t>s</w:t>
      </w:r>
      <w:r w:rsidR="009A0847">
        <w:t xml:space="preserve"> </w:t>
      </w:r>
      <w:r w:rsidRPr="00244222">
        <w:t>to</w:t>
      </w:r>
      <w:r w:rsidR="009A0847">
        <w:t xml:space="preserve"> </w:t>
      </w:r>
      <w:r w:rsidRPr="00244222">
        <w:t>borrow</w:t>
      </w:r>
      <w:r w:rsidR="009A0847">
        <w:t xml:space="preserve"> </w:t>
      </w:r>
      <w:r w:rsidRPr="00244222">
        <w:t>at</w:t>
      </w:r>
      <w:r w:rsidR="009A0847">
        <w:t xml:space="preserve"> </w:t>
      </w:r>
      <w:r w:rsidRPr="00244222">
        <w:t>the</w:t>
      </w:r>
      <w:r w:rsidR="009A0847">
        <w:t xml:space="preserve"> </w:t>
      </w:r>
      <w:r w:rsidRPr="00244222">
        <w:t>DW</w:t>
      </w:r>
      <w:r w:rsidR="009A0847">
        <w:t xml:space="preserve"> </w:t>
      </w:r>
      <w:r w:rsidRPr="00302943">
        <w:rPr>
          <w:i/>
        </w:rPr>
        <w:t>if</w:t>
      </w:r>
      <w:r w:rsidR="009A0847">
        <w:rPr>
          <w:i/>
        </w:rPr>
        <w:t xml:space="preserve"> </w:t>
      </w:r>
      <w:r w:rsidR="001212A3">
        <w:rPr>
          <w:i/>
        </w:rPr>
        <w:t>solvent-illiquid</w:t>
      </w:r>
      <w:r w:rsidR="009A0847">
        <w:t xml:space="preserve"> </w:t>
      </w:r>
      <w:r>
        <w:t>and</w:t>
      </w:r>
      <w:r w:rsidR="009A0847">
        <w:t xml:space="preserve"> </w:t>
      </w:r>
      <w:r w:rsidRPr="00302943">
        <w:rPr>
          <w:i/>
        </w:rPr>
        <w:t>if</w:t>
      </w:r>
      <w:r w:rsidR="009A0847">
        <w:rPr>
          <w:i/>
        </w:rPr>
        <w:t xml:space="preserve"> </w:t>
      </w:r>
      <w:r w:rsidR="00790803">
        <w:rPr>
          <w:i/>
        </w:rPr>
        <w:t>insolvent-illiquid</w:t>
      </w:r>
      <w:r>
        <w:t>,</w:t>
      </w:r>
      <w:r w:rsidR="009A0847">
        <w:t xml:space="preserve"> </w:t>
      </w:r>
      <w:r>
        <w:t>w</w:t>
      </w:r>
      <w:r w:rsidRPr="00244222">
        <w:t>e</w:t>
      </w:r>
      <w:r w:rsidR="009A0847">
        <w:t xml:space="preserve"> </w:t>
      </w:r>
      <w:r w:rsidRPr="00244222">
        <w:t>estimate</w:t>
      </w:r>
      <w:r w:rsidR="009A0847">
        <w:t xml:space="preserve"> </w:t>
      </w:r>
      <w:r w:rsidRPr="00244222">
        <w:t>a</w:t>
      </w:r>
      <w:r w:rsidR="009A0847">
        <w:t xml:space="preserve"> </w:t>
      </w:r>
      <w:r>
        <w:t>panel</w:t>
      </w:r>
      <w:r w:rsidR="009A0847">
        <w:t xml:space="preserve"> </w:t>
      </w:r>
      <w:r w:rsidRPr="00244222">
        <w:t>seemingly</w:t>
      </w:r>
      <w:r w:rsidR="009A0847">
        <w:t xml:space="preserve"> </w:t>
      </w:r>
      <w:r w:rsidRPr="00244222">
        <w:t>unrelated</w:t>
      </w:r>
      <w:r w:rsidR="009A0847">
        <w:t xml:space="preserve"> </w:t>
      </w:r>
      <w:r w:rsidRPr="00244222">
        <w:t>bivariate</w:t>
      </w:r>
      <w:r w:rsidR="009A0847">
        <w:t xml:space="preserve"> </w:t>
      </w:r>
      <w:r>
        <w:t>P</w:t>
      </w:r>
      <w:r w:rsidRPr="00244222">
        <w:t>robit</w:t>
      </w:r>
      <w:r w:rsidR="009A0847">
        <w:t xml:space="preserve"> </w:t>
      </w:r>
      <w:r w:rsidRPr="00244222">
        <w:t>model</w:t>
      </w:r>
      <w:r w:rsidR="009A0847">
        <w:t xml:space="preserve"> </w:t>
      </w:r>
      <w:r>
        <w:t>of</w:t>
      </w:r>
      <w:r w:rsidR="009A0847">
        <w:t xml:space="preserve"> </w:t>
      </w:r>
      <w:r>
        <w:t>the</w:t>
      </w:r>
      <w:r w:rsidR="009A0847">
        <w:t xml:space="preserve"> </w:t>
      </w:r>
      <w:r>
        <w:t>form</w:t>
      </w:r>
      <w:r w:rsidR="00572AD5">
        <w:t>:</w:t>
      </w:r>
    </w:p>
    <w:p w14:paraId="16294842" w14:textId="128F4B48" w:rsidR="00323C69" w:rsidRPr="00323C69" w:rsidRDefault="00BF114B" w:rsidP="00F86E09">
      <w:pPr>
        <w:pStyle w:val="Olivier1"/>
        <w:widowControl w:val="0"/>
        <w:ind w:left="720" w:firstLine="720"/>
        <w:rPr>
          <w:sz w:val="22"/>
          <w:szCs w:val="22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SupPr>
            <m:e>
              <m:r>
                <w:rPr>
                  <w:rFonts w:ascii="Cambria Math" w:hAnsi="Cambria Math"/>
                  <w:sz w:val="22"/>
                  <w:szCs w:val="22"/>
                </w:rPr>
                <m:t>Y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i,t,1</m:t>
              </m:r>
            </m:sub>
            <m:sup>
              <m:r>
                <w:rPr>
                  <w:rFonts w:ascii="Cambria Math" w:hAnsi="Cambria Math"/>
                  <w:sz w:val="22"/>
                  <w:szCs w:val="22"/>
                </w:rPr>
                <m:t>*</m:t>
              </m:r>
            </m:sup>
          </m:sSubSup>
          <m:r>
            <w:rPr>
              <w:rFonts w:ascii="Cambria Math" w:hAnsi="Cambria Math"/>
              <w:sz w:val="22"/>
              <w:szCs w:val="22"/>
            </w:rPr>
            <m:t xml:space="preserve">= </m:t>
          </m:r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α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0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α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1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>Low</m:t>
          </m:r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C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i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α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Rand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i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α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3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>Low</m:t>
          </m:r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D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i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α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4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X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i,t-1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α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5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Z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t-1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α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6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W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i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ε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i,t,1</m:t>
              </m:r>
            </m:sub>
          </m:sSub>
        </m:oMath>
      </m:oMathPara>
    </w:p>
    <w:p w14:paraId="147469D5" w14:textId="1D6906A8" w:rsidR="00323C69" w:rsidRPr="00323C69" w:rsidRDefault="00BF114B" w:rsidP="00F86E09">
      <w:pPr>
        <w:pStyle w:val="Olivier1"/>
        <w:widowControl w:val="0"/>
        <w:ind w:firstLine="720"/>
      </w:pPr>
      <m:oMath>
        <m:sSubSup>
          <m:sSub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SupPr>
          <m:e>
            <m:r>
              <w:rPr>
                <w:rFonts w:ascii="Cambria Math" w:hAnsi="Cambria Math"/>
                <w:sz w:val="22"/>
                <w:szCs w:val="22"/>
              </w:rPr>
              <m:t>Y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i,t,2</m:t>
            </m:r>
          </m:sub>
          <m:sup>
            <m:r>
              <w:rPr>
                <w:rFonts w:ascii="Cambria Math" w:hAnsi="Cambria Math"/>
                <w:sz w:val="22"/>
                <w:szCs w:val="22"/>
              </w:rPr>
              <m:t>*</m:t>
            </m:r>
          </m:sup>
        </m:sSubSup>
        <m:r>
          <w:rPr>
            <w:rFonts w:ascii="Cambria Math" w:hAnsi="Cambria Math"/>
            <w:sz w:val="22"/>
            <w:szCs w:val="22"/>
          </w:rPr>
          <m:t xml:space="preserve">= </m:t>
        </m:r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β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0</m:t>
            </m:r>
          </m:sub>
        </m:sSub>
        <m:r>
          <w:rPr>
            <w:rFonts w:ascii="Cambria Math" w:hAnsi="Cambria Math"/>
            <w:sz w:val="22"/>
            <w:szCs w:val="22"/>
          </w:rPr>
          <m:t>+</m:t>
        </m:r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β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1</m:t>
            </m:r>
          </m:sub>
        </m:sSub>
        <m:r>
          <w:rPr>
            <w:rFonts w:ascii="Cambria Math" w:hAnsi="Cambria Math"/>
            <w:sz w:val="22"/>
            <w:szCs w:val="22"/>
          </w:rPr>
          <m:t>Low</m:t>
        </m:r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C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i</m:t>
            </m:r>
          </m:sub>
        </m:sSub>
        <m:r>
          <w:rPr>
            <w:rFonts w:ascii="Cambria Math" w:hAnsi="Cambria Math"/>
            <w:sz w:val="22"/>
            <w:szCs w:val="22"/>
          </w:rPr>
          <m:t xml:space="preserve"> +</m:t>
        </m:r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β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Rand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i</m:t>
            </m:r>
          </m:sub>
        </m:sSub>
        <m:r>
          <w:rPr>
            <w:rFonts w:ascii="Cambria Math" w:hAnsi="Cambria Math"/>
            <w:sz w:val="22"/>
            <w:szCs w:val="22"/>
          </w:rPr>
          <m:t>+</m:t>
        </m:r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β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3</m:t>
            </m:r>
          </m:sub>
        </m:sSub>
        <m:r>
          <w:rPr>
            <w:rFonts w:ascii="Cambria Math" w:hAnsi="Cambria Math"/>
            <w:sz w:val="22"/>
            <w:szCs w:val="22"/>
          </w:rPr>
          <m:t>Low</m:t>
        </m:r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D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i</m:t>
            </m:r>
          </m:sub>
        </m:sSub>
        <m:r>
          <w:rPr>
            <w:rFonts w:ascii="Cambria Math" w:hAnsi="Cambria Math"/>
            <w:sz w:val="22"/>
            <w:szCs w:val="22"/>
          </w:rPr>
          <m:t xml:space="preserve"> +</m:t>
        </m:r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β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4</m:t>
            </m:r>
          </m:sub>
        </m:sSub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X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i,t-1</m:t>
            </m:r>
          </m:sub>
        </m:sSub>
        <m:r>
          <w:rPr>
            <w:rFonts w:ascii="Cambria Math" w:hAnsi="Cambria Math"/>
            <w:sz w:val="22"/>
            <w:szCs w:val="22"/>
          </w:rPr>
          <m:t>+</m:t>
        </m:r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β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5</m:t>
            </m:r>
          </m:sub>
        </m:sSub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Z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t-1</m:t>
            </m:r>
          </m:sub>
        </m:sSub>
        <m:r>
          <w:rPr>
            <w:rFonts w:ascii="Cambria Math" w:hAnsi="Cambria Math"/>
            <w:sz w:val="22"/>
            <w:szCs w:val="22"/>
          </w:rPr>
          <m:t>+</m:t>
        </m:r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β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6</m:t>
            </m:r>
          </m:sub>
        </m:sSub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W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i</m:t>
            </m:r>
          </m:sub>
        </m:sSub>
        <m:r>
          <w:rPr>
            <w:rFonts w:ascii="Cambria Math" w:hAnsi="Cambria Math"/>
            <w:sz w:val="22"/>
            <w:szCs w:val="22"/>
          </w:rPr>
          <m:t xml:space="preserve"> +</m:t>
        </m:r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ε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i,t,2</m:t>
            </m:r>
          </m:sub>
        </m:sSub>
      </m:oMath>
      <w:r w:rsidR="009A0847">
        <w:rPr>
          <w:sz w:val="22"/>
          <w:szCs w:val="22"/>
        </w:rPr>
        <w:t xml:space="preserve"> </w:t>
      </w:r>
      <w:r w:rsidR="009A0847">
        <w:t xml:space="preserve"> </w:t>
      </w:r>
      <w:r w:rsidR="009A0847">
        <w:rPr>
          <w:rFonts w:ascii="Times" w:hAnsi="Times"/>
        </w:rPr>
        <w:t xml:space="preserve">     </w:t>
      </w:r>
      <w:r w:rsidR="00323C69">
        <w:rPr>
          <w:rFonts w:ascii="Times" w:hAnsi="Times"/>
        </w:rPr>
        <w:t>(1)</w:t>
      </w:r>
    </w:p>
    <w:p w14:paraId="41F12AB3" w14:textId="3024D6A2" w:rsidR="005D609E" w:rsidRDefault="00E33382" w:rsidP="00F86E09">
      <w:pPr>
        <w:pStyle w:val="Olivier1"/>
        <w:widowControl w:val="0"/>
      </w:pPr>
      <w:r>
        <w:rPr>
          <w:rFonts w:ascii="Times" w:hAnsi="Times"/>
        </w:rPr>
        <w:t>w</w:t>
      </w:r>
      <w:r w:rsidRPr="00E9611B">
        <w:rPr>
          <w:rFonts w:ascii="Times" w:hAnsi="Times"/>
        </w:rPr>
        <w:t>here</w:t>
      </w:r>
      <w:r w:rsidR="009A0847">
        <w:rPr>
          <w:rFonts w:ascii="Times" w:hAnsi="Times"/>
        </w:rPr>
        <w:t xml:space="preserve"> </w:t>
      </w:r>
      <m:oMath>
        <m:sSubSup>
          <m:sSub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SupPr>
          <m:e>
            <m:r>
              <w:rPr>
                <w:rFonts w:ascii="Cambria Math" w:hAnsi="Cambria Math"/>
                <w:sz w:val="22"/>
                <w:szCs w:val="22"/>
              </w:rPr>
              <m:t>Y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i,t,1</m:t>
            </m:r>
          </m:sub>
          <m:sup>
            <m:r>
              <w:rPr>
                <w:rFonts w:ascii="Cambria Math" w:hAnsi="Cambria Math"/>
                <w:sz w:val="22"/>
                <w:szCs w:val="22"/>
              </w:rPr>
              <m:t>*</m:t>
            </m:r>
          </m:sup>
        </m:sSubSup>
      </m:oMath>
      <w:r w:rsidR="009A0847">
        <w:rPr>
          <w:rFonts w:ascii="Times" w:hAnsi="Times"/>
          <w:i/>
          <w:vertAlign w:val="subscript"/>
        </w:rPr>
        <w:t xml:space="preserve">  </w:t>
      </w:r>
      <w:r>
        <w:rPr>
          <w:rFonts w:ascii="Times" w:hAnsi="Times"/>
        </w:rPr>
        <w:t>and</w:t>
      </w:r>
      <w:r w:rsidR="009A0847">
        <w:rPr>
          <w:rFonts w:ascii="Times" w:hAnsi="Times"/>
          <w:sz w:val="22"/>
          <w:szCs w:val="22"/>
        </w:rPr>
        <w:t xml:space="preserve"> </w:t>
      </w:r>
      <m:oMath>
        <m:sSubSup>
          <m:sSub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SupPr>
          <m:e>
            <m:r>
              <w:rPr>
                <w:rFonts w:ascii="Cambria Math" w:hAnsi="Cambria Math"/>
                <w:sz w:val="22"/>
                <w:szCs w:val="22"/>
              </w:rPr>
              <m:t>Y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i,t,2</m:t>
            </m:r>
          </m:sub>
          <m:sup>
            <m:r>
              <w:rPr>
                <w:rFonts w:ascii="Cambria Math" w:hAnsi="Cambria Math"/>
                <w:sz w:val="22"/>
                <w:szCs w:val="22"/>
              </w:rPr>
              <m:t>*</m:t>
            </m:r>
          </m:sup>
        </m:sSubSup>
      </m:oMath>
      <w:r w:rsidR="009A0847">
        <w:rPr>
          <w:rFonts w:ascii="Times" w:hAnsi="Times"/>
        </w:rPr>
        <w:t xml:space="preserve"> </w:t>
      </w:r>
      <w:r>
        <w:rPr>
          <w:rFonts w:ascii="Times" w:hAnsi="Times"/>
        </w:rPr>
        <w:t>are</w:t>
      </w:r>
      <w:r w:rsidR="009A0847">
        <w:rPr>
          <w:rFonts w:ascii="Times" w:hAnsi="Times"/>
        </w:rPr>
        <w:t xml:space="preserve"> </w:t>
      </w:r>
      <w:r>
        <w:rPr>
          <w:rFonts w:ascii="Times" w:hAnsi="Times"/>
        </w:rPr>
        <w:t>the</w:t>
      </w:r>
      <w:r w:rsidR="009A0847">
        <w:rPr>
          <w:rFonts w:ascii="Times" w:hAnsi="Times"/>
        </w:rPr>
        <w:t xml:space="preserve"> </w:t>
      </w:r>
      <w:r>
        <w:rPr>
          <w:rFonts w:ascii="Times" w:hAnsi="Times"/>
        </w:rPr>
        <w:t>latent</w:t>
      </w:r>
      <w:r w:rsidR="009A0847">
        <w:rPr>
          <w:rFonts w:ascii="Times" w:hAnsi="Times"/>
        </w:rPr>
        <w:t xml:space="preserve"> </w:t>
      </w:r>
      <w:r>
        <w:rPr>
          <w:rFonts w:ascii="Times" w:hAnsi="Times"/>
        </w:rPr>
        <w:t>variables</w:t>
      </w:r>
      <w:r w:rsidR="009A0847">
        <w:rPr>
          <w:rFonts w:ascii="Times" w:hAnsi="Times"/>
        </w:rPr>
        <w:t xml:space="preserve"> </w:t>
      </w:r>
      <w:r>
        <w:rPr>
          <w:rFonts w:ascii="Times" w:hAnsi="Times"/>
        </w:rPr>
        <w:t>corresponding</w:t>
      </w:r>
      <w:r w:rsidR="009A0847">
        <w:rPr>
          <w:rFonts w:ascii="Times" w:hAnsi="Times"/>
        </w:rPr>
        <w:t xml:space="preserve"> </w:t>
      </w:r>
      <w:r>
        <w:rPr>
          <w:rFonts w:ascii="Times" w:hAnsi="Times"/>
        </w:rPr>
        <w:t>to</w:t>
      </w:r>
      <w:r w:rsidR="009A0847">
        <w:rPr>
          <w:rFonts w:ascii="Times" w:hAnsi="Times"/>
        </w:rPr>
        <w:t xml:space="preserve"> </w:t>
      </w:r>
      <w:r w:rsidR="00572AD5">
        <w:rPr>
          <w:rFonts w:ascii="Times" w:hAnsi="Times"/>
        </w:rPr>
        <w:t>bank</w:t>
      </w:r>
      <w:r w:rsidR="009A0847">
        <w:rPr>
          <w:rFonts w:ascii="Times" w:hAnsi="Times"/>
        </w:rPr>
        <w:t xml:space="preserve"> </w:t>
      </w:r>
      <w:r w:rsidRPr="007936CA">
        <w:rPr>
          <w:rFonts w:ascii="Times" w:hAnsi="Times"/>
          <w:i/>
        </w:rPr>
        <w:t>i</w:t>
      </w:r>
      <w:r>
        <w:rPr>
          <w:rFonts w:ascii="Times" w:hAnsi="Times"/>
        </w:rPr>
        <w:t>’s</w:t>
      </w:r>
      <w:r w:rsidR="009A0847">
        <w:rPr>
          <w:rFonts w:ascii="Times" w:hAnsi="Times"/>
        </w:rPr>
        <w:t xml:space="preserve"> </w:t>
      </w:r>
      <w:r w:rsidRPr="00244222">
        <w:t>decision</w:t>
      </w:r>
      <w:r>
        <w:t>s</w:t>
      </w:r>
      <w:r w:rsidR="009A0847">
        <w:t xml:space="preserve"> </w:t>
      </w:r>
      <w:r w:rsidRPr="00244222">
        <w:t>to</w:t>
      </w:r>
      <w:r w:rsidR="009A0847">
        <w:t xml:space="preserve"> </w:t>
      </w:r>
      <w:r w:rsidRPr="00244222">
        <w:t>borrow</w:t>
      </w:r>
      <w:r w:rsidR="009A0847">
        <w:t xml:space="preserve"> </w:t>
      </w:r>
      <w:r w:rsidRPr="00244222">
        <w:t>at</w:t>
      </w:r>
      <w:r w:rsidR="009A0847">
        <w:t xml:space="preserve"> </w:t>
      </w:r>
      <w:r w:rsidRPr="00244222">
        <w:t>the</w:t>
      </w:r>
      <w:r w:rsidR="009A0847">
        <w:t xml:space="preserve"> </w:t>
      </w:r>
      <w:r w:rsidRPr="00244222">
        <w:t>DW</w:t>
      </w:r>
      <w:r w:rsidR="009A0847">
        <w:t xml:space="preserve"> </w:t>
      </w:r>
      <w:r>
        <w:t>in</w:t>
      </w:r>
      <w:r w:rsidR="009A0847">
        <w:t xml:space="preserve"> </w:t>
      </w:r>
      <w:r>
        <w:t>round</w:t>
      </w:r>
      <w:r w:rsidR="009A0847">
        <w:t xml:space="preserve"> </w:t>
      </w:r>
      <w:r w:rsidRPr="008C5BDB">
        <w:rPr>
          <w:i/>
        </w:rPr>
        <w:t>t</w:t>
      </w:r>
      <w:r w:rsidR="009A0847">
        <w:t xml:space="preserve"> </w:t>
      </w:r>
      <w:r>
        <w:t>if</w:t>
      </w:r>
      <w:r w:rsidR="009A0847">
        <w:t xml:space="preserve"> </w:t>
      </w:r>
      <w:r w:rsidR="001212A3">
        <w:t>solvent-illiquid</w:t>
      </w:r>
      <w:r w:rsidR="009A0847">
        <w:t xml:space="preserve"> </w:t>
      </w:r>
      <w:r>
        <w:t>and</w:t>
      </w:r>
      <w:r w:rsidR="009A0847">
        <w:t xml:space="preserve"> </w:t>
      </w:r>
      <w:r>
        <w:t>if</w:t>
      </w:r>
      <w:r w:rsidR="009A0847">
        <w:t xml:space="preserve"> </w:t>
      </w:r>
      <w:r w:rsidR="00790803">
        <w:t>insolvent-illiquid</w:t>
      </w:r>
      <w:r>
        <w:t>,</w:t>
      </w:r>
      <w:r w:rsidR="009A0847">
        <w:t xml:space="preserve"> </w:t>
      </w:r>
      <w:r>
        <w:t>respectively;</w:t>
      </w:r>
      <w:r w:rsidR="00572AD5">
        <w:rPr>
          <w:rStyle w:val="FootnoteReference"/>
        </w:rPr>
        <w:footnoteReference w:id="28"/>
      </w:r>
      <w:r w:rsidR="009A0847">
        <w:rPr>
          <w:rFonts w:ascii="Times" w:hAnsi="Times"/>
        </w:rPr>
        <w:t xml:space="preserve"> </w:t>
      </w:r>
      <m:oMath>
        <m:r>
          <w:rPr>
            <w:rFonts w:ascii="Cambria Math" w:hAnsi="Cambria Math"/>
            <w:sz w:val="22"/>
            <w:szCs w:val="22"/>
          </w:rPr>
          <m:t>Low</m:t>
        </m:r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C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i</m:t>
            </m:r>
          </m:sub>
        </m:sSub>
      </m:oMath>
      <w:r w:rsidR="009919F3">
        <w:rPr>
          <w:rFonts w:ascii="Times" w:hAnsi="Times"/>
          <w:sz w:val="22"/>
          <w:szCs w:val="22"/>
        </w:rPr>
        <w:t>,</w:t>
      </w:r>
      <w:r w:rsidR="009A0847">
        <w:rPr>
          <w:rFonts w:ascii="Times" w:hAnsi="Times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Rand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i</m:t>
            </m:r>
          </m:sub>
        </m:sSub>
      </m:oMath>
      <w:r w:rsidR="009A0847">
        <w:rPr>
          <w:rFonts w:ascii="Times" w:hAnsi="Times"/>
          <w:sz w:val="22"/>
          <w:szCs w:val="22"/>
        </w:rPr>
        <w:t xml:space="preserve"> </w:t>
      </w:r>
      <w:r w:rsidR="009919F3">
        <w:rPr>
          <w:rFonts w:ascii="Times" w:hAnsi="Times"/>
          <w:sz w:val="22"/>
          <w:szCs w:val="22"/>
        </w:rPr>
        <w:t>and</w:t>
      </w:r>
      <w:r w:rsidR="009A0847">
        <w:rPr>
          <w:rFonts w:ascii="Times" w:hAnsi="Times"/>
          <w:sz w:val="22"/>
          <w:szCs w:val="22"/>
        </w:rPr>
        <w:t xml:space="preserve"> </w:t>
      </w:r>
      <m:oMath>
        <m:r>
          <w:rPr>
            <w:rFonts w:ascii="Cambria Math" w:hAnsi="Cambria Math"/>
            <w:sz w:val="22"/>
            <w:szCs w:val="22"/>
          </w:rPr>
          <m:t>Low</m:t>
        </m:r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D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i</m:t>
            </m:r>
          </m:sub>
        </m:sSub>
      </m:oMath>
      <w:r w:rsidR="009A0847">
        <w:rPr>
          <w:rFonts w:ascii="Times" w:hAnsi="Times"/>
          <w:sz w:val="22"/>
          <w:szCs w:val="22"/>
        </w:rPr>
        <w:t xml:space="preserve"> </w:t>
      </w:r>
      <w:r w:rsidR="00572AD5">
        <w:rPr>
          <w:rFonts w:ascii="Times" w:hAnsi="Times"/>
        </w:rPr>
        <w:t>are</w:t>
      </w:r>
      <w:r w:rsidR="009A0847">
        <w:rPr>
          <w:rFonts w:ascii="Times" w:hAnsi="Times"/>
        </w:rPr>
        <w:t xml:space="preserve"> </w:t>
      </w:r>
      <w:r>
        <w:rPr>
          <w:rFonts w:ascii="Times" w:hAnsi="Times"/>
        </w:rPr>
        <w:t>dummy</w:t>
      </w:r>
      <w:r w:rsidR="009A0847">
        <w:rPr>
          <w:rFonts w:ascii="Times" w:hAnsi="Times"/>
        </w:rPr>
        <w:t xml:space="preserve"> </w:t>
      </w:r>
      <w:r>
        <w:rPr>
          <w:rFonts w:ascii="Times" w:hAnsi="Times"/>
        </w:rPr>
        <w:t>variable</w:t>
      </w:r>
      <w:r w:rsidR="00572AD5">
        <w:rPr>
          <w:rFonts w:ascii="Times" w:hAnsi="Times"/>
        </w:rPr>
        <w:t>s</w:t>
      </w:r>
      <w:r w:rsidR="009A0847">
        <w:rPr>
          <w:rFonts w:ascii="Times" w:hAnsi="Times"/>
        </w:rPr>
        <w:t xml:space="preserve"> </w:t>
      </w:r>
      <w:r>
        <w:rPr>
          <w:rFonts w:ascii="Times" w:hAnsi="Times"/>
        </w:rPr>
        <w:t>equal</w:t>
      </w:r>
      <w:r w:rsidR="009A0847">
        <w:rPr>
          <w:rFonts w:ascii="Times" w:hAnsi="Times"/>
        </w:rPr>
        <w:t xml:space="preserve"> </w:t>
      </w:r>
      <w:r>
        <w:rPr>
          <w:rFonts w:ascii="Times" w:hAnsi="Times"/>
        </w:rPr>
        <w:t>to</w:t>
      </w:r>
      <w:r w:rsidR="009A0847">
        <w:rPr>
          <w:rFonts w:ascii="Times" w:hAnsi="Times"/>
        </w:rPr>
        <w:t xml:space="preserve"> </w:t>
      </w:r>
      <w:r>
        <w:rPr>
          <w:rFonts w:ascii="Times" w:hAnsi="Times"/>
        </w:rPr>
        <w:t>1</w:t>
      </w:r>
      <w:r w:rsidR="009A0847">
        <w:rPr>
          <w:rFonts w:ascii="Times" w:hAnsi="Times"/>
        </w:rPr>
        <w:t xml:space="preserve"> </w:t>
      </w:r>
      <w:r>
        <w:rPr>
          <w:rFonts w:ascii="Times" w:hAnsi="Times"/>
        </w:rPr>
        <w:t>when</w:t>
      </w:r>
      <w:r w:rsidR="009A0847">
        <w:rPr>
          <w:rFonts w:ascii="Times" w:hAnsi="Times"/>
        </w:rPr>
        <w:t xml:space="preserve"> </w:t>
      </w:r>
      <w:r>
        <w:rPr>
          <w:rFonts w:ascii="Times" w:hAnsi="Times"/>
        </w:rPr>
        <w:t>subject</w:t>
      </w:r>
      <w:r w:rsidR="009A0847">
        <w:rPr>
          <w:rFonts w:ascii="Times" w:hAnsi="Times"/>
        </w:rPr>
        <w:t xml:space="preserve"> </w:t>
      </w:r>
      <w:r w:rsidRPr="003F7EBC">
        <w:rPr>
          <w:rFonts w:ascii="Times" w:hAnsi="Times"/>
          <w:i/>
        </w:rPr>
        <w:t>i</w:t>
      </w:r>
      <w:r w:rsidR="009A0847">
        <w:rPr>
          <w:rFonts w:ascii="Times" w:hAnsi="Times"/>
        </w:rPr>
        <w:t xml:space="preserve"> </w:t>
      </w:r>
      <w:r>
        <w:rPr>
          <w:rFonts w:ascii="Times" w:hAnsi="Times"/>
        </w:rPr>
        <w:t>participated</w:t>
      </w:r>
      <w:r w:rsidR="009A0847">
        <w:rPr>
          <w:rFonts w:ascii="Times" w:hAnsi="Times"/>
        </w:rPr>
        <w:t xml:space="preserve"> </w:t>
      </w:r>
      <w:r>
        <w:rPr>
          <w:rFonts w:ascii="Times" w:hAnsi="Times"/>
        </w:rPr>
        <w:t>in</w:t>
      </w:r>
      <w:r w:rsidR="009A0847">
        <w:rPr>
          <w:rFonts w:ascii="Times" w:hAnsi="Times"/>
        </w:rPr>
        <w:t xml:space="preserve"> </w:t>
      </w:r>
      <w:r w:rsidR="00572AD5">
        <w:rPr>
          <w:rFonts w:ascii="Times" w:hAnsi="Times"/>
        </w:rPr>
        <w:t>the</w:t>
      </w:r>
      <w:r w:rsidR="009A0847">
        <w:rPr>
          <w:rFonts w:ascii="Times" w:hAnsi="Times"/>
        </w:rPr>
        <w:t xml:space="preserve"> </w:t>
      </w:r>
      <w:r w:rsidR="00572AD5">
        <w:rPr>
          <w:rFonts w:ascii="Times" w:hAnsi="Times"/>
        </w:rPr>
        <w:t>low</w:t>
      </w:r>
      <w:r w:rsidR="009A0847">
        <w:rPr>
          <w:rFonts w:ascii="Times" w:hAnsi="Times"/>
        </w:rPr>
        <w:t xml:space="preserve"> </w:t>
      </w:r>
      <w:r w:rsidR="00572AD5">
        <w:rPr>
          <w:rFonts w:ascii="Times" w:hAnsi="Times"/>
        </w:rPr>
        <w:t>DW</w:t>
      </w:r>
      <w:r w:rsidR="009A0847">
        <w:rPr>
          <w:rFonts w:ascii="Times" w:hAnsi="Times"/>
        </w:rPr>
        <w:t xml:space="preserve"> </w:t>
      </w:r>
      <w:r w:rsidR="00572AD5">
        <w:rPr>
          <w:rFonts w:ascii="Times" w:hAnsi="Times"/>
        </w:rPr>
        <w:t>cost</w:t>
      </w:r>
      <w:r w:rsidR="009919F3">
        <w:rPr>
          <w:rFonts w:ascii="Times" w:hAnsi="Times"/>
        </w:rPr>
        <w:t>,</w:t>
      </w:r>
      <w:r w:rsidR="009A0847">
        <w:rPr>
          <w:rFonts w:ascii="Times" w:hAnsi="Times"/>
        </w:rPr>
        <w:t xml:space="preserve"> </w:t>
      </w:r>
      <w:r w:rsidR="009919F3">
        <w:rPr>
          <w:rFonts w:ascii="Times" w:hAnsi="Times"/>
        </w:rPr>
        <w:t>random</w:t>
      </w:r>
      <w:r w:rsidR="009A0847">
        <w:rPr>
          <w:rFonts w:ascii="Times" w:hAnsi="Times"/>
        </w:rPr>
        <w:t xml:space="preserve"> </w:t>
      </w:r>
      <w:r w:rsidR="009919F3">
        <w:rPr>
          <w:rFonts w:ascii="Times" w:hAnsi="Times"/>
        </w:rPr>
        <w:t>borrowing</w:t>
      </w:r>
      <w:r w:rsidR="009A0847">
        <w:rPr>
          <w:rFonts w:ascii="Times" w:hAnsi="Times"/>
        </w:rPr>
        <w:t xml:space="preserve"> </w:t>
      </w:r>
      <w:r w:rsidR="009919F3">
        <w:rPr>
          <w:rFonts w:ascii="Times" w:hAnsi="Times"/>
        </w:rPr>
        <w:t>and</w:t>
      </w:r>
      <w:r w:rsidR="009A0847">
        <w:rPr>
          <w:rFonts w:ascii="Times" w:hAnsi="Times"/>
        </w:rPr>
        <w:t xml:space="preserve"> </w:t>
      </w:r>
      <w:r w:rsidR="009919F3">
        <w:rPr>
          <w:rFonts w:ascii="Times" w:hAnsi="Times"/>
        </w:rPr>
        <w:t>low</w:t>
      </w:r>
      <w:r w:rsidR="009A0847">
        <w:rPr>
          <w:rFonts w:ascii="Times" w:hAnsi="Times"/>
        </w:rPr>
        <w:t xml:space="preserve"> </w:t>
      </w:r>
      <w:r w:rsidR="009919F3">
        <w:rPr>
          <w:rFonts w:ascii="Times" w:hAnsi="Times"/>
        </w:rPr>
        <w:t>detection</w:t>
      </w:r>
      <w:r w:rsidR="009A0847">
        <w:rPr>
          <w:rFonts w:ascii="Times" w:hAnsi="Times"/>
        </w:rPr>
        <w:t xml:space="preserve">  </w:t>
      </w:r>
      <w:r w:rsidR="005F27AB">
        <w:rPr>
          <w:rFonts w:ascii="Times" w:hAnsi="Times"/>
        </w:rPr>
        <w:t>treatment</w:t>
      </w:r>
      <w:r w:rsidR="00572AD5">
        <w:rPr>
          <w:rFonts w:ascii="Times" w:hAnsi="Times"/>
        </w:rPr>
        <w:t>,</w:t>
      </w:r>
      <w:r w:rsidR="009A0847">
        <w:rPr>
          <w:rFonts w:ascii="Times" w:hAnsi="Times"/>
        </w:rPr>
        <w:t xml:space="preserve"> </w:t>
      </w:r>
      <w:r w:rsidR="00572AD5">
        <w:rPr>
          <w:rFonts w:ascii="Times" w:hAnsi="Times"/>
        </w:rPr>
        <w:t>respectively</w:t>
      </w:r>
      <w:r>
        <w:rPr>
          <w:rFonts w:ascii="Times" w:hAnsi="Times"/>
        </w:rPr>
        <w:t>;</w:t>
      </w:r>
      <w:r w:rsidR="009A0847">
        <w:rPr>
          <w:rFonts w:ascii="Times" w:hAnsi="Times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X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i,t-1</m:t>
            </m:r>
          </m:sub>
        </m:sSub>
      </m:oMath>
      <w:r w:rsidR="009A0847">
        <w:rPr>
          <w:rFonts w:ascii="Times" w:hAnsi="Times"/>
        </w:rPr>
        <w:t xml:space="preserve"> </w:t>
      </w:r>
      <w:r w:rsidR="00D61401">
        <w:rPr>
          <w:rFonts w:ascii="Times" w:hAnsi="Times"/>
        </w:rPr>
        <w:t>and</w:t>
      </w:r>
      <w:r w:rsidR="009A0847">
        <w:rPr>
          <w:rFonts w:ascii="Times" w:hAnsi="Times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Z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t-1</m:t>
            </m:r>
          </m:sub>
        </m:sSub>
      </m:oMath>
      <w:r w:rsidR="009A0847">
        <w:rPr>
          <w:rFonts w:ascii="Times" w:hAnsi="Times"/>
        </w:rPr>
        <w:t xml:space="preserve"> </w:t>
      </w:r>
      <w:r w:rsidR="00D61401">
        <w:rPr>
          <w:rFonts w:ascii="Times" w:hAnsi="Times"/>
        </w:rPr>
        <w:t>capture</w:t>
      </w:r>
      <w:r w:rsidR="009A0847">
        <w:rPr>
          <w:rFonts w:ascii="Times" w:hAnsi="Times"/>
        </w:rPr>
        <w:t xml:space="preserve"> </w:t>
      </w:r>
      <w:r>
        <w:rPr>
          <w:rFonts w:ascii="Times" w:hAnsi="Times"/>
        </w:rPr>
        <w:t>the</w:t>
      </w:r>
      <w:r w:rsidR="009A0847">
        <w:rPr>
          <w:rFonts w:ascii="Times" w:hAnsi="Times"/>
        </w:rPr>
        <w:t xml:space="preserve"> </w:t>
      </w:r>
      <w:r>
        <w:rPr>
          <w:rFonts w:ascii="Times" w:hAnsi="Times"/>
        </w:rPr>
        <w:t>private</w:t>
      </w:r>
      <w:r w:rsidR="009A0847">
        <w:rPr>
          <w:rFonts w:ascii="Times" w:hAnsi="Times"/>
        </w:rPr>
        <w:t xml:space="preserve"> </w:t>
      </w:r>
      <w:r w:rsidR="00D61401">
        <w:rPr>
          <w:rFonts w:ascii="Times" w:hAnsi="Times"/>
        </w:rPr>
        <w:t>and</w:t>
      </w:r>
      <w:r w:rsidR="009A0847">
        <w:rPr>
          <w:rFonts w:ascii="Times" w:hAnsi="Times"/>
        </w:rPr>
        <w:t xml:space="preserve"> </w:t>
      </w:r>
      <w:r w:rsidR="00D61401">
        <w:rPr>
          <w:rFonts w:ascii="Times" w:hAnsi="Times"/>
        </w:rPr>
        <w:t>public</w:t>
      </w:r>
      <w:r w:rsidR="009A0847">
        <w:rPr>
          <w:rFonts w:ascii="Times" w:hAnsi="Times"/>
        </w:rPr>
        <w:t xml:space="preserve"> </w:t>
      </w:r>
      <w:r>
        <w:rPr>
          <w:rFonts w:ascii="Times" w:hAnsi="Times"/>
        </w:rPr>
        <w:t>feedback</w:t>
      </w:r>
      <w:r w:rsidR="009A0847">
        <w:rPr>
          <w:rFonts w:ascii="Times" w:hAnsi="Times"/>
        </w:rPr>
        <w:t xml:space="preserve"> </w:t>
      </w:r>
      <w:r>
        <w:rPr>
          <w:rFonts w:ascii="Times" w:hAnsi="Times"/>
        </w:rPr>
        <w:t>given</w:t>
      </w:r>
      <w:r w:rsidR="009A0847">
        <w:rPr>
          <w:rFonts w:ascii="Times" w:hAnsi="Times"/>
        </w:rPr>
        <w:t xml:space="preserve"> </w:t>
      </w:r>
      <w:r>
        <w:rPr>
          <w:rFonts w:ascii="Times" w:hAnsi="Times"/>
        </w:rPr>
        <w:t>to</w:t>
      </w:r>
      <w:r w:rsidR="009A0847">
        <w:rPr>
          <w:rFonts w:ascii="Times" w:hAnsi="Times"/>
        </w:rPr>
        <w:t xml:space="preserve"> </w:t>
      </w:r>
      <w:r>
        <w:rPr>
          <w:rFonts w:ascii="Times" w:hAnsi="Times"/>
        </w:rPr>
        <w:t>subject</w:t>
      </w:r>
      <w:r w:rsidR="009A0847">
        <w:rPr>
          <w:rFonts w:ascii="Times" w:hAnsi="Times"/>
        </w:rPr>
        <w:t xml:space="preserve"> </w:t>
      </w:r>
      <w:r w:rsidRPr="00302943">
        <w:rPr>
          <w:rFonts w:ascii="Times" w:hAnsi="Times"/>
          <w:i/>
        </w:rPr>
        <w:t>i</w:t>
      </w:r>
      <w:r w:rsidR="009A0847">
        <w:rPr>
          <w:rFonts w:ascii="Times" w:hAnsi="Times"/>
        </w:rPr>
        <w:t xml:space="preserve"> </w:t>
      </w:r>
      <w:r w:rsidR="00D61401">
        <w:rPr>
          <w:rFonts w:ascii="Times" w:hAnsi="Times"/>
        </w:rPr>
        <w:t>at</w:t>
      </w:r>
      <w:r w:rsidR="009A0847">
        <w:rPr>
          <w:rFonts w:ascii="Times" w:hAnsi="Times"/>
        </w:rPr>
        <w:t xml:space="preserve"> </w:t>
      </w:r>
      <w:r w:rsidR="00D61401">
        <w:rPr>
          <w:rFonts w:ascii="Times" w:hAnsi="Times"/>
        </w:rPr>
        <w:t>the</w:t>
      </w:r>
      <w:r w:rsidR="009A0847">
        <w:rPr>
          <w:rFonts w:ascii="Times" w:hAnsi="Times"/>
        </w:rPr>
        <w:t xml:space="preserve"> </w:t>
      </w:r>
      <w:r w:rsidR="00D61401">
        <w:rPr>
          <w:rFonts w:ascii="Times" w:hAnsi="Times"/>
        </w:rPr>
        <w:t>end</w:t>
      </w:r>
      <w:r w:rsidR="009A0847">
        <w:rPr>
          <w:rFonts w:ascii="Times" w:hAnsi="Times"/>
        </w:rPr>
        <w:t xml:space="preserve"> </w:t>
      </w:r>
      <w:r w:rsidR="00D61401">
        <w:rPr>
          <w:rFonts w:ascii="Times" w:hAnsi="Times"/>
        </w:rPr>
        <w:t>of</w:t>
      </w:r>
      <w:r w:rsidR="009A0847">
        <w:rPr>
          <w:rFonts w:ascii="Times" w:hAnsi="Times"/>
        </w:rPr>
        <w:t xml:space="preserve"> </w:t>
      </w:r>
      <w:r w:rsidR="00313676">
        <w:rPr>
          <w:rFonts w:ascii="Times" w:hAnsi="Times"/>
        </w:rPr>
        <w:t>the</w:t>
      </w:r>
      <w:r w:rsidR="009A0847">
        <w:rPr>
          <w:rFonts w:ascii="Times" w:hAnsi="Times"/>
        </w:rPr>
        <w:t xml:space="preserve"> </w:t>
      </w:r>
      <w:r w:rsidR="00313676">
        <w:rPr>
          <w:rFonts w:ascii="Times" w:hAnsi="Times"/>
        </w:rPr>
        <w:t>previous</w:t>
      </w:r>
      <w:r w:rsidR="009A0847">
        <w:rPr>
          <w:rFonts w:ascii="Times" w:hAnsi="Times"/>
        </w:rPr>
        <w:t xml:space="preserve"> </w:t>
      </w:r>
      <w:r w:rsidR="00313676">
        <w:rPr>
          <w:rFonts w:ascii="Times" w:hAnsi="Times"/>
        </w:rPr>
        <w:t>round</w:t>
      </w:r>
      <w:r>
        <w:rPr>
          <w:rFonts w:ascii="Times" w:hAnsi="Times"/>
        </w:rPr>
        <w:t>;</w:t>
      </w:r>
      <w:r w:rsidR="009A0847">
        <w:rPr>
          <w:rFonts w:ascii="Times" w:hAnsi="Times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W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i</m:t>
            </m:r>
          </m:sub>
        </m:sSub>
      </m:oMath>
      <w:r w:rsidR="009A0847">
        <w:rPr>
          <w:rFonts w:ascii="Times" w:hAnsi="Times"/>
          <w:sz w:val="22"/>
          <w:szCs w:val="22"/>
        </w:rPr>
        <w:t xml:space="preserve"> </w:t>
      </w:r>
      <w:r>
        <w:rPr>
          <w:rFonts w:ascii="Times" w:hAnsi="Times"/>
        </w:rPr>
        <w:t>are</w:t>
      </w:r>
      <w:r w:rsidR="009A0847">
        <w:rPr>
          <w:rFonts w:ascii="Times" w:hAnsi="Times"/>
        </w:rPr>
        <w:t xml:space="preserve"> </w:t>
      </w:r>
      <w:r>
        <w:rPr>
          <w:rFonts w:ascii="Times" w:hAnsi="Times"/>
        </w:rPr>
        <w:t>individual</w:t>
      </w:r>
      <w:r w:rsidR="009A0847">
        <w:rPr>
          <w:rFonts w:ascii="Times" w:hAnsi="Times"/>
        </w:rPr>
        <w:t xml:space="preserve"> </w:t>
      </w:r>
      <w:r>
        <w:rPr>
          <w:rFonts w:ascii="Times" w:hAnsi="Times"/>
        </w:rPr>
        <w:t>characteristics</w:t>
      </w:r>
      <w:r w:rsidR="009A0847">
        <w:rPr>
          <w:rFonts w:ascii="Times" w:hAnsi="Times"/>
        </w:rPr>
        <w:t xml:space="preserve"> </w:t>
      </w:r>
      <w:r w:rsidRPr="00E9611B">
        <w:rPr>
          <w:rFonts w:ascii="Times" w:hAnsi="Times"/>
        </w:rPr>
        <w:t>and</w:t>
      </w:r>
      <w:r w:rsidR="009A0847">
        <w:rPr>
          <w:rFonts w:ascii="Times" w:hAnsi="Times"/>
        </w:rPr>
        <w:t xml:space="preserve"> </w:t>
      </w:r>
      <w:r w:rsidRPr="00E9611B">
        <w:rPr>
          <w:rFonts w:ascii="Times" w:hAnsi="Times"/>
        </w:rPr>
        <w:t>(</w:t>
      </w: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ε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i,t,1</m:t>
            </m:r>
          </m:sub>
        </m:sSub>
      </m:oMath>
      <w:r>
        <w:rPr>
          <w:rFonts w:ascii="Times" w:hAnsi="Times"/>
        </w:rPr>
        <w:t>,</w:t>
      </w:r>
      <w:r w:rsidR="009A0847">
        <w:rPr>
          <w:rFonts w:ascii="Times" w:hAnsi="Times"/>
          <w:sz w:val="8"/>
          <w:szCs w:val="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ε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i,t,2</m:t>
            </m:r>
          </m:sub>
        </m:sSub>
      </m:oMath>
      <w:r w:rsidRPr="00E9611B">
        <w:rPr>
          <w:rFonts w:ascii="Times" w:hAnsi="Times"/>
        </w:rPr>
        <w:t>)</w:t>
      </w:r>
      <w:r w:rsidR="009A0847">
        <w:rPr>
          <w:rFonts w:ascii="Times" w:hAnsi="Times"/>
        </w:rPr>
        <w:t xml:space="preserve"> </w:t>
      </w:r>
      <w:r w:rsidRPr="00E9611B">
        <w:rPr>
          <w:rFonts w:ascii="Times" w:hAnsi="Times"/>
        </w:rPr>
        <w:t>follow</w:t>
      </w:r>
      <w:r w:rsidR="008E1FDB">
        <w:rPr>
          <w:rFonts w:ascii="Times" w:hAnsi="Times"/>
        </w:rPr>
        <w:t>s</w:t>
      </w:r>
      <w:r w:rsidR="009A0847">
        <w:rPr>
          <w:rFonts w:ascii="Times" w:hAnsi="Times"/>
        </w:rPr>
        <w:t xml:space="preserve"> </w:t>
      </w:r>
      <w:r w:rsidRPr="00E9611B">
        <w:rPr>
          <w:rFonts w:ascii="Times" w:hAnsi="Times"/>
        </w:rPr>
        <w:t>a</w:t>
      </w:r>
      <w:r w:rsidR="009A0847">
        <w:rPr>
          <w:rFonts w:ascii="Times" w:hAnsi="Times"/>
        </w:rPr>
        <w:t xml:space="preserve"> </w:t>
      </w:r>
      <w:r w:rsidRPr="00E9611B">
        <w:rPr>
          <w:rFonts w:ascii="Times" w:hAnsi="Times"/>
        </w:rPr>
        <w:t>bivariate</w:t>
      </w:r>
      <w:r w:rsidR="009A0847">
        <w:rPr>
          <w:rFonts w:ascii="Times" w:hAnsi="Times"/>
        </w:rPr>
        <w:t xml:space="preserve"> </w:t>
      </w:r>
      <w:r w:rsidRPr="00E9611B">
        <w:rPr>
          <w:rFonts w:ascii="Times" w:hAnsi="Times"/>
        </w:rPr>
        <w:t>normal</w:t>
      </w:r>
      <w:r w:rsidR="009A0847">
        <w:rPr>
          <w:rFonts w:ascii="Times" w:hAnsi="Times"/>
        </w:rPr>
        <w:t xml:space="preserve"> </w:t>
      </w:r>
      <w:r w:rsidRPr="00E9611B">
        <w:rPr>
          <w:rFonts w:ascii="Times" w:hAnsi="Times"/>
        </w:rPr>
        <w:t>d</w:t>
      </w:r>
      <w:r>
        <w:rPr>
          <w:rFonts w:ascii="Times" w:hAnsi="Times"/>
        </w:rPr>
        <w:t>istribution</w:t>
      </w:r>
      <w:r w:rsidR="009A0847">
        <w:rPr>
          <w:rFonts w:ascii="Times" w:hAnsi="Times"/>
        </w:rPr>
        <w:t xml:space="preserve"> </w:t>
      </w:r>
      <w:r>
        <w:rPr>
          <w:rFonts w:ascii="Times" w:hAnsi="Times"/>
        </w:rPr>
        <w:t>with</w:t>
      </w:r>
      <w:r w:rsidR="009A0847">
        <w:rPr>
          <w:rFonts w:ascii="Times" w:hAnsi="Times"/>
        </w:rPr>
        <w:t xml:space="preserve"> </w:t>
      </w:r>
      <w:r>
        <w:rPr>
          <w:rFonts w:ascii="Times" w:hAnsi="Times"/>
        </w:rPr>
        <w:t>correlation</w:t>
      </w:r>
      <w:r w:rsidR="009A0847">
        <w:rPr>
          <w:rFonts w:ascii="Times" w:hAnsi="Times"/>
        </w:rPr>
        <w:t xml:space="preserve"> </w:t>
      </w:r>
      <m:oMath>
        <m:r>
          <w:rPr>
            <w:rFonts w:ascii="Cambria Math" w:hAnsi="Cambria Math"/>
            <w:sz w:val="22"/>
            <w:szCs w:val="22"/>
          </w:rPr>
          <m:t>ρ</m:t>
        </m:r>
      </m:oMath>
      <w:r w:rsidRPr="00E9611B">
        <w:rPr>
          <w:rFonts w:ascii="Times" w:hAnsi="Times"/>
        </w:rPr>
        <w:t>.</w:t>
      </w:r>
      <w:r w:rsidR="009A0847">
        <w:rPr>
          <w:rFonts w:ascii="Times" w:hAnsi="Times"/>
        </w:rPr>
        <w:t xml:space="preserve"> </w:t>
      </w:r>
      <w:r w:rsidRPr="00244222">
        <w:t>Table</w:t>
      </w:r>
      <w:r w:rsidR="009A0847">
        <w:t xml:space="preserve"> </w:t>
      </w:r>
      <w:r w:rsidR="00790803">
        <w:t>3</w:t>
      </w:r>
      <w:r w:rsidR="009A0847">
        <w:t xml:space="preserve"> </w:t>
      </w:r>
      <w:r w:rsidR="00A7436E">
        <w:t>reports</w:t>
      </w:r>
      <w:r w:rsidR="009A0847">
        <w:t xml:space="preserve"> </w:t>
      </w:r>
      <w:r>
        <w:t>the</w:t>
      </w:r>
      <w:r w:rsidR="009A0847">
        <w:t xml:space="preserve"> </w:t>
      </w:r>
      <w:r w:rsidRPr="00244222">
        <w:t>marginal</w:t>
      </w:r>
      <w:r w:rsidR="009A0847">
        <w:t xml:space="preserve"> </w:t>
      </w:r>
      <w:r w:rsidRPr="00244222">
        <w:t>effects</w:t>
      </w:r>
      <w:r w:rsidR="009A0847">
        <w:t xml:space="preserve"> </w:t>
      </w:r>
      <w:r w:rsidR="00790803">
        <w:rPr>
          <w:rFonts w:ascii="Times" w:hAnsi="Times"/>
        </w:rPr>
        <w:t>estimated</w:t>
      </w:r>
      <w:r w:rsidR="009A0847">
        <w:rPr>
          <w:rFonts w:ascii="Times" w:hAnsi="Times"/>
        </w:rPr>
        <w:t xml:space="preserve"> </w:t>
      </w:r>
      <w:r w:rsidR="00790803">
        <w:rPr>
          <w:rFonts w:ascii="Times" w:hAnsi="Times"/>
        </w:rPr>
        <w:t>by</w:t>
      </w:r>
      <w:r w:rsidR="009A0847">
        <w:rPr>
          <w:rFonts w:ascii="Times" w:hAnsi="Times"/>
        </w:rPr>
        <w:t xml:space="preserve"> </w:t>
      </w:r>
      <w:r w:rsidR="00790803">
        <w:rPr>
          <w:rFonts w:ascii="Times" w:hAnsi="Times"/>
        </w:rPr>
        <w:t>full</w:t>
      </w:r>
      <w:r w:rsidR="009A0847">
        <w:rPr>
          <w:rFonts w:ascii="Times" w:hAnsi="Times"/>
        </w:rPr>
        <w:t xml:space="preserve"> </w:t>
      </w:r>
      <w:r w:rsidR="00790803">
        <w:rPr>
          <w:rFonts w:ascii="Times" w:hAnsi="Times"/>
        </w:rPr>
        <w:t>information</w:t>
      </w:r>
      <w:r w:rsidR="009A0847">
        <w:rPr>
          <w:rFonts w:ascii="Times" w:hAnsi="Times"/>
        </w:rPr>
        <w:t xml:space="preserve"> </w:t>
      </w:r>
      <w:r w:rsidRPr="00E9611B">
        <w:rPr>
          <w:rFonts w:ascii="Times" w:hAnsi="Times"/>
        </w:rPr>
        <w:t>maximum</w:t>
      </w:r>
      <w:r w:rsidR="009A0847">
        <w:rPr>
          <w:rFonts w:ascii="Times" w:hAnsi="Times"/>
        </w:rPr>
        <w:t xml:space="preserve"> </w:t>
      </w:r>
      <w:r w:rsidRPr="00E9611B">
        <w:rPr>
          <w:rFonts w:ascii="Times" w:hAnsi="Times"/>
        </w:rPr>
        <w:t>likelihood</w:t>
      </w:r>
      <w:r w:rsidR="009A0847">
        <w:rPr>
          <w:rFonts w:ascii="Times" w:hAnsi="Times"/>
        </w:rPr>
        <w:t xml:space="preserve"> </w:t>
      </w:r>
      <w:r>
        <w:t>for</w:t>
      </w:r>
      <w:r w:rsidR="009A0847">
        <w:t xml:space="preserve"> </w:t>
      </w:r>
      <w:r w:rsidRPr="00244222">
        <w:t>three</w:t>
      </w:r>
      <w:r w:rsidR="009A0847">
        <w:t xml:space="preserve"> </w:t>
      </w:r>
      <w:r w:rsidRPr="00244222">
        <w:t>different</w:t>
      </w:r>
      <w:r w:rsidR="009A0847">
        <w:t xml:space="preserve"> </w:t>
      </w:r>
      <w:r w:rsidRPr="00244222">
        <w:t>specifications.</w:t>
      </w:r>
    </w:p>
    <w:p w14:paraId="3B511736" w14:textId="192B8E55" w:rsidR="00572AD5" w:rsidRDefault="005D609E" w:rsidP="00F86E09">
      <w:pPr>
        <w:pStyle w:val="Olivier1"/>
        <w:widowControl w:val="0"/>
      </w:pPr>
      <w:r w:rsidRPr="005D609E">
        <w:rPr>
          <w:rStyle w:val="Heading3Char"/>
        </w:rPr>
        <w:t>Specification</w:t>
      </w:r>
      <w:r w:rsidR="009A0847">
        <w:rPr>
          <w:rStyle w:val="Heading3Char"/>
        </w:rPr>
        <w:t xml:space="preserve"> </w:t>
      </w:r>
      <w:r w:rsidRPr="005D609E">
        <w:rPr>
          <w:rStyle w:val="Heading3Char"/>
        </w:rPr>
        <w:t>1:</w:t>
      </w:r>
      <w:r w:rsidR="009A0847">
        <w:t xml:space="preserve"> </w:t>
      </w:r>
      <w:r w:rsidRPr="001A1F3A">
        <w:t>The</w:t>
      </w:r>
      <w:r w:rsidR="009A0847">
        <w:t xml:space="preserve"> </w:t>
      </w:r>
      <w:r w:rsidRPr="001A1F3A">
        <w:t>first</w:t>
      </w:r>
      <w:r w:rsidR="009A0847">
        <w:t xml:space="preserve"> </w:t>
      </w:r>
      <w:r w:rsidRPr="001A1F3A">
        <w:t>specification</w:t>
      </w:r>
      <w:r w:rsidR="009A0847">
        <w:t xml:space="preserve"> </w:t>
      </w:r>
      <w:r w:rsidRPr="001A1F3A">
        <w:t>focuses</w:t>
      </w:r>
      <w:r w:rsidR="009A0847">
        <w:t xml:space="preserve"> </w:t>
      </w:r>
      <w:r w:rsidRPr="001A1F3A">
        <w:t>on</w:t>
      </w:r>
      <w:r w:rsidR="009A0847">
        <w:t xml:space="preserve"> </w:t>
      </w:r>
      <w:r w:rsidRPr="001A1F3A">
        <w:t>treatment</w:t>
      </w:r>
      <w:r w:rsidR="009A0847">
        <w:t xml:space="preserve"> </w:t>
      </w:r>
      <w:r w:rsidRPr="001A1F3A">
        <w:t>effects.</w:t>
      </w:r>
      <w:r w:rsidR="009A0847">
        <w:t xml:space="preserve"> </w:t>
      </w:r>
      <w:r w:rsidRPr="001A1F3A">
        <w:t>The</w:t>
      </w:r>
      <w:r w:rsidR="009A0847">
        <w:t xml:space="preserve"> </w:t>
      </w:r>
      <w:r w:rsidRPr="001A1F3A">
        <w:t>regression</w:t>
      </w:r>
      <w:r w:rsidR="009A0847">
        <w:t xml:space="preserve"> </w:t>
      </w:r>
      <w:r w:rsidRPr="001A1F3A">
        <w:t>results</w:t>
      </w:r>
      <w:r w:rsidR="009A0847">
        <w:t xml:space="preserve"> </w:t>
      </w:r>
      <w:r w:rsidR="00572AD5" w:rsidRPr="001A1F3A">
        <w:t>confirm</w:t>
      </w:r>
      <w:r w:rsidR="009A0847">
        <w:t xml:space="preserve"> </w:t>
      </w:r>
      <w:r w:rsidR="00572AD5" w:rsidRPr="001A1F3A">
        <w:t>the</w:t>
      </w:r>
      <w:r w:rsidR="009A0847">
        <w:t xml:space="preserve"> </w:t>
      </w:r>
      <w:r w:rsidR="00572AD5" w:rsidRPr="001A1F3A">
        <w:t>absence</w:t>
      </w:r>
      <w:r w:rsidR="009A0847">
        <w:t xml:space="preserve"> </w:t>
      </w:r>
      <w:r w:rsidR="00572AD5" w:rsidRPr="001A1F3A">
        <w:t>of</w:t>
      </w:r>
      <w:r w:rsidR="009A0847">
        <w:t xml:space="preserve"> </w:t>
      </w:r>
      <w:r w:rsidR="00572AD5" w:rsidRPr="001A1F3A">
        <w:t>a</w:t>
      </w:r>
      <w:r w:rsidR="009A0847">
        <w:t xml:space="preserve"> </w:t>
      </w:r>
      <w:r w:rsidR="00572AD5" w:rsidRPr="001A1F3A">
        <w:t>treatment</w:t>
      </w:r>
      <w:r w:rsidR="009A0847">
        <w:t xml:space="preserve"> </w:t>
      </w:r>
      <w:r w:rsidR="00572AD5" w:rsidRPr="001A1F3A">
        <w:t>effect</w:t>
      </w:r>
      <w:r w:rsidR="009A0847">
        <w:t xml:space="preserve"> </w:t>
      </w:r>
      <w:r w:rsidR="00572AD5" w:rsidRPr="001A1F3A">
        <w:t>on</w:t>
      </w:r>
      <w:r w:rsidR="009A0847">
        <w:t xml:space="preserve"> </w:t>
      </w:r>
      <w:r w:rsidR="00572AD5" w:rsidRPr="001A1F3A">
        <w:t>banks</w:t>
      </w:r>
      <w:r w:rsidR="00D61401" w:rsidRPr="001A1F3A">
        <w:t>’</w:t>
      </w:r>
      <w:r w:rsidR="009A0847">
        <w:t xml:space="preserve"> </w:t>
      </w:r>
      <w:r w:rsidR="00572AD5" w:rsidRPr="001A1F3A">
        <w:t>behavior</w:t>
      </w:r>
      <w:r w:rsidR="009A0847">
        <w:t xml:space="preserve"> </w:t>
      </w:r>
      <w:r w:rsidR="00572AD5" w:rsidRPr="001A1F3A">
        <w:t>in</w:t>
      </w:r>
      <w:r w:rsidR="009A0847">
        <w:t xml:space="preserve"> </w:t>
      </w:r>
      <w:r w:rsidR="00572AD5" w:rsidRPr="001A1F3A">
        <w:t>the</w:t>
      </w:r>
      <w:r w:rsidR="009A0847">
        <w:t xml:space="preserve"> </w:t>
      </w:r>
      <w:r w:rsidR="00572AD5" w:rsidRPr="001A1F3A">
        <w:t>low</w:t>
      </w:r>
      <w:r w:rsidR="009A0847">
        <w:t xml:space="preserve"> </w:t>
      </w:r>
      <w:r w:rsidR="00572AD5" w:rsidRPr="001A1F3A">
        <w:t>DW</w:t>
      </w:r>
      <w:r w:rsidR="009A0847">
        <w:t xml:space="preserve"> </w:t>
      </w:r>
      <w:r w:rsidR="00572AD5" w:rsidRPr="001A1F3A">
        <w:t>cost</w:t>
      </w:r>
      <w:r w:rsidR="009A0847">
        <w:t xml:space="preserve"> </w:t>
      </w:r>
      <w:r w:rsidR="00790803">
        <w:t>and</w:t>
      </w:r>
      <w:r w:rsidR="009A0847">
        <w:t xml:space="preserve"> </w:t>
      </w:r>
      <w:r w:rsidR="00790803">
        <w:t>low</w:t>
      </w:r>
      <w:r w:rsidR="009A0847">
        <w:t xml:space="preserve"> </w:t>
      </w:r>
      <w:r w:rsidR="00790803">
        <w:t>detection</w:t>
      </w:r>
      <w:r w:rsidR="009A0847">
        <w:t xml:space="preserve"> </w:t>
      </w:r>
      <w:r w:rsidR="00572AD5" w:rsidRPr="001A1F3A">
        <w:t>treatment</w:t>
      </w:r>
      <w:r w:rsidR="00790803">
        <w:t>s</w:t>
      </w:r>
      <w:r w:rsidR="009A0847">
        <w:t xml:space="preserve"> </w:t>
      </w:r>
      <w:r w:rsidR="00572AD5" w:rsidRPr="001A1F3A">
        <w:t>(row</w:t>
      </w:r>
      <w:r w:rsidR="00790803">
        <w:t>s</w:t>
      </w:r>
      <w:r w:rsidR="009A0847">
        <w:t xml:space="preserve"> </w:t>
      </w:r>
      <w:r w:rsidR="00572AD5" w:rsidRPr="001A1F3A">
        <w:t>1</w:t>
      </w:r>
      <w:r w:rsidR="009A0847">
        <w:t xml:space="preserve"> </w:t>
      </w:r>
      <w:r w:rsidR="00790803">
        <w:t>and</w:t>
      </w:r>
      <w:r w:rsidR="009A0847">
        <w:t xml:space="preserve"> </w:t>
      </w:r>
      <w:r w:rsidR="00790803">
        <w:t>3</w:t>
      </w:r>
      <w:r w:rsidR="00572AD5" w:rsidRPr="001A1F3A">
        <w:t>).</w:t>
      </w:r>
      <w:r w:rsidR="009A0847">
        <w:t xml:space="preserve"> </w:t>
      </w:r>
      <w:r w:rsidR="00572AD5" w:rsidRPr="001A1F3A">
        <w:t>In</w:t>
      </w:r>
      <w:r w:rsidR="009A0847">
        <w:t xml:space="preserve"> </w:t>
      </w:r>
      <w:r w:rsidR="00572AD5" w:rsidRPr="001A1F3A">
        <w:t>contrast,</w:t>
      </w:r>
      <w:r w:rsidR="009A0847">
        <w:t xml:space="preserve"> </w:t>
      </w:r>
      <w:r w:rsidR="00572AD5" w:rsidRPr="001A1F3A">
        <w:t>we</w:t>
      </w:r>
      <w:r w:rsidR="009A0847">
        <w:t xml:space="preserve"> </w:t>
      </w:r>
      <w:r w:rsidR="00572AD5" w:rsidRPr="001A1F3A">
        <w:t>find</w:t>
      </w:r>
      <w:r w:rsidR="009A0847">
        <w:t xml:space="preserve"> </w:t>
      </w:r>
      <w:r w:rsidR="00572AD5" w:rsidRPr="001A1F3A">
        <w:t>the</w:t>
      </w:r>
      <w:r w:rsidR="009A0847">
        <w:t xml:space="preserve"> </w:t>
      </w:r>
      <w:r w:rsidR="00572AD5" w:rsidRPr="001A1F3A">
        <w:t>propensity</w:t>
      </w:r>
      <w:r w:rsidR="009A0847">
        <w:t xml:space="preserve"> </w:t>
      </w:r>
      <w:r w:rsidR="00572AD5" w:rsidRPr="001A1F3A">
        <w:t>to</w:t>
      </w:r>
      <w:r w:rsidR="009A0847">
        <w:t xml:space="preserve"> </w:t>
      </w:r>
      <w:r w:rsidR="00572AD5" w:rsidRPr="001A1F3A">
        <w:t>borrow</w:t>
      </w:r>
      <w:r w:rsidR="009A0847">
        <w:t xml:space="preserve"> </w:t>
      </w:r>
      <w:r w:rsidR="00572AD5" w:rsidRPr="001A1F3A">
        <w:t>at</w:t>
      </w:r>
      <w:r w:rsidR="009A0847">
        <w:t xml:space="preserve"> </w:t>
      </w:r>
      <w:r w:rsidR="00572AD5" w:rsidRPr="001A1F3A">
        <w:t>the</w:t>
      </w:r>
      <w:r w:rsidR="009A0847">
        <w:t xml:space="preserve"> </w:t>
      </w:r>
      <w:r w:rsidR="00572AD5" w:rsidRPr="001A1F3A">
        <w:t>DW</w:t>
      </w:r>
      <w:r w:rsidR="009A0847">
        <w:t xml:space="preserve"> </w:t>
      </w:r>
      <w:r w:rsidR="00572AD5" w:rsidRPr="001A1F3A">
        <w:t>to</w:t>
      </w:r>
      <w:r w:rsidR="009A0847">
        <w:t xml:space="preserve"> </w:t>
      </w:r>
      <w:r w:rsidR="00572AD5" w:rsidRPr="001A1F3A">
        <w:t>be</w:t>
      </w:r>
      <w:r w:rsidR="009A0847">
        <w:t xml:space="preserve"> </w:t>
      </w:r>
      <w:r w:rsidR="00572AD5" w:rsidRPr="001A1F3A">
        <w:t>significantly</w:t>
      </w:r>
      <w:r w:rsidR="009A0847">
        <w:t xml:space="preserve"> </w:t>
      </w:r>
      <w:r w:rsidR="00572AD5" w:rsidRPr="001A1F3A">
        <w:t>and</w:t>
      </w:r>
      <w:r w:rsidR="009A0847">
        <w:t xml:space="preserve"> </w:t>
      </w:r>
      <w:r w:rsidR="00572AD5" w:rsidRPr="001A1F3A">
        <w:t>substantially</w:t>
      </w:r>
      <w:r w:rsidR="009A0847">
        <w:t xml:space="preserve"> </w:t>
      </w:r>
      <w:r w:rsidR="00572AD5" w:rsidRPr="001A1F3A">
        <w:t>higher</w:t>
      </w:r>
      <w:r w:rsidR="009A0847">
        <w:t xml:space="preserve"> </w:t>
      </w:r>
      <w:r w:rsidR="00572AD5" w:rsidRPr="001A1F3A">
        <w:t>(in</w:t>
      </w:r>
      <w:r w:rsidR="009A0847">
        <w:t xml:space="preserve"> </w:t>
      </w:r>
      <w:r w:rsidR="00572AD5" w:rsidRPr="001A1F3A">
        <w:t>excess</w:t>
      </w:r>
      <w:r w:rsidR="009A0847">
        <w:t xml:space="preserve"> </w:t>
      </w:r>
      <w:r w:rsidR="00572AD5" w:rsidRPr="001A1F3A">
        <w:t>of</w:t>
      </w:r>
      <w:r w:rsidR="009A0847">
        <w:t xml:space="preserve"> </w:t>
      </w:r>
      <w:r w:rsidR="00572AD5" w:rsidRPr="001A1F3A">
        <w:t>30%)</w:t>
      </w:r>
      <w:r w:rsidR="009A0847">
        <w:t xml:space="preserve"> </w:t>
      </w:r>
      <w:r w:rsidR="00572AD5" w:rsidRPr="001A1F3A">
        <w:t>in</w:t>
      </w:r>
      <w:r w:rsidR="009A0847">
        <w:t xml:space="preserve"> </w:t>
      </w:r>
      <w:r w:rsidR="00572AD5" w:rsidRPr="001A1F3A">
        <w:t>the</w:t>
      </w:r>
      <w:r w:rsidR="009A0847">
        <w:t xml:space="preserve"> </w:t>
      </w:r>
      <w:r w:rsidR="00C345EE">
        <w:t>random</w:t>
      </w:r>
      <w:r w:rsidR="009A0847">
        <w:t xml:space="preserve"> </w:t>
      </w:r>
      <w:r w:rsidR="00572AD5" w:rsidRPr="001A1F3A">
        <w:t>borrowing</w:t>
      </w:r>
      <w:r w:rsidR="009A0847">
        <w:t xml:space="preserve"> </w:t>
      </w:r>
      <w:r w:rsidR="00572AD5" w:rsidRPr="001A1F3A">
        <w:t>treatment</w:t>
      </w:r>
      <w:r w:rsidR="009A0847">
        <w:t xml:space="preserve"> </w:t>
      </w:r>
      <w:r w:rsidR="00572AD5" w:rsidRPr="001A1F3A">
        <w:t>(row</w:t>
      </w:r>
      <w:r w:rsidR="009A0847">
        <w:t xml:space="preserve"> </w:t>
      </w:r>
      <w:r w:rsidR="00572AD5" w:rsidRPr="001A1F3A">
        <w:t>2).</w:t>
      </w:r>
      <w:r w:rsidR="009A0847">
        <w:t xml:space="preserve"> </w:t>
      </w:r>
      <w:r w:rsidR="00572AD5" w:rsidRPr="001A1F3A">
        <w:t>Finally,</w:t>
      </w:r>
      <w:r w:rsidR="009A0847">
        <w:t xml:space="preserve"> </w:t>
      </w:r>
      <w:r w:rsidR="00572AD5" w:rsidRPr="001A1F3A">
        <w:t>a</w:t>
      </w:r>
      <w:r w:rsidR="009A0847">
        <w:t xml:space="preserve"> </w:t>
      </w:r>
      <w:r w:rsidR="00572AD5" w:rsidRPr="001A1F3A">
        <w:t>bank’s</w:t>
      </w:r>
      <w:r w:rsidR="009A0847">
        <w:t xml:space="preserve"> </w:t>
      </w:r>
      <w:r w:rsidR="00572AD5" w:rsidRPr="001A1F3A">
        <w:t>decisions</w:t>
      </w:r>
      <w:r w:rsidR="009A0847">
        <w:t xml:space="preserve"> </w:t>
      </w:r>
      <w:r w:rsidR="00572AD5" w:rsidRPr="001A1F3A">
        <w:t>to</w:t>
      </w:r>
      <w:r w:rsidR="009A0847">
        <w:t xml:space="preserve"> </w:t>
      </w:r>
      <w:r w:rsidR="00572AD5" w:rsidRPr="001A1F3A">
        <w:t>borrow</w:t>
      </w:r>
      <w:r w:rsidR="009A0847">
        <w:t xml:space="preserve"> </w:t>
      </w:r>
      <w:r w:rsidR="00572AD5" w:rsidRPr="001A1F3A">
        <w:t>at</w:t>
      </w:r>
      <w:r w:rsidR="009A0847">
        <w:t xml:space="preserve"> </w:t>
      </w:r>
      <w:r w:rsidR="00572AD5" w:rsidRPr="001A1F3A">
        <w:t>the</w:t>
      </w:r>
      <w:r w:rsidR="009A0847">
        <w:t xml:space="preserve"> </w:t>
      </w:r>
      <w:r w:rsidR="00572AD5" w:rsidRPr="001A1F3A">
        <w:t>DW</w:t>
      </w:r>
      <w:r w:rsidR="009A0847">
        <w:t xml:space="preserve"> </w:t>
      </w:r>
      <w:r w:rsidR="00572AD5" w:rsidRPr="001A1F3A">
        <w:t>if</w:t>
      </w:r>
      <w:r w:rsidR="009A0847">
        <w:t xml:space="preserve"> </w:t>
      </w:r>
      <w:r w:rsidR="001212A3">
        <w:t>solvent-illiquid</w:t>
      </w:r>
      <w:r w:rsidR="009A0847">
        <w:t xml:space="preserve"> </w:t>
      </w:r>
      <w:r w:rsidR="00572AD5" w:rsidRPr="001A1F3A">
        <w:t>and</w:t>
      </w:r>
      <w:r w:rsidR="009A0847">
        <w:t xml:space="preserve"> </w:t>
      </w:r>
      <w:r w:rsidR="00572AD5" w:rsidRPr="001A1F3A">
        <w:t>if</w:t>
      </w:r>
      <w:r w:rsidR="009A0847">
        <w:t xml:space="preserve"> </w:t>
      </w:r>
      <w:r w:rsidR="00790803">
        <w:t>insolvent-illiquid</w:t>
      </w:r>
      <w:r w:rsidR="009A0847">
        <w:t xml:space="preserve"> </w:t>
      </w:r>
      <w:r w:rsidR="00572AD5" w:rsidRPr="001A1F3A">
        <w:t>are</w:t>
      </w:r>
      <w:r w:rsidR="009A0847">
        <w:t xml:space="preserve"> </w:t>
      </w:r>
      <w:r w:rsidR="00572AD5" w:rsidRPr="001A1F3A">
        <w:t>positive</w:t>
      </w:r>
      <w:r w:rsidR="00790803">
        <w:t>ly</w:t>
      </w:r>
      <w:r w:rsidR="009A0847">
        <w:t xml:space="preserve"> </w:t>
      </w:r>
      <w:r w:rsidR="00790803">
        <w:t>and</w:t>
      </w:r>
      <w:r w:rsidR="009A0847">
        <w:t xml:space="preserve"> </w:t>
      </w:r>
      <w:r w:rsidR="00790803">
        <w:t>highly</w:t>
      </w:r>
      <w:r w:rsidR="009A0847">
        <w:t xml:space="preserve"> </w:t>
      </w:r>
      <w:r w:rsidR="00790803">
        <w:t>correlated</w:t>
      </w:r>
      <w:r w:rsidR="009A0847">
        <w:t xml:space="preserve"> </w:t>
      </w:r>
      <w:r w:rsidR="00790803">
        <w:t>(row</w:t>
      </w:r>
      <w:r w:rsidR="009A0847">
        <w:t xml:space="preserve"> </w:t>
      </w:r>
      <w:r w:rsidR="00790803">
        <w:t>26</w:t>
      </w:r>
      <w:r w:rsidR="00572AD5" w:rsidRPr="001A1F3A">
        <w:t>).</w:t>
      </w:r>
      <w:r w:rsidR="009A0847">
        <w:t xml:space="preserve"> </w:t>
      </w:r>
      <w:r w:rsidR="00D61401" w:rsidRPr="001A1F3A">
        <w:t>This</w:t>
      </w:r>
      <w:r w:rsidR="009A0847">
        <w:t xml:space="preserve"> </w:t>
      </w:r>
      <w:r w:rsidR="00790803">
        <w:t>result</w:t>
      </w:r>
      <w:r w:rsidR="009A0847">
        <w:t xml:space="preserve"> </w:t>
      </w:r>
      <w:r w:rsidR="00313676" w:rsidRPr="001A1F3A">
        <w:t>is</w:t>
      </w:r>
      <w:r w:rsidR="009A0847">
        <w:t xml:space="preserve"> </w:t>
      </w:r>
      <w:r w:rsidR="00313676" w:rsidRPr="001A1F3A">
        <w:t>consistent</w:t>
      </w:r>
      <w:r w:rsidR="009A0847">
        <w:t xml:space="preserve"> </w:t>
      </w:r>
      <w:r w:rsidR="00313676" w:rsidRPr="001A1F3A">
        <w:t>with</w:t>
      </w:r>
      <w:r w:rsidR="009A0847">
        <w:t xml:space="preserve"> </w:t>
      </w:r>
      <w:r w:rsidR="00313676" w:rsidRPr="001A1F3A">
        <w:t>theory</w:t>
      </w:r>
      <w:r w:rsidR="009A0847">
        <w:t xml:space="preserve"> </w:t>
      </w:r>
      <w:r w:rsidR="00790803">
        <w:t>(</w:t>
      </w:r>
      <w:r w:rsidR="00313676" w:rsidRPr="001A1F3A">
        <w:t>since</w:t>
      </w:r>
      <w:r w:rsidR="009A0847">
        <w:t xml:space="preserve"> </w:t>
      </w:r>
      <w:r w:rsidR="00313676" w:rsidRPr="001A1F3A">
        <w:t>illiquid</w:t>
      </w:r>
      <w:r w:rsidR="009A0847">
        <w:t xml:space="preserve"> </w:t>
      </w:r>
      <w:r w:rsidR="00313676" w:rsidRPr="001A1F3A">
        <w:t>banks</w:t>
      </w:r>
      <w:r w:rsidR="009A0847">
        <w:t xml:space="preserve"> </w:t>
      </w:r>
      <w:r w:rsidR="00313676" w:rsidRPr="001A1F3A">
        <w:t>have</w:t>
      </w:r>
      <w:r w:rsidR="009A0847">
        <w:t xml:space="preserve"> </w:t>
      </w:r>
      <w:r w:rsidR="00313676" w:rsidRPr="001A1F3A">
        <w:t>the</w:t>
      </w:r>
      <w:r w:rsidR="009A0847">
        <w:t xml:space="preserve"> </w:t>
      </w:r>
      <w:r w:rsidR="00313676" w:rsidRPr="001A1F3A">
        <w:t>same</w:t>
      </w:r>
      <w:r w:rsidR="009A0847">
        <w:t xml:space="preserve"> </w:t>
      </w:r>
      <w:r w:rsidR="00313676" w:rsidRPr="001A1F3A">
        <w:t>payoff</w:t>
      </w:r>
      <w:r w:rsidR="009A0847">
        <w:t xml:space="preserve"> </w:t>
      </w:r>
      <w:r w:rsidR="00790803">
        <w:t>function</w:t>
      </w:r>
      <w:r w:rsidR="009A0847">
        <w:t xml:space="preserve"> </w:t>
      </w:r>
      <w:r w:rsidR="00790803">
        <w:t>regardless</w:t>
      </w:r>
      <w:r w:rsidR="009A0847">
        <w:t xml:space="preserve"> </w:t>
      </w:r>
      <w:r w:rsidR="00790803">
        <w:t>of</w:t>
      </w:r>
      <w:r w:rsidR="009A0847">
        <w:t xml:space="preserve"> </w:t>
      </w:r>
      <w:r w:rsidR="00790803">
        <w:t>solvency)</w:t>
      </w:r>
      <w:r w:rsidR="009A0847">
        <w:t xml:space="preserve"> </w:t>
      </w:r>
      <w:r w:rsidR="00790803">
        <w:t>and</w:t>
      </w:r>
      <w:r w:rsidR="009A0847">
        <w:t xml:space="preserve"> </w:t>
      </w:r>
      <w:r w:rsidR="00790803">
        <w:t>it</w:t>
      </w:r>
      <w:r w:rsidR="009A0847">
        <w:t xml:space="preserve"> </w:t>
      </w:r>
      <w:r w:rsidR="00572AD5" w:rsidRPr="001A1F3A">
        <w:t>confirms</w:t>
      </w:r>
      <w:r w:rsidR="009A0847">
        <w:t xml:space="preserve"> </w:t>
      </w:r>
      <w:r w:rsidR="00572AD5" w:rsidRPr="001A1F3A">
        <w:t>that</w:t>
      </w:r>
      <w:r w:rsidR="009A0847">
        <w:t xml:space="preserve"> </w:t>
      </w:r>
      <w:r w:rsidR="00572AD5" w:rsidRPr="001A1F3A">
        <w:t>our</w:t>
      </w:r>
      <w:r w:rsidR="009A0847">
        <w:t xml:space="preserve"> </w:t>
      </w:r>
      <w:r w:rsidR="00572AD5" w:rsidRPr="001A1F3A">
        <w:t>econometric</w:t>
      </w:r>
      <w:r w:rsidR="009A0847">
        <w:t xml:space="preserve"> </w:t>
      </w:r>
      <w:r w:rsidR="00572AD5" w:rsidRPr="001A1F3A">
        <w:t>approach,</w:t>
      </w:r>
      <w:r w:rsidR="009A0847">
        <w:t xml:space="preserve"> </w:t>
      </w:r>
      <w:r w:rsidR="00572AD5" w:rsidRPr="001A1F3A">
        <w:t>in</w:t>
      </w:r>
      <w:r w:rsidR="009A0847">
        <w:t xml:space="preserve"> </w:t>
      </w:r>
      <w:r w:rsidR="00572AD5" w:rsidRPr="001A1F3A">
        <w:t>which</w:t>
      </w:r>
      <w:r w:rsidR="009A0847">
        <w:t xml:space="preserve"> </w:t>
      </w:r>
      <w:r w:rsidR="00572AD5" w:rsidRPr="001A1F3A">
        <w:t>the</w:t>
      </w:r>
      <w:r w:rsidR="009A0847">
        <w:t xml:space="preserve"> </w:t>
      </w:r>
      <w:r w:rsidR="00572AD5" w:rsidRPr="001A1F3A">
        <w:t>two</w:t>
      </w:r>
      <w:r w:rsidR="009A0847">
        <w:t xml:space="preserve"> </w:t>
      </w:r>
      <w:r w:rsidR="00572AD5" w:rsidRPr="001A1F3A">
        <w:t>decisions</w:t>
      </w:r>
      <w:r w:rsidR="009A0847">
        <w:t xml:space="preserve"> </w:t>
      </w:r>
      <w:r w:rsidR="00572AD5" w:rsidRPr="001A1F3A">
        <w:t>are</w:t>
      </w:r>
      <w:r w:rsidR="009A0847">
        <w:t xml:space="preserve"> </w:t>
      </w:r>
      <w:r w:rsidR="00572AD5" w:rsidRPr="001A1F3A">
        <w:t>modeled</w:t>
      </w:r>
      <w:r w:rsidR="009A0847">
        <w:t xml:space="preserve"> </w:t>
      </w:r>
      <w:r w:rsidR="00572AD5" w:rsidRPr="001A1F3A">
        <w:t>jointly,</w:t>
      </w:r>
      <w:r w:rsidR="009A0847">
        <w:t xml:space="preserve"> </w:t>
      </w:r>
      <w:r w:rsidR="00572AD5" w:rsidRPr="001A1F3A">
        <w:t>is</w:t>
      </w:r>
      <w:r w:rsidR="009A0847">
        <w:t xml:space="preserve"> </w:t>
      </w:r>
      <w:r w:rsidR="00572AD5" w:rsidRPr="001A1F3A">
        <w:t>appropriate.</w:t>
      </w:r>
      <w:r w:rsidR="009A0847">
        <w:t xml:space="preserve"> </w:t>
      </w:r>
    </w:p>
    <w:p w14:paraId="1995A617" w14:textId="2DF5CAA4" w:rsidR="00CE5AF9" w:rsidRPr="004B709C" w:rsidRDefault="001A1F3A" w:rsidP="008E1FDB">
      <w:pPr>
        <w:pStyle w:val="Olivier1"/>
        <w:widowControl w:val="0"/>
        <w:rPr>
          <w:sz w:val="28"/>
          <w:szCs w:val="28"/>
        </w:rPr>
      </w:pPr>
      <w:r w:rsidRPr="005D609E">
        <w:rPr>
          <w:rStyle w:val="Heading3Char"/>
        </w:rPr>
        <w:t>Specification</w:t>
      </w:r>
      <w:r w:rsidR="009A0847">
        <w:rPr>
          <w:rStyle w:val="Heading3Char"/>
        </w:rPr>
        <w:t xml:space="preserve"> </w:t>
      </w:r>
      <w:r>
        <w:rPr>
          <w:rStyle w:val="Heading3Char"/>
        </w:rPr>
        <w:t>2</w:t>
      </w:r>
      <w:r w:rsidRPr="005D609E">
        <w:rPr>
          <w:rStyle w:val="Heading3Char"/>
        </w:rPr>
        <w:t>:</w:t>
      </w:r>
      <w:r w:rsidR="009A0847">
        <w:t xml:space="preserve"> </w:t>
      </w:r>
      <w:r>
        <w:t>We</w:t>
      </w:r>
      <w:r w:rsidR="009A0847">
        <w:t xml:space="preserve"> </w:t>
      </w:r>
      <w:r>
        <w:t>now</w:t>
      </w:r>
      <w:r w:rsidR="009A0847">
        <w:t xml:space="preserve"> </w:t>
      </w:r>
      <w:r>
        <w:t>augment</w:t>
      </w:r>
      <w:r w:rsidR="009A0847">
        <w:t xml:space="preserve"> </w:t>
      </w:r>
      <w:r>
        <w:t>the</w:t>
      </w:r>
      <w:r w:rsidR="009A0847">
        <w:t xml:space="preserve"> </w:t>
      </w:r>
      <w:r>
        <w:t>model</w:t>
      </w:r>
      <w:r w:rsidR="009A0847">
        <w:t xml:space="preserve"> </w:t>
      </w:r>
      <w:r w:rsidR="00572AD5" w:rsidRPr="008C5BDB">
        <w:t>by</w:t>
      </w:r>
      <w:r w:rsidR="009A0847">
        <w:t xml:space="preserve"> </w:t>
      </w:r>
      <w:r w:rsidR="00572AD5" w:rsidRPr="008C5BDB">
        <w:t>controlling</w:t>
      </w:r>
      <w:r w:rsidR="009A0847">
        <w:t xml:space="preserve"> </w:t>
      </w:r>
      <w:r w:rsidR="00572AD5" w:rsidRPr="008C5BDB">
        <w:t>for</w:t>
      </w:r>
      <w:r w:rsidR="009A0847">
        <w:t xml:space="preserve"> </w:t>
      </w:r>
      <w:r w:rsidR="00572AD5">
        <w:t>private</w:t>
      </w:r>
      <w:r w:rsidR="009A0847">
        <w:t xml:space="preserve"> </w:t>
      </w:r>
      <w:r w:rsidR="00572AD5">
        <w:t>and</w:t>
      </w:r>
      <w:r w:rsidR="009A0847">
        <w:t xml:space="preserve"> </w:t>
      </w:r>
      <w:r w:rsidR="00572AD5" w:rsidRPr="008C5BDB">
        <w:t>public</w:t>
      </w:r>
      <w:r w:rsidR="009A0847">
        <w:t xml:space="preserve"> </w:t>
      </w:r>
      <w:r w:rsidR="00572AD5">
        <w:t>feedback</w:t>
      </w:r>
      <w:r w:rsidR="00572AD5" w:rsidRPr="008C5BDB">
        <w:t>.</w:t>
      </w:r>
      <w:r w:rsidR="009A0847">
        <w:t xml:space="preserve"> </w:t>
      </w:r>
      <w:r w:rsidR="00572AD5">
        <w:t>First,</w:t>
      </w:r>
      <w:r w:rsidR="009A0847">
        <w:t xml:space="preserve"> </w:t>
      </w:r>
      <w:r w:rsidR="00572AD5">
        <w:t>note</w:t>
      </w:r>
      <w:r w:rsidR="009A0847">
        <w:t xml:space="preserve"> </w:t>
      </w:r>
      <w:r w:rsidR="00572AD5">
        <w:t>that</w:t>
      </w:r>
      <w:r w:rsidR="009A0847">
        <w:t xml:space="preserve"> </w:t>
      </w:r>
      <w:r w:rsidR="00572AD5">
        <w:t>the</w:t>
      </w:r>
      <w:r w:rsidR="009A0847">
        <w:t xml:space="preserve"> </w:t>
      </w:r>
      <w:r w:rsidR="00572AD5">
        <w:t>dummy</w:t>
      </w:r>
      <w:r w:rsidR="009A0847">
        <w:t xml:space="preserve"> </w:t>
      </w:r>
      <w:r w:rsidR="00572AD5">
        <w:t>variable</w:t>
      </w:r>
      <w:r w:rsidR="009A0847">
        <w:t xml:space="preserve"> </w:t>
      </w:r>
      <w:r w:rsidR="00572AD5">
        <w:t>for</w:t>
      </w:r>
      <w:r w:rsidR="009A0847">
        <w:t xml:space="preserve"> </w:t>
      </w:r>
      <w:r w:rsidR="00572AD5">
        <w:rPr>
          <w:rFonts w:ascii="Times" w:hAnsi="Times"/>
        </w:rPr>
        <w:t>the</w:t>
      </w:r>
      <w:r w:rsidR="009A0847">
        <w:rPr>
          <w:rFonts w:ascii="Times" w:hAnsi="Times"/>
        </w:rPr>
        <w:t xml:space="preserve"> </w:t>
      </w:r>
      <w:r w:rsidR="00C345EE">
        <w:rPr>
          <w:rFonts w:ascii="Times" w:hAnsi="Times"/>
        </w:rPr>
        <w:t>random</w:t>
      </w:r>
      <w:r w:rsidR="009A0847">
        <w:rPr>
          <w:rFonts w:ascii="Times" w:hAnsi="Times"/>
        </w:rPr>
        <w:t xml:space="preserve"> </w:t>
      </w:r>
      <w:r w:rsidR="00572AD5">
        <w:rPr>
          <w:rFonts w:ascii="Times" w:hAnsi="Times"/>
        </w:rPr>
        <w:t>borrowing</w:t>
      </w:r>
      <w:r w:rsidR="009A0847">
        <w:rPr>
          <w:rFonts w:ascii="Times" w:hAnsi="Times"/>
        </w:rPr>
        <w:t xml:space="preserve"> </w:t>
      </w:r>
      <w:r w:rsidR="00572AD5">
        <w:rPr>
          <w:rFonts w:ascii="Times" w:hAnsi="Times"/>
        </w:rPr>
        <w:t>treatment</w:t>
      </w:r>
      <w:r w:rsidR="009A0847">
        <w:t xml:space="preserve"> </w:t>
      </w:r>
      <w:r w:rsidR="00572AD5">
        <w:t>becomes</w:t>
      </w:r>
      <w:r w:rsidR="009A0847">
        <w:t xml:space="preserve"> </w:t>
      </w:r>
      <w:r w:rsidR="00572AD5">
        <w:t>insignificant</w:t>
      </w:r>
      <w:r w:rsidR="009A0847">
        <w:t xml:space="preserve"> </w:t>
      </w:r>
      <w:r w:rsidR="00572AD5">
        <w:t>(row</w:t>
      </w:r>
      <w:r w:rsidR="009A0847">
        <w:t xml:space="preserve"> </w:t>
      </w:r>
      <w:r w:rsidR="00572AD5">
        <w:t>2).</w:t>
      </w:r>
      <w:r w:rsidR="009A0847">
        <w:t xml:space="preserve"> </w:t>
      </w:r>
      <w:r w:rsidR="00572AD5">
        <w:t>The</w:t>
      </w:r>
      <w:r w:rsidR="009A0847">
        <w:t xml:space="preserve"> </w:t>
      </w:r>
      <w:r w:rsidR="00572AD5">
        <w:t>treatment</w:t>
      </w:r>
      <w:r w:rsidR="009A0847">
        <w:t xml:space="preserve"> </w:t>
      </w:r>
      <w:r w:rsidR="00572AD5">
        <w:t>effect</w:t>
      </w:r>
      <w:r w:rsidR="009A0847">
        <w:t xml:space="preserve"> </w:t>
      </w:r>
      <w:r w:rsidR="00572AD5">
        <w:t>we</w:t>
      </w:r>
      <w:r w:rsidR="009A0847">
        <w:t xml:space="preserve"> </w:t>
      </w:r>
      <w:r w:rsidR="00572AD5">
        <w:t>identified</w:t>
      </w:r>
      <w:r w:rsidR="009A0847">
        <w:t xml:space="preserve"> </w:t>
      </w:r>
      <w:r w:rsidR="00572AD5">
        <w:t>with</w:t>
      </w:r>
      <w:r w:rsidR="009A0847">
        <w:t xml:space="preserve"> </w:t>
      </w:r>
      <w:r w:rsidR="00572AD5">
        <w:t>specification</w:t>
      </w:r>
      <w:r w:rsidR="009A0847">
        <w:t xml:space="preserve"> </w:t>
      </w:r>
      <w:r w:rsidR="00572AD5">
        <w:t>1</w:t>
      </w:r>
      <w:r w:rsidR="009A0847">
        <w:t xml:space="preserve"> </w:t>
      </w:r>
      <w:r w:rsidR="00572AD5">
        <w:t>therefore</w:t>
      </w:r>
      <w:r w:rsidR="009A0847">
        <w:t xml:space="preserve"> </w:t>
      </w:r>
      <w:r w:rsidR="00572AD5">
        <w:t>does</w:t>
      </w:r>
      <w:r w:rsidR="009A0847">
        <w:t xml:space="preserve"> </w:t>
      </w:r>
      <w:r w:rsidR="00572AD5">
        <w:t>not</w:t>
      </w:r>
      <w:r w:rsidR="009A0847">
        <w:t xml:space="preserve"> </w:t>
      </w:r>
      <w:r w:rsidR="00572AD5">
        <w:t>result</w:t>
      </w:r>
      <w:r w:rsidR="009A0847">
        <w:t xml:space="preserve"> </w:t>
      </w:r>
      <w:r w:rsidR="00572AD5">
        <w:t>from</w:t>
      </w:r>
      <w:r w:rsidR="009A0847">
        <w:t xml:space="preserve"> </w:t>
      </w:r>
      <w:r w:rsidR="00572AD5">
        <w:t>a</w:t>
      </w:r>
      <w:r w:rsidR="009A0847">
        <w:t xml:space="preserve"> </w:t>
      </w:r>
      <w:r w:rsidR="00572AD5">
        <w:t>systematic</w:t>
      </w:r>
      <w:r w:rsidR="009A0847">
        <w:t xml:space="preserve"> </w:t>
      </w:r>
      <w:r w:rsidR="00572AD5">
        <w:t>difference</w:t>
      </w:r>
      <w:r w:rsidR="009A0847">
        <w:t xml:space="preserve"> </w:t>
      </w:r>
      <w:r w:rsidR="00572AD5">
        <w:t>in</w:t>
      </w:r>
      <w:r w:rsidR="009A0847">
        <w:t xml:space="preserve"> </w:t>
      </w:r>
      <w:r w:rsidR="00572AD5">
        <w:t>behavior.</w:t>
      </w:r>
      <w:r w:rsidR="009A0847">
        <w:t xml:space="preserve"> </w:t>
      </w:r>
      <w:r w:rsidR="00572AD5">
        <w:t>Instead,</w:t>
      </w:r>
      <w:r w:rsidR="009A0847">
        <w:t xml:space="preserve"> </w:t>
      </w:r>
      <w:r w:rsidR="00572AD5">
        <w:t>it</w:t>
      </w:r>
      <w:r w:rsidR="009A0847">
        <w:t xml:space="preserve"> </w:t>
      </w:r>
      <w:r w:rsidR="00572AD5">
        <w:t>appears</w:t>
      </w:r>
      <w:r w:rsidR="009A0847">
        <w:t xml:space="preserve"> </w:t>
      </w:r>
      <w:r w:rsidR="00572AD5">
        <w:t>that</w:t>
      </w:r>
      <w:r w:rsidR="00D61401">
        <w:t>,</w:t>
      </w:r>
      <w:r w:rsidR="009A0847">
        <w:t xml:space="preserve"> </w:t>
      </w:r>
      <w:r w:rsidR="00D61401">
        <w:t>using</w:t>
      </w:r>
      <w:r w:rsidR="009A0847">
        <w:t xml:space="preserve"> </w:t>
      </w:r>
      <w:r w:rsidR="00D61401">
        <w:t>the</w:t>
      </w:r>
      <w:r w:rsidR="009A0847">
        <w:t xml:space="preserve"> </w:t>
      </w:r>
      <w:r w:rsidR="00D61401">
        <w:t>feedback</w:t>
      </w:r>
      <w:r w:rsidR="009A0847">
        <w:t xml:space="preserve"> </w:t>
      </w:r>
      <w:r w:rsidR="00D61401">
        <w:t>provided</w:t>
      </w:r>
      <w:r w:rsidR="009A0847">
        <w:t xml:space="preserve"> </w:t>
      </w:r>
      <w:r w:rsidR="00EB384F">
        <w:t>after</w:t>
      </w:r>
      <w:r w:rsidR="009A0847">
        <w:t xml:space="preserve"> </w:t>
      </w:r>
      <w:r w:rsidR="00EB384F">
        <w:t>each</w:t>
      </w:r>
      <w:r w:rsidR="009A0847">
        <w:t xml:space="preserve"> </w:t>
      </w:r>
      <w:r w:rsidR="00EB384F">
        <w:t>round</w:t>
      </w:r>
      <w:r w:rsidR="00D61401">
        <w:t>,</w:t>
      </w:r>
      <w:r w:rsidR="009A0847">
        <w:t xml:space="preserve"> </w:t>
      </w:r>
      <w:r w:rsidR="00572AD5">
        <w:t>banks</w:t>
      </w:r>
      <w:r w:rsidR="009A0847">
        <w:t xml:space="preserve"> </w:t>
      </w:r>
      <w:r w:rsidR="00572AD5">
        <w:rPr>
          <w:rFonts w:ascii="Times" w:hAnsi="Times"/>
        </w:rPr>
        <w:t>in</w:t>
      </w:r>
      <w:r w:rsidR="009A0847">
        <w:rPr>
          <w:rFonts w:ascii="Times" w:hAnsi="Times"/>
        </w:rPr>
        <w:t xml:space="preserve"> </w:t>
      </w:r>
      <w:r w:rsidR="00572AD5">
        <w:rPr>
          <w:rFonts w:ascii="Times" w:hAnsi="Times"/>
        </w:rPr>
        <w:t>the</w:t>
      </w:r>
      <w:r w:rsidR="009A0847">
        <w:rPr>
          <w:rFonts w:ascii="Times" w:hAnsi="Times"/>
        </w:rPr>
        <w:t xml:space="preserve"> </w:t>
      </w:r>
      <w:r w:rsidR="00C345EE">
        <w:rPr>
          <w:rFonts w:ascii="Times" w:hAnsi="Times"/>
        </w:rPr>
        <w:t>random</w:t>
      </w:r>
      <w:r w:rsidR="009A0847">
        <w:rPr>
          <w:rFonts w:ascii="Times" w:hAnsi="Times"/>
        </w:rPr>
        <w:t xml:space="preserve"> </w:t>
      </w:r>
      <w:r w:rsidR="00572AD5">
        <w:rPr>
          <w:rFonts w:ascii="Times" w:hAnsi="Times"/>
        </w:rPr>
        <w:t>borrowing</w:t>
      </w:r>
      <w:r w:rsidR="009A0847">
        <w:rPr>
          <w:rFonts w:ascii="Times" w:hAnsi="Times"/>
        </w:rPr>
        <w:t xml:space="preserve"> </w:t>
      </w:r>
      <w:r w:rsidR="00572AD5">
        <w:rPr>
          <w:rFonts w:ascii="Times" w:hAnsi="Times"/>
        </w:rPr>
        <w:t>treatment</w:t>
      </w:r>
      <w:r w:rsidR="009A0847">
        <w:t xml:space="preserve"> </w:t>
      </w:r>
      <w:r w:rsidR="008E1FDB">
        <w:t>learn</w:t>
      </w:r>
      <w:r w:rsidR="009A0847">
        <w:t xml:space="preserve"> </w:t>
      </w:r>
      <w:r w:rsidR="00572AD5">
        <w:t>to</w:t>
      </w:r>
      <w:r w:rsidR="009A0847">
        <w:t xml:space="preserve"> </w:t>
      </w:r>
      <w:r w:rsidR="00572AD5">
        <w:t>adjust</w:t>
      </w:r>
      <w:r w:rsidR="009A0847">
        <w:t xml:space="preserve"> </w:t>
      </w:r>
      <w:r w:rsidR="00572AD5">
        <w:t>their</w:t>
      </w:r>
      <w:r w:rsidR="009A0847">
        <w:t xml:space="preserve"> </w:t>
      </w:r>
      <w:r w:rsidR="00572AD5">
        <w:t>behavior</w:t>
      </w:r>
      <w:r w:rsidR="009A0847">
        <w:t xml:space="preserve"> </w:t>
      </w:r>
      <w:r w:rsidR="00572AD5">
        <w:t>differently</w:t>
      </w:r>
      <w:r w:rsidR="009A0847">
        <w:t xml:space="preserve"> </w:t>
      </w:r>
      <w:r w:rsidR="00572AD5">
        <w:t>than</w:t>
      </w:r>
      <w:r w:rsidR="009A0847">
        <w:t xml:space="preserve"> </w:t>
      </w:r>
      <w:r w:rsidR="00572AD5">
        <w:t>in</w:t>
      </w:r>
      <w:r w:rsidR="009A0847">
        <w:t xml:space="preserve"> </w:t>
      </w:r>
      <w:r w:rsidR="00572AD5">
        <w:t>the</w:t>
      </w:r>
      <w:r w:rsidR="009A0847">
        <w:t xml:space="preserve"> </w:t>
      </w:r>
      <w:r w:rsidR="00682AF5">
        <w:t>control</w:t>
      </w:r>
      <w:r w:rsidR="009A0847">
        <w:t xml:space="preserve"> </w:t>
      </w:r>
      <w:r w:rsidR="00572AD5">
        <w:t>treatment.</w:t>
      </w:r>
      <w:r w:rsidR="009A0847">
        <w:t xml:space="preserve"> </w:t>
      </w:r>
      <w:r w:rsidR="00313676">
        <w:t>Not</w:t>
      </w:r>
      <w:r w:rsidR="009A0847">
        <w:t xml:space="preserve"> </w:t>
      </w:r>
      <w:r w:rsidR="00313676">
        <w:t>surprisingly,</w:t>
      </w:r>
      <w:r w:rsidR="009A0847">
        <w:t xml:space="preserve"> </w:t>
      </w:r>
      <w:r w:rsidR="00313676">
        <w:t>we</w:t>
      </w:r>
      <w:r w:rsidR="009A0847">
        <w:t xml:space="preserve"> </w:t>
      </w:r>
      <w:r w:rsidR="00313676">
        <w:t>find</w:t>
      </w:r>
      <w:r w:rsidR="009A0847">
        <w:t xml:space="preserve"> </w:t>
      </w:r>
      <w:r w:rsidR="00313676">
        <w:t>that</w:t>
      </w:r>
      <w:r w:rsidR="009A0847">
        <w:t xml:space="preserve"> </w:t>
      </w:r>
      <w:r w:rsidR="00313676">
        <w:t>b</w:t>
      </w:r>
      <w:r w:rsidR="00D61401">
        <w:t>anks’</w:t>
      </w:r>
      <w:r w:rsidR="009A0847">
        <w:t xml:space="preserve"> </w:t>
      </w:r>
      <w:r w:rsidR="00D61401">
        <w:t>behavior</w:t>
      </w:r>
      <w:r w:rsidR="009A0847">
        <w:t xml:space="preserve"> </w:t>
      </w:r>
      <w:r w:rsidR="00D61401">
        <w:t>exhibit</w:t>
      </w:r>
      <w:r w:rsidR="009A0847">
        <w:t xml:space="preserve"> </w:t>
      </w:r>
      <w:r w:rsidR="00D61401">
        <w:t>a</w:t>
      </w:r>
      <w:r w:rsidR="009A0847">
        <w:t xml:space="preserve"> </w:t>
      </w:r>
      <w:r w:rsidR="00572AD5" w:rsidRPr="009A058A">
        <w:t>strong</w:t>
      </w:r>
      <w:r w:rsidR="009A0847">
        <w:t xml:space="preserve"> </w:t>
      </w:r>
      <w:r w:rsidR="00572AD5" w:rsidRPr="009A058A">
        <w:t>inertia</w:t>
      </w:r>
      <w:r w:rsidR="009A0847">
        <w:t xml:space="preserve"> </w:t>
      </w:r>
      <w:r w:rsidR="00572AD5" w:rsidRPr="009A058A">
        <w:t>effect</w:t>
      </w:r>
      <w:r w:rsidR="009A0847">
        <w:t xml:space="preserve"> </w:t>
      </w:r>
      <w:r w:rsidR="00D61401">
        <w:t>(r</w:t>
      </w:r>
      <w:r w:rsidR="00D61401" w:rsidRPr="009A058A">
        <w:t>ows</w:t>
      </w:r>
      <w:r w:rsidR="009A0847">
        <w:t xml:space="preserve"> </w:t>
      </w:r>
      <w:r w:rsidR="00790803">
        <w:t>4</w:t>
      </w:r>
      <w:r w:rsidR="009A0847">
        <w:t xml:space="preserve"> </w:t>
      </w:r>
      <w:r w:rsidR="00D61401" w:rsidRPr="009A058A">
        <w:t>and</w:t>
      </w:r>
      <w:r w:rsidR="009A0847">
        <w:t xml:space="preserve"> </w:t>
      </w:r>
      <w:r w:rsidR="00790803">
        <w:t>5</w:t>
      </w:r>
      <w:r w:rsidR="00D61401">
        <w:t>)</w:t>
      </w:r>
      <w:r w:rsidR="00572AD5" w:rsidRPr="009A058A">
        <w:t>:</w:t>
      </w:r>
      <w:r w:rsidR="009A0847">
        <w:t xml:space="preserve"> </w:t>
      </w:r>
      <w:r w:rsidR="00572AD5" w:rsidRPr="009A058A">
        <w:t>A</w:t>
      </w:r>
      <w:r w:rsidR="009A0847">
        <w:t xml:space="preserve"> </w:t>
      </w:r>
      <w:r w:rsidR="00572AD5" w:rsidRPr="009A058A">
        <w:t>bank</w:t>
      </w:r>
      <w:r w:rsidR="009A0847">
        <w:t xml:space="preserve"> </w:t>
      </w:r>
      <w:r w:rsidR="00572AD5" w:rsidRPr="009A058A">
        <w:t>that</w:t>
      </w:r>
      <w:r w:rsidR="009A0847">
        <w:t xml:space="preserve"> </w:t>
      </w:r>
      <w:r w:rsidR="00572AD5" w:rsidRPr="009A058A">
        <w:t>chooses</w:t>
      </w:r>
      <w:r w:rsidR="009A0847">
        <w:t xml:space="preserve"> </w:t>
      </w:r>
      <w:r w:rsidR="00572AD5" w:rsidRPr="009A058A">
        <w:t>to</w:t>
      </w:r>
      <w:r w:rsidR="009A0847">
        <w:t xml:space="preserve"> </w:t>
      </w:r>
      <w:r w:rsidR="00572AD5" w:rsidRPr="009A058A">
        <w:t>borrow</w:t>
      </w:r>
      <w:r w:rsidR="009A0847">
        <w:t xml:space="preserve"> </w:t>
      </w:r>
      <w:r w:rsidR="00572AD5" w:rsidRPr="009A058A">
        <w:t>at</w:t>
      </w:r>
      <w:r w:rsidR="009A0847">
        <w:t xml:space="preserve"> </w:t>
      </w:r>
      <w:r w:rsidR="00572AD5" w:rsidRPr="009A058A">
        <w:t>the</w:t>
      </w:r>
      <w:r w:rsidR="009A0847">
        <w:t xml:space="preserve"> </w:t>
      </w:r>
      <w:r w:rsidR="00572AD5" w:rsidRPr="009A058A">
        <w:t>DW</w:t>
      </w:r>
      <w:r w:rsidR="009A0847">
        <w:t xml:space="preserve"> </w:t>
      </w:r>
      <w:r w:rsidR="00572AD5" w:rsidRPr="009A058A">
        <w:t>if</w:t>
      </w:r>
      <w:r w:rsidR="009A0847">
        <w:t xml:space="preserve"> </w:t>
      </w:r>
      <w:r w:rsidR="001212A3">
        <w:t>solvent-illiquid</w:t>
      </w:r>
      <w:r w:rsidR="009A0847">
        <w:t xml:space="preserve"> </w:t>
      </w:r>
      <w:r w:rsidR="00572AD5" w:rsidRPr="009A058A">
        <w:t>(respectively,</w:t>
      </w:r>
      <w:r w:rsidR="009A0847">
        <w:t xml:space="preserve"> </w:t>
      </w:r>
      <w:r w:rsidR="00572AD5" w:rsidRPr="009A058A">
        <w:t>if</w:t>
      </w:r>
      <w:r w:rsidR="009A0847">
        <w:t xml:space="preserve"> </w:t>
      </w:r>
      <w:r w:rsidR="00790803">
        <w:t>insolvent-illiquid)</w:t>
      </w:r>
      <w:r w:rsidR="009A0847">
        <w:t xml:space="preserve"> </w:t>
      </w:r>
      <w:r w:rsidR="00790803">
        <w:t>is</w:t>
      </w:r>
      <w:r w:rsidR="009A0847">
        <w:t xml:space="preserve"> </w:t>
      </w:r>
      <w:r w:rsidR="00572AD5" w:rsidRPr="009A058A">
        <w:t>5</w:t>
      </w:r>
      <w:r w:rsidR="00642CA8">
        <w:t>7</w:t>
      </w:r>
      <w:r w:rsidR="00572AD5" w:rsidRPr="009A058A">
        <w:t>%</w:t>
      </w:r>
      <w:r w:rsidR="009A0847">
        <w:t xml:space="preserve"> </w:t>
      </w:r>
      <w:r w:rsidR="00642CA8">
        <w:t>(respectively</w:t>
      </w:r>
      <w:r w:rsidR="0025036C">
        <w:t>,</w:t>
      </w:r>
      <w:r w:rsidR="00642CA8">
        <w:t xml:space="preserve"> 56</w:t>
      </w:r>
      <w:r w:rsidR="0025036C">
        <w:t xml:space="preserve">%) </w:t>
      </w:r>
      <w:r w:rsidR="00572AD5" w:rsidRPr="009A058A">
        <w:t>more</w:t>
      </w:r>
      <w:r w:rsidR="009A0847">
        <w:t xml:space="preserve"> </w:t>
      </w:r>
      <w:r w:rsidR="00572AD5" w:rsidRPr="009A058A">
        <w:t>likely</w:t>
      </w:r>
      <w:r w:rsidR="009A0847">
        <w:t xml:space="preserve"> </w:t>
      </w:r>
      <w:r w:rsidR="00572AD5" w:rsidRPr="009A058A">
        <w:t>to</w:t>
      </w:r>
      <w:r w:rsidR="009A0847">
        <w:t xml:space="preserve"> </w:t>
      </w:r>
      <w:r w:rsidR="00572AD5" w:rsidRPr="009A058A">
        <w:t>do</w:t>
      </w:r>
      <w:r w:rsidR="009A0847">
        <w:t xml:space="preserve"> </w:t>
      </w:r>
      <w:r w:rsidR="00572AD5" w:rsidRPr="009A058A">
        <w:t>so</w:t>
      </w:r>
      <w:r w:rsidR="009A0847">
        <w:t xml:space="preserve"> </w:t>
      </w:r>
      <w:r w:rsidR="00572AD5" w:rsidRPr="009A058A">
        <w:t>again</w:t>
      </w:r>
      <w:r w:rsidR="009A0847">
        <w:t xml:space="preserve"> </w:t>
      </w:r>
      <w:r w:rsidR="00572AD5" w:rsidRPr="009A058A">
        <w:t>in</w:t>
      </w:r>
      <w:r w:rsidR="009A0847">
        <w:t xml:space="preserve"> </w:t>
      </w:r>
      <w:r w:rsidR="00572AD5" w:rsidRPr="009A058A">
        <w:t>the</w:t>
      </w:r>
      <w:r w:rsidR="009A0847">
        <w:t xml:space="preserve"> </w:t>
      </w:r>
      <w:r w:rsidR="00572AD5" w:rsidRPr="009A058A">
        <w:t>next</w:t>
      </w:r>
      <w:r w:rsidR="009A0847">
        <w:t xml:space="preserve"> </w:t>
      </w:r>
      <w:r w:rsidR="00572AD5" w:rsidRPr="009A058A">
        <w:t>round.</w:t>
      </w:r>
      <w:r w:rsidR="009A0847">
        <w:t xml:space="preserve"> </w:t>
      </w:r>
    </w:p>
    <w:p w14:paraId="45EB1222" w14:textId="77777777" w:rsidR="00CE5AF9" w:rsidRPr="004B709C" w:rsidRDefault="00CE5AF9" w:rsidP="00CE5AF9">
      <w:pPr>
        <w:rPr>
          <w:color w:val="FFFF00"/>
          <w:sz w:val="28"/>
          <w:szCs w:val="28"/>
        </w:rPr>
        <w:sectPr w:rsidR="00CE5AF9" w:rsidRPr="004B709C" w:rsidSect="001C1C47">
          <w:footerReference w:type="even" r:id="rId16"/>
          <w:footerReference w:type="default" r:id="rId17"/>
          <w:pgSz w:w="12240" w:h="15840"/>
          <w:pgMar w:top="1440" w:right="1253" w:bottom="1440" w:left="1325" w:header="720" w:footer="720" w:gutter="0"/>
          <w:cols w:space="720"/>
          <w:titlePg/>
          <w:docGrid w:linePitch="360"/>
        </w:sectPr>
      </w:pPr>
    </w:p>
    <w:p w14:paraId="118B7F29" w14:textId="77777777" w:rsidR="00CE5AF9" w:rsidRPr="004B709C" w:rsidRDefault="00CE5AF9" w:rsidP="008E1FDB">
      <w:pPr>
        <w:rPr>
          <w:color w:val="FFFF00"/>
          <w:sz w:val="2"/>
          <w:szCs w:val="2"/>
        </w:rPr>
      </w:pPr>
    </w:p>
    <w:tbl>
      <w:tblPr>
        <w:tblStyle w:val="TableGrid"/>
        <w:tblW w:w="954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540"/>
        <w:gridCol w:w="1563"/>
        <w:gridCol w:w="1800"/>
        <w:gridCol w:w="957"/>
        <w:gridCol w:w="123"/>
        <w:gridCol w:w="777"/>
        <w:gridCol w:w="990"/>
        <w:gridCol w:w="900"/>
        <w:gridCol w:w="990"/>
        <w:gridCol w:w="123"/>
        <w:gridCol w:w="777"/>
      </w:tblGrid>
      <w:tr w:rsidR="00CE5AF9" w:rsidRPr="0098463E" w14:paraId="42868F16" w14:textId="77777777" w:rsidTr="004863D2">
        <w:tc>
          <w:tcPr>
            <w:tcW w:w="9540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9A038A" w14:textId="077AD8CE" w:rsidR="00CE5AF9" w:rsidRPr="006A6866" w:rsidRDefault="00CE5AF9" w:rsidP="008E1FDB">
            <w:pPr>
              <w:jc w:val="center"/>
              <w:rPr>
                <w:b/>
              </w:rPr>
            </w:pPr>
            <w:r w:rsidRPr="006A6866">
              <w:rPr>
                <w:b/>
              </w:rPr>
              <w:t>Table</w:t>
            </w:r>
            <w:r w:rsidR="009A0847">
              <w:rPr>
                <w:b/>
              </w:rPr>
              <w:t xml:space="preserve"> </w:t>
            </w:r>
            <w:r w:rsidR="0017640D">
              <w:rPr>
                <w:b/>
              </w:rPr>
              <w:t>3</w:t>
            </w:r>
            <w:r>
              <w:rPr>
                <w:b/>
              </w:rPr>
              <w:t>:</w:t>
            </w:r>
            <w:r w:rsidR="009A0847">
              <w:rPr>
                <w:b/>
              </w:rPr>
              <w:t xml:space="preserve"> </w:t>
            </w:r>
            <w:r>
              <w:rPr>
                <w:b/>
              </w:rPr>
              <w:t>Panel</w:t>
            </w:r>
            <w:r w:rsidR="009A0847">
              <w:rPr>
                <w:b/>
              </w:rPr>
              <w:t xml:space="preserve"> </w:t>
            </w:r>
            <w:r w:rsidRPr="006A6866">
              <w:rPr>
                <w:b/>
              </w:rPr>
              <w:t>Seemingly</w:t>
            </w:r>
            <w:r w:rsidR="009A0847">
              <w:rPr>
                <w:b/>
              </w:rPr>
              <w:t xml:space="preserve"> </w:t>
            </w:r>
            <w:r w:rsidRPr="006A6866">
              <w:rPr>
                <w:b/>
              </w:rPr>
              <w:t>Unrel</w:t>
            </w:r>
            <w:r>
              <w:rPr>
                <w:b/>
              </w:rPr>
              <w:t>ated</w:t>
            </w:r>
            <w:r w:rsidR="009A0847">
              <w:rPr>
                <w:b/>
              </w:rPr>
              <w:t xml:space="preserve"> </w:t>
            </w:r>
            <w:r>
              <w:rPr>
                <w:b/>
              </w:rPr>
              <w:t>Bivariate</w:t>
            </w:r>
            <w:r w:rsidR="009A0847">
              <w:rPr>
                <w:b/>
              </w:rPr>
              <w:t xml:space="preserve"> </w:t>
            </w:r>
            <w:r>
              <w:rPr>
                <w:b/>
              </w:rPr>
              <w:t>Probit</w:t>
            </w:r>
            <w:r w:rsidR="009A0847">
              <w:rPr>
                <w:b/>
              </w:rPr>
              <w:t xml:space="preserve"> </w:t>
            </w:r>
            <w:r>
              <w:rPr>
                <w:b/>
              </w:rPr>
              <w:t>for</w:t>
            </w:r>
            <w:r w:rsidR="009A0847">
              <w:rPr>
                <w:b/>
              </w:rPr>
              <w:t xml:space="preserve"> </w:t>
            </w:r>
            <w:r>
              <w:rPr>
                <w:b/>
              </w:rPr>
              <w:t>Banks’</w:t>
            </w:r>
            <w:r w:rsidR="009A0847">
              <w:rPr>
                <w:b/>
              </w:rPr>
              <w:t xml:space="preserve"> </w:t>
            </w:r>
            <w:r>
              <w:rPr>
                <w:b/>
              </w:rPr>
              <w:t>DW</w:t>
            </w:r>
            <w:r w:rsidR="009A0847">
              <w:rPr>
                <w:b/>
              </w:rPr>
              <w:t xml:space="preserve"> </w:t>
            </w:r>
            <w:r w:rsidRPr="006A6866">
              <w:rPr>
                <w:b/>
              </w:rPr>
              <w:t>Decision</w:t>
            </w:r>
            <w:r>
              <w:rPr>
                <w:b/>
              </w:rPr>
              <w:t>s</w:t>
            </w:r>
            <w:r w:rsidR="009A0847">
              <w:t xml:space="preserve"> </w:t>
            </w:r>
          </w:p>
        </w:tc>
      </w:tr>
      <w:tr w:rsidR="00CE5AF9" w:rsidRPr="0098463E" w14:paraId="5B1324A9" w14:textId="77777777" w:rsidTr="004863D2">
        <w:trPr>
          <w:trHeight w:val="378"/>
        </w:trPr>
        <w:tc>
          <w:tcPr>
            <w:tcW w:w="3903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F2C238C" w14:textId="77777777" w:rsidR="00CE5AF9" w:rsidRPr="0017640D" w:rsidRDefault="00CE5AF9" w:rsidP="008E1FDB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857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B5C828F" w14:textId="2D22329A" w:rsidR="00CE5AF9" w:rsidRPr="0017640D" w:rsidRDefault="00CE5AF9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17640D">
              <w:rPr>
                <w:color w:val="000000" w:themeColor="text1"/>
                <w:sz w:val="19"/>
                <w:szCs w:val="19"/>
              </w:rPr>
              <w:t>Specification</w:t>
            </w:r>
            <w:r w:rsidR="009A0847">
              <w:rPr>
                <w:color w:val="000000" w:themeColor="text1"/>
                <w:sz w:val="19"/>
                <w:szCs w:val="19"/>
              </w:rPr>
              <w:t xml:space="preserve"> </w:t>
            </w:r>
            <w:r w:rsidRPr="0017640D">
              <w:rPr>
                <w:color w:val="000000" w:themeColor="text1"/>
                <w:sz w:val="19"/>
                <w:szCs w:val="19"/>
              </w:rPr>
              <w:t>1</w:t>
            </w:r>
          </w:p>
          <w:p w14:paraId="4709737A" w14:textId="02BAA5DC" w:rsidR="00CE5AF9" w:rsidRPr="0017640D" w:rsidRDefault="008C120C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17640D">
              <w:rPr>
                <w:color w:val="000000" w:themeColor="text1"/>
                <w:sz w:val="19"/>
                <w:szCs w:val="19"/>
              </w:rPr>
              <w:t>The</w:t>
            </w:r>
            <w:r w:rsidR="009A0847">
              <w:rPr>
                <w:color w:val="000000" w:themeColor="text1"/>
                <w:sz w:val="19"/>
                <w:szCs w:val="19"/>
              </w:rPr>
              <w:t xml:space="preserve"> </w:t>
            </w:r>
            <w:r w:rsidRPr="0017640D">
              <w:rPr>
                <w:color w:val="000000" w:themeColor="text1"/>
                <w:sz w:val="19"/>
                <w:szCs w:val="19"/>
              </w:rPr>
              <w:t>Bank</w:t>
            </w:r>
            <w:r w:rsidR="009A0847">
              <w:rPr>
                <w:color w:val="000000" w:themeColor="text1"/>
                <w:sz w:val="19"/>
                <w:szCs w:val="19"/>
              </w:rPr>
              <w:t xml:space="preserve"> </w:t>
            </w:r>
            <w:r w:rsidRPr="0017640D">
              <w:rPr>
                <w:color w:val="000000" w:themeColor="text1"/>
                <w:sz w:val="19"/>
                <w:szCs w:val="19"/>
              </w:rPr>
              <w:t>Borrows</w:t>
            </w:r>
            <w:r w:rsidR="009A0847">
              <w:rPr>
                <w:color w:val="000000" w:themeColor="text1"/>
                <w:sz w:val="19"/>
                <w:szCs w:val="19"/>
              </w:rPr>
              <w:t xml:space="preserve"> </w:t>
            </w:r>
            <w:r w:rsidRPr="0017640D">
              <w:rPr>
                <w:color w:val="000000" w:themeColor="text1"/>
                <w:sz w:val="19"/>
                <w:szCs w:val="19"/>
              </w:rPr>
              <w:t>at</w:t>
            </w:r>
            <w:r w:rsidR="009A0847">
              <w:rPr>
                <w:color w:val="000000" w:themeColor="text1"/>
                <w:sz w:val="19"/>
                <w:szCs w:val="19"/>
              </w:rPr>
              <w:t xml:space="preserve"> </w:t>
            </w:r>
            <w:r w:rsidR="00CE5AF9" w:rsidRPr="0017640D">
              <w:rPr>
                <w:color w:val="000000" w:themeColor="text1"/>
                <w:sz w:val="19"/>
                <w:szCs w:val="19"/>
              </w:rPr>
              <w:t>DW</w:t>
            </w:r>
            <w:r w:rsidR="009A0847">
              <w:rPr>
                <w:color w:val="000000" w:themeColor="text1"/>
                <w:sz w:val="19"/>
                <w:szCs w:val="19"/>
              </w:rPr>
              <w:t xml:space="preserve"> </w:t>
            </w:r>
            <w:r w:rsidR="00CE5AF9" w:rsidRPr="0017640D">
              <w:rPr>
                <w:color w:val="000000" w:themeColor="text1"/>
                <w:sz w:val="19"/>
                <w:szCs w:val="19"/>
              </w:rPr>
              <w:t>in</w:t>
            </w:r>
            <w:r w:rsidR="009A0847">
              <w:rPr>
                <w:color w:val="000000" w:themeColor="text1"/>
                <w:sz w:val="19"/>
                <w:szCs w:val="19"/>
              </w:rPr>
              <w:t xml:space="preserve"> </w:t>
            </w:r>
            <w:r w:rsidR="00CE5AF9" w:rsidRPr="0017640D">
              <w:rPr>
                <w:i/>
                <w:color w:val="000000" w:themeColor="text1"/>
                <w:sz w:val="19"/>
                <w:szCs w:val="19"/>
              </w:rPr>
              <w:t>t</w:t>
            </w:r>
            <w:r w:rsidR="009A0847">
              <w:rPr>
                <w:color w:val="000000" w:themeColor="text1"/>
                <w:sz w:val="19"/>
                <w:szCs w:val="19"/>
              </w:rPr>
              <w:t xml:space="preserve"> </w:t>
            </w:r>
            <w:r w:rsidR="00CE5AF9" w:rsidRPr="0017640D">
              <w:rPr>
                <w:color w:val="000000" w:themeColor="text1"/>
                <w:sz w:val="19"/>
                <w:szCs w:val="19"/>
              </w:rPr>
              <w:t>if</w:t>
            </w:r>
            <w:r w:rsidR="009A0847">
              <w:rPr>
                <w:color w:val="000000" w:themeColor="text1"/>
                <w:sz w:val="19"/>
                <w:szCs w:val="19"/>
              </w:rPr>
              <w:t xml:space="preserve"> </w:t>
            </w:r>
            <w:r w:rsidRPr="0017640D">
              <w:rPr>
                <w:color w:val="000000" w:themeColor="text1"/>
                <w:sz w:val="19"/>
                <w:szCs w:val="19"/>
              </w:rPr>
              <w:t>illiquid</w:t>
            </w:r>
            <w:r w:rsidR="00313676" w:rsidRPr="0017640D">
              <w:rPr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89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09FECC1" w14:textId="4D12EAFF" w:rsidR="00CE5AF9" w:rsidRPr="0017640D" w:rsidRDefault="00CE5AF9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17640D">
              <w:rPr>
                <w:color w:val="000000" w:themeColor="text1"/>
                <w:sz w:val="19"/>
                <w:szCs w:val="19"/>
              </w:rPr>
              <w:t>Specification</w:t>
            </w:r>
            <w:r w:rsidR="009A0847">
              <w:rPr>
                <w:color w:val="000000" w:themeColor="text1"/>
                <w:sz w:val="19"/>
                <w:szCs w:val="19"/>
              </w:rPr>
              <w:t xml:space="preserve"> </w:t>
            </w:r>
            <w:r w:rsidRPr="0017640D">
              <w:rPr>
                <w:color w:val="000000" w:themeColor="text1"/>
                <w:sz w:val="19"/>
                <w:szCs w:val="19"/>
              </w:rPr>
              <w:t>2</w:t>
            </w:r>
          </w:p>
          <w:p w14:paraId="2250BDD2" w14:textId="44775C9C" w:rsidR="00CE5AF9" w:rsidRPr="0017640D" w:rsidRDefault="008C120C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17640D">
              <w:rPr>
                <w:color w:val="000000" w:themeColor="text1"/>
                <w:sz w:val="19"/>
                <w:szCs w:val="19"/>
              </w:rPr>
              <w:t>The</w:t>
            </w:r>
            <w:r w:rsidR="009A0847">
              <w:rPr>
                <w:color w:val="000000" w:themeColor="text1"/>
                <w:sz w:val="19"/>
                <w:szCs w:val="19"/>
              </w:rPr>
              <w:t xml:space="preserve"> </w:t>
            </w:r>
            <w:r w:rsidRPr="0017640D">
              <w:rPr>
                <w:color w:val="000000" w:themeColor="text1"/>
                <w:sz w:val="19"/>
                <w:szCs w:val="19"/>
              </w:rPr>
              <w:t>Bank</w:t>
            </w:r>
            <w:r w:rsidR="009A0847">
              <w:rPr>
                <w:color w:val="000000" w:themeColor="text1"/>
                <w:sz w:val="19"/>
                <w:szCs w:val="19"/>
              </w:rPr>
              <w:t xml:space="preserve"> </w:t>
            </w:r>
            <w:r w:rsidRPr="0017640D">
              <w:rPr>
                <w:color w:val="000000" w:themeColor="text1"/>
                <w:sz w:val="19"/>
                <w:szCs w:val="19"/>
              </w:rPr>
              <w:t>Borrows</w:t>
            </w:r>
            <w:r w:rsidR="009A0847">
              <w:rPr>
                <w:color w:val="000000" w:themeColor="text1"/>
                <w:sz w:val="19"/>
                <w:szCs w:val="19"/>
              </w:rPr>
              <w:t xml:space="preserve"> </w:t>
            </w:r>
            <w:r w:rsidRPr="0017640D">
              <w:rPr>
                <w:color w:val="000000" w:themeColor="text1"/>
                <w:sz w:val="19"/>
                <w:szCs w:val="19"/>
              </w:rPr>
              <w:t>at</w:t>
            </w:r>
            <w:r w:rsidR="009A0847">
              <w:rPr>
                <w:color w:val="000000" w:themeColor="text1"/>
                <w:sz w:val="19"/>
                <w:szCs w:val="19"/>
              </w:rPr>
              <w:t xml:space="preserve"> </w:t>
            </w:r>
            <w:r w:rsidRPr="0017640D">
              <w:rPr>
                <w:color w:val="000000" w:themeColor="text1"/>
                <w:sz w:val="19"/>
                <w:szCs w:val="19"/>
              </w:rPr>
              <w:t>DW</w:t>
            </w:r>
            <w:r w:rsidR="009A0847">
              <w:rPr>
                <w:color w:val="000000" w:themeColor="text1"/>
                <w:sz w:val="19"/>
                <w:szCs w:val="19"/>
              </w:rPr>
              <w:t xml:space="preserve"> </w:t>
            </w:r>
            <w:r w:rsidRPr="0017640D">
              <w:rPr>
                <w:color w:val="000000" w:themeColor="text1"/>
                <w:sz w:val="19"/>
                <w:szCs w:val="19"/>
              </w:rPr>
              <w:t>in</w:t>
            </w:r>
            <w:r w:rsidR="009A0847">
              <w:rPr>
                <w:color w:val="000000" w:themeColor="text1"/>
                <w:sz w:val="19"/>
                <w:szCs w:val="19"/>
              </w:rPr>
              <w:t xml:space="preserve"> </w:t>
            </w:r>
            <w:r w:rsidRPr="0017640D">
              <w:rPr>
                <w:i/>
                <w:color w:val="000000" w:themeColor="text1"/>
                <w:sz w:val="19"/>
                <w:szCs w:val="19"/>
              </w:rPr>
              <w:t>t</w:t>
            </w:r>
            <w:r w:rsidR="009A0847">
              <w:rPr>
                <w:color w:val="000000" w:themeColor="text1"/>
                <w:sz w:val="19"/>
                <w:szCs w:val="19"/>
              </w:rPr>
              <w:t xml:space="preserve"> </w:t>
            </w:r>
            <w:r w:rsidRPr="0017640D">
              <w:rPr>
                <w:color w:val="000000" w:themeColor="text1"/>
                <w:sz w:val="19"/>
                <w:szCs w:val="19"/>
              </w:rPr>
              <w:t>if</w:t>
            </w:r>
            <w:r w:rsidR="009A0847">
              <w:rPr>
                <w:color w:val="000000" w:themeColor="text1"/>
                <w:sz w:val="19"/>
                <w:szCs w:val="19"/>
              </w:rPr>
              <w:t xml:space="preserve"> </w:t>
            </w:r>
            <w:r w:rsidRPr="0017640D">
              <w:rPr>
                <w:color w:val="000000" w:themeColor="text1"/>
                <w:sz w:val="19"/>
                <w:szCs w:val="19"/>
              </w:rPr>
              <w:t>illiquid</w:t>
            </w:r>
            <w:r w:rsidR="00313676" w:rsidRPr="0017640D">
              <w:rPr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89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E8EDB23" w14:textId="59A042C1" w:rsidR="00CE5AF9" w:rsidRPr="0017640D" w:rsidRDefault="00CE5AF9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17640D">
              <w:rPr>
                <w:color w:val="000000" w:themeColor="text1"/>
                <w:sz w:val="19"/>
                <w:szCs w:val="19"/>
              </w:rPr>
              <w:t>Specification</w:t>
            </w:r>
            <w:r w:rsidR="009A0847">
              <w:rPr>
                <w:color w:val="000000" w:themeColor="text1"/>
                <w:sz w:val="19"/>
                <w:szCs w:val="19"/>
              </w:rPr>
              <w:t xml:space="preserve"> </w:t>
            </w:r>
            <w:r w:rsidRPr="0017640D">
              <w:rPr>
                <w:color w:val="000000" w:themeColor="text1"/>
                <w:sz w:val="19"/>
                <w:szCs w:val="19"/>
              </w:rPr>
              <w:t>3</w:t>
            </w:r>
          </w:p>
          <w:p w14:paraId="66AB7778" w14:textId="732FF48E" w:rsidR="00CE5AF9" w:rsidRPr="0017640D" w:rsidRDefault="008C120C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17640D">
              <w:rPr>
                <w:color w:val="000000" w:themeColor="text1"/>
                <w:sz w:val="19"/>
                <w:szCs w:val="19"/>
              </w:rPr>
              <w:t>The</w:t>
            </w:r>
            <w:r w:rsidR="009A0847">
              <w:rPr>
                <w:color w:val="000000" w:themeColor="text1"/>
                <w:sz w:val="19"/>
                <w:szCs w:val="19"/>
              </w:rPr>
              <w:t xml:space="preserve"> </w:t>
            </w:r>
            <w:r w:rsidRPr="0017640D">
              <w:rPr>
                <w:color w:val="000000" w:themeColor="text1"/>
                <w:sz w:val="19"/>
                <w:szCs w:val="19"/>
              </w:rPr>
              <w:t>Bank</w:t>
            </w:r>
            <w:r w:rsidR="009A0847">
              <w:rPr>
                <w:color w:val="000000" w:themeColor="text1"/>
                <w:sz w:val="19"/>
                <w:szCs w:val="19"/>
              </w:rPr>
              <w:t xml:space="preserve"> </w:t>
            </w:r>
            <w:r w:rsidRPr="0017640D">
              <w:rPr>
                <w:color w:val="000000" w:themeColor="text1"/>
                <w:sz w:val="19"/>
                <w:szCs w:val="19"/>
              </w:rPr>
              <w:t>Borrows</w:t>
            </w:r>
            <w:r w:rsidR="009A0847">
              <w:rPr>
                <w:color w:val="000000" w:themeColor="text1"/>
                <w:sz w:val="19"/>
                <w:szCs w:val="19"/>
              </w:rPr>
              <w:t xml:space="preserve"> </w:t>
            </w:r>
            <w:r w:rsidRPr="0017640D">
              <w:rPr>
                <w:color w:val="000000" w:themeColor="text1"/>
                <w:sz w:val="19"/>
                <w:szCs w:val="19"/>
              </w:rPr>
              <w:t>at</w:t>
            </w:r>
            <w:r w:rsidR="009A0847">
              <w:rPr>
                <w:color w:val="000000" w:themeColor="text1"/>
                <w:sz w:val="19"/>
                <w:szCs w:val="19"/>
              </w:rPr>
              <w:t xml:space="preserve"> </w:t>
            </w:r>
            <w:r w:rsidRPr="0017640D">
              <w:rPr>
                <w:color w:val="000000" w:themeColor="text1"/>
                <w:sz w:val="19"/>
                <w:szCs w:val="19"/>
              </w:rPr>
              <w:t>DW</w:t>
            </w:r>
            <w:r w:rsidR="009A0847">
              <w:rPr>
                <w:color w:val="000000" w:themeColor="text1"/>
                <w:sz w:val="19"/>
                <w:szCs w:val="19"/>
              </w:rPr>
              <w:t xml:space="preserve"> </w:t>
            </w:r>
            <w:r w:rsidRPr="0017640D">
              <w:rPr>
                <w:color w:val="000000" w:themeColor="text1"/>
                <w:sz w:val="19"/>
                <w:szCs w:val="19"/>
              </w:rPr>
              <w:t>in</w:t>
            </w:r>
            <w:r w:rsidR="009A0847">
              <w:rPr>
                <w:color w:val="000000" w:themeColor="text1"/>
                <w:sz w:val="19"/>
                <w:szCs w:val="19"/>
              </w:rPr>
              <w:t xml:space="preserve"> </w:t>
            </w:r>
            <w:r w:rsidRPr="0017640D">
              <w:rPr>
                <w:i/>
                <w:color w:val="000000" w:themeColor="text1"/>
                <w:sz w:val="19"/>
                <w:szCs w:val="19"/>
              </w:rPr>
              <w:t>t</w:t>
            </w:r>
            <w:r w:rsidR="009A0847">
              <w:rPr>
                <w:color w:val="000000" w:themeColor="text1"/>
                <w:sz w:val="19"/>
                <w:szCs w:val="19"/>
              </w:rPr>
              <w:t xml:space="preserve"> </w:t>
            </w:r>
            <w:r w:rsidRPr="0017640D">
              <w:rPr>
                <w:color w:val="000000" w:themeColor="text1"/>
                <w:sz w:val="19"/>
                <w:szCs w:val="19"/>
              </w:rPr>
              <w:t>if</w:t>
            </w:r>
            <w:r w:rsidR="009A0847">
              <w:rPr>
                <w:color w:val="000000" w:themeColor="text1"/>
                <w:sz w:val="19"/>
                <w:szCs w:val="19"/>
              </w:rPr>
              <w:t xml:space="preserve"> </w:t>
            </w:r>
            <w:r w:rsidRPr="0017640D">
              <w:rPr>
                <w:color w:val="000000" w:themeColor="text1"/>
                <w:sz w:val="19"/>
                <w:szCs w:val="19"/>
              </w:rPr>
              <w:t>illiquid</w:t>
            </w:r>
            <w:r w:rsidR="00313676" w:rsidRPr="0017640D">
              <w:rPr>
                <w:color w:val="000000" w:themeColor="text1"/>
                <w:sz w:val="19"/>
                <w:szCs w:val="19"/>
              </w:rPr>
              <w:t>-</w:t>
            </w:r>
          </w:p>
        </w:tc>
      </w:tr>
      <w:tr w:rsidR="00CE5AF9" w:rsidRPr="0098463E" w14:paraId="24771FA6" w14:textId="77777777" w:rsidTr="004863D2">
        <w:tc>
          <w:tcPr>
            <w:tcW w:w="3903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726115" w14:textId="77777777" w:rsidR="00CE5AF9" w:rsidRPr="0017640D" w:rsidRDefault="00CE5AF9" w:rsidP="008E1FDB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957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27031582" w14:textId="77777777" w:rsidR="00CE5AF9" w:rsidRPr="0017640D" w:rsidRDefault="00CE5AF9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17640D">
              <w:rPr>
                <w:color w:val="000000" w:themeColor="text1"/>
                <w:sz w:val="19"/>
                <w:szCs w:val="19"/>
              </w:rPr>
              <w:t>Insolvent</w:t>
            </w:r>
          </w:p>
        </w:tc>
        <w:tc>
          <w:tcPr>
            <w:tcW w:w="900" w:type="dxa"/>
            <w:gridSpan w:val="2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C5CDC84" w14:textId="77777777" w:rsidR="00CE5AF9" w:rsidRPr="0017640D" w:rsidRDefault="00CE5AF9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17640D">
              <w:rPr>
                <w:color w:val="000000" w:themeColor="text1"/>
                <w:sz w:val="19"/>
                <w:szCs w:val="19"/>
              </w:rPr>
              <w:t>Solvent</w:t>
            </w:r>
          </w:p>
        </w:tc>
        <w:tc>
          <w:tcPr>
            <w:tcW w:w="990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518487F2" w14:textId="77777777" w:rsidR="00CE5AF9" w:rsidRPr="0017640D" w:rsidRDefault="00CE5AF9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17640D">
              <w:rPr>
                <w:color w:val="000000" w:themeColor="text1"/>
                <w:sz w:val="19"/>
                <w:szCs w:val="19"/>
              </w:rPr>
              <w:t>Insolvent</w:t>
            </w:r>
          </w:p>
        </w:tc>
        <w:tc>
          <w:tcPr>
            <w:tcW w:w="900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4604081" w14:textId="77777777" w:rsidR="00CE5AF9" w:rsidRPr="0017640D" w:rsidRDefault="00CE5AF9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17640D">
              <w:rPr>
                <w:color w:val="000000" w:themeColor="text1"/>
                <w:sz w:val="19"/>
                <w:szCs w:val="19"/>
              </w:rPr>
              <w:t>Solvent</w:t>
            </w:r>
          </w:p>
        </w:tc>
        <w:tc>
          <w:tcPr>
            <w:tcW w:w="990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5B977CCA" w14:textId="77777777" w:rsidR="00CE5AF9" w:rsidRPr="0017640D" w:rsidRDefault="00CE5AF9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17640D">
              <w:rPr>
                <w:color w:val="000000" w:themeColor="text1"/>
                <w:sz w:val="19"/>
                <w:szCs w:val="19"/>
              </w:rPr>
              <w:t>Insolvent</w:t>
            </w:r>
          </w:p>
        </w:tc>
        <w:tc>
          <w:tcPr>
            <w:tcW w:w="900" w:type="dxa"/>
            <w:gridSpan w:val="2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D9B28BF" w14:textId="77777777" w:rsidR="00CE5AF9" w:rsidRPr="0017640D" w:rsidRDefault="00CE5AF9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17640D">
              <w:rPr>
                <w:color w:val="000000" w:themeColor="text1"/>
                <w:sz w:val="19"/>
                <w:szCs w:val="19"/>
              </w:rPr>
              <w:t>Solvent</w:t>
            </w:r>
          </w:p>
        </w:tc>
      </w:tr>
      <w:tr w:rsidR="00A86ADD" w:rsidRPr="00DB1E85" w14:paraId="7FFCB431" w14:textId="77777777" w:rsidTr="004863D2"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05EB3D" w14:textId="77777777" w:rsidR="00A86ADD" w:rsidRPr="0017640D" w:rsidRDefault="00A86ADD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17640D">
              <w:rPr>
                <w:color w:val="000000" w:themeColor="text1"/>
                <w:sz w:val="19"/>
                <w:szCs w:val="19"/>
              </w:rPr>
              <w:t>1</w:t>
            </w:r>
          </w:p>
        </w:tc>
        <w:tc>
          <w:tcPr>
            <w:tcW w:w="336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1E4506" w14:textId="1854D148" w:rsidR="00A86ADD" w:rsidRPr="0017640D" w:rsidRDefault="00A86ADD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17640D">
              <w:rPr>
                <w:color w:val="000000" w:themeColor="text1"/>
                <w:sz w:val="19"/>
                <w:szCs w:val="19"/>
              </w:rPr>
              <w:t>Low</w:t>
            </w:r>
            <w:r w:rsidR="009A0847">
              <w:rPr>
                <w:color w:val="000000" w:themeColor="text1"/>
                <w:sz w:val="19"/>
                <w:szCs w:val="19"/>
              </w:rPr>
              <w:t xml:space="preserve"> </w:t>
            </w:r>
            <w:r w:rsidRPr="0017640D">
              <w:rPr>
                <w:color w:val="000000" w:themeColor="text1"/>
                <w:sz w:val="19"/>
                <w:szCs w:val="19"/>
              </w:rPr>
              <w:t>DW</w:t>
            </w:r>
            <w:r w:rsidR="009A0847">
              <w:rPr>
                <w:color w:val="000000" w:themeColor="text1"/>
                <w:sz w:val="19"/>
                <w:szCs w:val="19"/>
              </w:rPr>
              <w:t xml:space="preserve"> </w:t>
            </w:r>
            <w:r w:rsidRPr="0017640D">
              <w:rPr>
                <w:color w:val="000000" w:themeColor="text1"/>
                <w:sz w:val="19"/>
                <w:szCs w:val="19"/>
              </w:rPr>
              <w:t>Cost</w:t>
            </w:r>
            <w:r w:rsidR="009A0847">
              <w:rPr>
                <w:color w:val="000000" w:themeColor="text1"/>
                <w:sz w:val="19"/>
                <w:szCs w:val="19"/>
              </w:rPr>
              <w:t xml:space="preserve"> </w:t>
            </w:r>
            <w:r w:rsidRPr="0017640D">
              <w:rPr>
                <w:color w:val="000000" w:themeColor="text1"/>
                <w:sz w:val="19"/>
                <w:szCs w:val="19"/>
              </w:rPr>
              <w:t>Treatment</w:t>
            </w:r>
          </w:p>
        </w:tc>
        <w:tc>
          <w:tcPr>
            <w:tcW w:w="9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B4AC40E" w14:textId="0BC5D834" w:rsidR="00A86ADD" w:rsidRPr="0017640D" w:rsidRDefault="00A86ADD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17640D">
              <w:rPr>
                <w:color w:val="000000" w:themeColor="text1"/>
                <w:sz w:val="19"/>
                <w:szCs w:val="19"/>
              </w:rPr>
              <w:t>0.1</w:t>
            </w:r>
            <w:r w:rsidR="00AF520A">
              <w:rPr>
                <w:color w:val="000000" w:themeColor="text1"/>
                <w:sz w:val="19"/>
                <w:szCs w:val="19"/>
              </w:rPr>
              <w:t>08</w:t>
            </w:r>
          </w:p>
          <w:p w14:paraId="7E5034DC" w14:textId="21D85CD4" w:rsidR="00A86ADD" w:rsidRPr="0017640D" w:rsidRDefault="00AF520A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(0.065</w:t>
            </w:r>
            <w:r w:rsidR="00A86ADD" w:rsidRPr="0017640D">
              <w:rPr>
                <w:color w:val="000000" w:themeColor="text1"/>
                <w:sz w:val="19"/>
                <w:szCs w:val="19"/>
              </w:rPr>
              <w:t>)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08CBCA" w14:textId="50B45104" w:rsidR="00A86ADD" w:rsidRPr="0017640D" w:rsidRDefault="00AF520A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0.010</w:t>
            </w:r>
          </w:p>
          <w:p w14:paraId="7A7EE590" w14:textId="5FEF1002" w:rsidR="00A86ADD" w:rsidRPr="0017640D" w:rsidRDefault="00A86ADD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17640D">
              <w:rPr>
                <w:color w:val="000000" w:themeColor="text1"/>
                <w:sz w:val="19"/>
                <w:szCs w:val="19"/>
              </w:rPr>
              <w:t>(0.06</w:t>
            </w:r>
            <w:r w:rsidR="0086165A" w:rsidRPr="0017640D">
              <w:rPr>
                <w:color w:val="000000" w:themeColor="text1"/>
                <w:sz w:val="19"/>
                <w:szCs w:val="19"/>
              </w:rPr>
              <w:t>7</w:t>
            </w:r>
            <w:r w:rsidRPr="0017640D">
              <w:rPr>
                <w:color w:val="000000" w:themeColor="text1"/>
                <w:sz w:val="19"/>
                <w:szCs w:val="19"/>
              </w:rPr>
              <w:t>)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139B5B4" w14:textId="21886273" w:rsidR="00A86ADD" w:rsidRPr="0017640D" w:rsidRDefault="00D44FB6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17640D">
              <w:rPr>
                <w:color w:val="000000" w:themeColor="text1"/>
                <w:sz w:val="19"/>
                <w:szCs w:val="19"/>
              </w:rPr>
              <w:t>0.07</w:t>
            </w:r>
            <w:r w:rsidR="002F49AF">
              <w:rPr>
                <w:color w:val="000000" w:themeColor="text1"/>
                <w:sz w:val="19"/>
                <w:szCs w:val="19"/>
              </w:rPr>
              <w:t>1</w:t>
            </w:r>
          </w:p>
          <w:p w14:paraId="4DFCA5EA" w14:textId="006C18CF" w:rsidR="00A86ADD" w:rsidRPr="0017640D" w:rsidRDefault="00A86ADD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17640D">
              <w:rPr>
                <w:color w:val="000000" w:themeColor="text1"/>
                <w:sz w:val="19"/>
                <w:szCs w:val="19"/>
              </w:rPr>
              <w:t>(0.0</w:t>
            </w:r>
            <w:r w:rsidR="00D44FB6" w:rsidRPr="0017640D">
              <w:rPr>
                <w:color w:val="000000" w:themeColor="text1"/>
                <w:sz w:val="19"/>
                <w:szCs w:val="19"/>
              </w:rPr>
              <w:t>49</w:t>
            </w:r>
            <w:r w:rsidRPr="0017640D">
              <w:rPr>
                <w:color w:val="000000" w:themeColor="text1"/>
                <w:sz w:val="19"/>
                <w:szCs w:val="19"/>
              </w:rPr>
              <w:t>)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75CEA8" w14:textId="0244C896" w:rsidR="00A86ADD" w:rsidRPr="0017640D" w:rsidRDefault="00A86ADD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17640D">
              <w:rPr>
                <w:color w:val="000000" w:themeColor="text1"/>
                <w:sz w:val="19"/>
                <w:szCs w:val="19"/>
              </w:rPr>
              <w:t>-0.01</w:t>
            </w:r>
            <w:r w:rsidR="00AF520A">
              <w:rPr>
                <w:color w:val="000000" w:themeColor="text1"/>
                <w:sz w:val="19"/>
                <w:szCs w:val="19"/>
              </w:rPr>
              <w:t>4</w:t>
            </w:r>
          </w:p>
          <w:p w14:paraId="7285FC43" w14:textId="032B4F03" w:rsidR="00A86ADD" w:rsidRPr="0017640D" w:rsidRDefault="00A86ADD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17640D">
              <w:rPr>
                <w:color w:val="000000" w:themeColor="text1"/>
                <w:sz w:val="19"/>
                <w:szCs w:val="19"/>
              </w:rPr>
              <w:t>(0.04</w:t>
            </w:r>
            <w:r w:rsidR="007B4033" w:rsidRPr="0017640D">
              <w:rPr>
                <w:color w:val="000000" w:themeColor="text1"/>
                <w:sz w:val="19"/>
                <w:szCs w:val="19"/>
              </w:rPr>
              <w:t>8</w:t>
            </w:r>
            <w:r w:rsidRPr="0017640D">
              <w:rPr>
                <w:color w:val="000000" w:themeColor="text1"/>
                <w:sz w:val="19"/>
                <w:szCs w:val="19"/>
              </w:rPr>
              <w:t>)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92B92A6" w14:textId="2DB8E142" w:rsidR="00A86ADD" w:rsidRPr="0017640D" w:rsidRDefault="00A86ADD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17640D">
              <w:rPr>
                <w:color w:val="000000" w:themeColor="text1"/>
                <w:sz w:val="19"/>
                <w:szCs w:val="19"/>
              </w:rPr>
              <w:t>0.0</w:t>
            </w:r>
            <w:r w:rsidR="004A5076">
              <w:rPr>
                <w:color w:val="000000" w:themeColor="text1"/>
                <w:sz w:val="19"/>
                <w:szCs w:val="19"/>
              </w:rPr>
              <w:t>67</w:t>
            </w:r>
          </w:p>
          <w:p w14:paraId="37A5AAF8" w14:textId="1283BAFA" w:rsidR="00A86ADD" w:rsidRPr="0017640D" w:rsidRDefault="00A86ADD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17640D">
              <w:rPr>
                <w:color w:val="000000" w:themeColor="text1"/>
                <w:sz w:val="19"/>
                <w:szCs w:val="19"/>
              </w:rPr>
              <w:t>(0.05</w:t>
            </w:r>
            <w:r w:rsidR="004A5076">
              <w:rPr>
                <w:color w:val="000000" w:themeColor="text1"/>
                <w:sz w:val="19"/>
                <w:szCs w:val="19"/>
              </w:rPr>
              <w:t>1</w:t>
            </w:r>
            <w:r w:rsidRPr="0017640D">
              <w:rPr>
                <w:color w:val="000000" w:themeColor="text1"/>
                <w:sz w:val="19"/>
                <w:szCs w:val="19"/>
              </w:rPr>
              <w:t>)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99CBC91" w14:textId="4CD28683" w:rsidR="00A86ADD" w:rsidRPr="0017640D" w:rsidRDefault="004A5076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-0.014</w:t>
            </w:r>
          </w:p>
          <w:p w14:paraId="3CFAE3AA" w14:textId="02425D2B" w:rsidR="00A86ADD" w:rsidRPr="0017640D" w:rsidRDefault="00A86ADD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17640D">
              <w:rPr>
                <w:color w:val="000000" w:themeColor="text1"/>
                <w:sz w:val="19"/>
                <w:szCs w:val="19"/>
              </w:rPr>
              <w:t>(0.05</w:t>
            </w:r>
            <w:r w:rsidR="004A5076">
              <w:rPr>
                <w:color w:val="000000" w:themeColor="text1"/>
                <w:sz w:val="19"/>
                <w:szCs w:val="19"/>
              </w:rPr>
              <w:t>0</w:t>
            </w:r>
            <w:r w:rsidRPr="0017640D">
              <w:rPr>
                <w:color w:val="000000" w:themeColor="text1"/>
                <w:sz w:val="19"/>
                <w:szCs w:val="19"/>
              </w:rPr>
              <w:t>)</w:t>
            </w:r>
          </w:p>
        </w:tc>
      </w:tr>
      <w:tr w:rsidR="00A86ADD" w:rsidRPr="00DB1E85" w14:paraId="38B67033" w14:textId="77777777" w:rsidTr="004863D2">
        <w:tc>
          <w:tcPr>
            <w:tcW w:w="540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C99A7ED" w14:textId="77777777" w:rsidR="00A86ADD" w:rsidRPr="0017640D" w:rsidRDefault="00A86ADD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17640D">
              <w:rPr>
                <w:color w:val="000000" w:themeColor="text1"/>
                <w:sz w:val="19"/>
                <w:szCs w:val="19"/>
              </w:rPr>
              <w:t>2</w:t>
            </w:r>
          </w:p>
        </w:tc>
        <w:tc>
          <w:tcPr>
            <w:tcW w:w="3363" w:type="dxa"/>
            <w:gridSpan w:val="2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DCBE6C5" w14:textId="20986B4B" w:rsidR="00A86ADD" w:rsidRPr="0017640D" w:rsidRDefault="00C345EE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17640D">
              <w:rPr>
                <w:color w:val="000000" w:themeColor="text1"/>
                <w:sz w:val="19"/>
                <w:szCs w:val="19"/>
              </w:rPr>
              <w:t>Random</w:t>
            </w:r>
            <w:r w:rsidR="009A0847">
              <w:rPr>
                <w:color w:val="000000" w:themeColor="text1"/>
                <w:sz w:val="19"/>
                <w:szCs w:val="19"/>
              </w:rPr>
              <w:t xml:space="preserve"> </w:t>
            </w:r>
            <w:r w:rsidR="00A86ADD" w:rsidRPr="0017640D">
              <w:rPr>
                <w:color w:val="000000" w:themeColor="text1"/>
                <w:sz w:val="19"/>
                <w:szCs w:val="19"/>
              </w:rPr>
              <w:t>Borrowing</w:t>
            </w:r>
            <w:r w:rsidR="009A0847">
              <w:rPr>
                <w:color w:val="000000" w:themeColor="text1"/>
                <w:sz w:val="19"/>
                <w:szCs w:val="19"/>
              </w:rPr>
              <w:t xml:space="preserve"> </w:t>
            </w:r>
            <w:r w:rsidR="00A86ADD" w:rsidRPr="0017640D">
              <w:rPr>
                <w:color w:val="000000" w:themeColor="text1"/>
                <w:sz w:val="19"/>
                <w:szCs w:val="19"/>
              </w:rPr>
              <w:t>Treatment</w:t>
            </w:r>
          </w:p>
        </w:tc>
        <w:tc>
          <w:tcPr>
            <w:tcW w:w="957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2260EBD6" w14:textId="728159DC" w:rsidR="00A86ADD" w:rsidRPr="0017640D" w:rsidRDefault="00A86ADD" w:rsidP="008E1FDB">
            <w:pPr>
              <w:jc w:val="center"/>
              <w:rPr>
                <w:color w:val="000000" w:themeColor="text1"/>
                <w:sz w:val="19"/>
                <w:szCs w:val="19"/>
                <w:vertAlign w:val="superscript"/>
              </w:rPr>
            </w:pPr>
            <w:r w:rsidRPr="0017640D">
              <w:rPr>
                <w:color w:val="000000" w:themeColor="text1"/>
                <w:sz w:val="19"/>
                <w:szCs w:val="19"/>
              </w:rPr>
              <w:t>0.3</w:t>
            </w:r>
            <w:r w:rsidR="0086165A" w:rsidRPr="0017640D">
              <w:rPr>
                <w:color w:val="000000" w:themeColor="text1"/>
                <w:sz w:val="19"/>
                <w:szCs w:val="19"/>
              </w:rPr>
              <w:t>50</w:t>
            </w:r>
            <w:r w:rsidRPr="0017640D">
              <w:rPr>
                <w:color w:val="000000" w:themeColor="text1"/>
                <w:sz w:val="19"/>
                <w:szCs w:val="19"/>
                <w:vertAlign w:val="superscript"/>
              </w:rPr>
              <w:t>***</w:t>
            </w:r>
          </w:p>
          <w:p w14:paraId="7B44232A" w14:textId="77777777" w:rsidR="00A86ADD" w:rsidRPr="0017640D" w:rsidRDefault="00A86ADD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17640D">
              <w:rPr>
                <w:color w:val="000000" w:themeColor="text1"/>
                <w:sz w:val="19"/>
                <w:szCs w:val="19"/>
              </w:rPr>
              <w:t>(0.059)</w:t>
            </w:r>
          </w:p>
        </w:tc>
        <w:tc>
          <w:tcPr>
            <w:tcW w:w="900" w:type="dxa"/>
            <w:gridSpan w:val="2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14:paraId="00060BD5" w14:textId="25DFB587" w:rsidR="00A86ADD" w:rsidRPr="0017640D" w:rsidRDefault="00A86ADD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17640D">
              <w:rPr>
                <w:color w:val="000000" w:themeColor="text1"/>
                <w:sz w:val="19"/>
                <w:szCs w:val="19"/>
              </w:rPr>
              <w:t>0.31</w:t>
            </w:r>
            <w:r w:rsidR="0086165A" w:rsidRPr="0017640D">
              <w:rPr>
                <w:color w:val="000000" w:themeColor="text1"/>
                <w:sz w:val="19"/>
                <w:szCs w:val="19"/>
              </w:rPr>
              <w:t>8</w:t>
            </w:r>
            <w:r w:rsidRPr="0017640D">
              <w:rPr>
                <w:color w:val="000000" w:themeColor="text1"/>
                <w:sz w:val="19"/>
                <w:szCs w:val="19"/>
                <w:vertAlign w:val="superscript"/>
              </w:rPr>
              <w:t>***</w:t>
            </w:r>
          </w:p>
          <w:p w14:paraId="03008A61" w14:textId="4DB0A4F3" w:rsidR="00A86ADD" w:rsidRPr="0017640D" w:rsidRDefault="00A86ADD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17640D">
              <w:rPr>
                <w:color w:val="000000" w:themeColor="text1"/>
                <w:sz w:val="19"/>
                <w:szCs w:val="19"/>
              </w:rPr>
              <w:t>(0.06</w:t>
            </w:r>
            <w:r w:rsidR="0086165A" w:rsidRPr="0017640D">
              <w:rPr>
                <w:color w:val="000000" w:themeColor="text1"/>
                <w:sz w:val="19"/>
                <w:szCs w:val="19"/>
              </w:rPr>
              <w:t>5</w:t>
            </w:r>
            <w:r w:rsidRPr="0017640D">
              <w:rPr>
                <w:color w:val="000000" w:themeColor="text1"/>
                <w:sz w:val="19"/>
                <w:szCs w:val="19"/>
              </w:rPr>
              <w:t>)</w:t>
            </w:r>
          </w:p>
        </w:tc>
        <w:tc>
          <w:tcPr>
            <w:tcW w:w="990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46C94DDB" w14:textId="0E189A68" w:rsidR="00A86ADD" w:rsidRPr="0017640D" w:rsidRDefault="00A86ADD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17640D">
              <w:rPr>
                <w:color w:val="000000" w:themeColor="text1"/>
                <w:sz w:val="19"/>
                <w:szCs w:val="19"/>
              </w:rPr>
              <w:t>0.0</w:t>
            </w:r>
            <w:r w:rsidR="002F49AF">
              <w:rPr>
                <w:color w:val="000000" w:themeColor="text1"/>
                <w:sz w:val="19"/>
                <w:szCs w:val="19"/>
              </w:rPr>
              <w:t>80</w:t>
            </w:r>
          </w:p>
          <w:p w14:paraId="33BCAEE8" w14:textId="45563992" w:rsidR="00A86ADD" w:rsidRPr="0017640D" w:rsidRDefault="00A86ADD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17640D">
              <w:rPr>
                <w:color w:val="000000" w:themeColor="text1"/>
                <w:sz w:val="19"/>
                <w:szCs w:val="19"/>
              </w:rPr>
              <w:t>(0.05</w:t>
            </w:r>
            <w:r w:rsidR="001F53A7" w:rsidRPr="0017640D">
              <w:rPr>
                <w:color w:val="000000" w:themeColor="text1"/>
                <w:sz w:val="19"/>
                <w:szCs w:val="19"/>
              </w:rPr>
              <w:t>1</w:t>
            </w:r>
            <w:r w:rsidRPr="0017640D">
              <w:rPr>
                <w:color w:val="000000" w:themeColor="text1"/>
                <w:sz w:val="19"/>
                <w:szCs w:val="19"/>
              </w:rPr>
              <w:t>)</w:t>
            </w:r>
          </w:p>
        </w:tc>
        <w:tc>
          <w:tcPr>
            <w:tcW w:w="900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14:paraId="688ED491" w14:textId="78B4E3B9" w:rsidR="00A86ADD" w:rsidRPr="0017640D" w:rsidRDefault="00A86ADD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17640D">
              <w:rPr>
                <w:color w:val="000000" w:themeColor="text1"/>
                <w:sz w:val="19"/>
                <w:szCs w:val="19"/>
              </w:rPr>
              <w:t>0.0</w:t>
            </w:r>
            <w:r w:rsidR="0086165A" w:rsidRPr="0017640D">
              <w:rPr>
                <w:color w:val="000000" w:themeColor="text1"/>
                <w:sz w:val="19"/>
                <w:szCs w:val="19"/>
              </w:rPr>
              <w:t>6</w:t>
            </w:r>
            <w:r w:rsidR="00AF520A">
              <w:rPr>
                <w:color w:val="000000" w:themeColor="text1"/>
                <w:sz w:val="19"/>
                <w:szCs w:val="19"/>
              </w:rPr>
              <w:t>3</w:t>
            </w:r>
          </w:p>
          <w:p w14:paraId="4A7DBA28" w14:textId="34510E94" w:rsidR="00A86ADD" w:rsidRPr="0017640D" w:rsidRDefault="00A86ADD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17640D">
              <w:rPr>
                <w:color w:val="000000" w:themeColor="text1"/>
                <w:sz w:val="19"/>
                <w:szCs w:val="19"/>
              </w:rPr>
              <w:t>(0.05</w:t>
            </w:r>
            <w:r w:rsidR="00AF520A">
              <w:rPr>
                <w:color w:val="000000" w:themeColor="text1"/>
                <w:sz w:val="19"/>
                <w:szCs w:val="19"/>
              </w:rPr>
              <w:t>4</w:t>
            </w:r>
            <w:r w:rsidRPr="0017640D">
              <w:rPr>
                <w:color w:val="000000" w:themeColor="text1"/>
                <w:sz w:val="19"/>
                <w:szCs w:val="19"/>
              </w:rPr>
              <w:t>)</w:t>
            </w:r>
          </w:p>
        </w:tc>
        <w:tc>
          <w:tcPr>
            <w:tcW w:w="990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545B778F" w14:textId="6885C751" w:rsidR="00A86ADD" w:rsidRPr="0017640D" w:rsidRDefault="00A86ADD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17640D">
              <w:rPr>
                <w:color w:val="000000" w:themeColor="text1"/>
                <w:sz w:val="19"/>
                <w:szCs w:val="19"/>
              </w:rPr>
              <w:t>0.0</w:t>
            </w:r>
            <w:r w:rsidR="003D00E3" w:rsidRPr="0017640D">
              <w:rPr>
                <w:color w:val="000000" w:themeColor="text1"/>
                <w:sz w:val="19"/>
                <w:szCs w:val="19"/>
              </w:rPr>
              <w:t>77</w:t>
            </w:r>
          </w:p>
          <w:p w14:paraId="5406796C" w14:textId="7E7D5F14" w:rsidR="00A86ADD" w:rsidRPr="0017640D" w:rsidRDefault="00A86ADD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17640D">
              <w:rPr>
                <w:color w:val="000000" w:themeColor="text1"/>
                <w:sz w:val="19"/>
                <w:szCs w:val="19"/>
              </w:rPr>
              <w:t>(0.05</w:t>
            </w:r>
            <w:r w:rsidR="004A5076">
              <w:rPr>
                <w:color w:val="000000" w:themeColor="text1"/>
                <w:sz w:val="19"/>
                <w:szCs w:val="19"/>
              </w:rPr>
              <w:t>2</w:t>
            </w:r>
            <w:r w:rsidRPr="0017640D">
              <w:rPr>
                <w:color w:val="000000" w:themeColor="text1"/>
                <w:sz w:val="19"/>
                <w:szCs w:val="19"/>
              </w:rPr>
              <w:t>)</w:t>
            </w:r>
          </w:p>
        </w:tc>
        <w:tc>
          <w:tcPr>
            <w:tcW w:w="900" w:type="dxa"/>
            <w:gridSpan w:val="2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14:paraId="176D0139" w14:textId="0C74B326" w:rsidR="00A86ADD" w:rsidRPr="0017640D" w:rsidRDefault="00A86ADD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17640D">
              <w:rPr>
                <w:color w:val="000000" w:themeColor="text1"/>
                <w:sz w:val="19"/>
                <w:szCs w:val="19"/>
              </w:rPr>
              <w:t>0.0</w:t>
            </w:r>
            <w:r w:rsidR="00EE0118" w:rsidRPr="0017640D">
              <w:rPr>
                <w:color w:val="000000" w:themeColor="text1"/>
                <w:sz w:val="19"/>
                <w:szCs w:val="19"/>
              </w:rPr>
              <w:t>5</w:t>
            </w:r>
            <w:r w:rsidR="009E2380">
              <w:rPr>
                <w:color w:val="000000" w:themeColor="text1"/>
                <w:sz w:val="19"/>
                <w:szCs w:val="19"/>
              </w:rPr>
              <w:t>3</w:t>
            </w:r>
          </w:p>
          <w:p w14:paraId="4BD4AB24" w14:textId="4907F29B" w:rsidR="00A86ADD" w:rsidRPr="0017640D" w:rsidRDefault="00A86ADD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17640D">
              <w:rPr>
                <w:color w:val="000000" w:themeColor="text1"/>
                <w:sz w:val="19"/>
                <w:szCs w:val="19"/>
              </w:rPr>
              <w:t>(0.05</w:t>
            </w:r>
            <w:r w:rsidR="004A5076">
              <w:rPr>
                <w:color w:val="000000" w:themeColor="text1"/>
                <w:sz w:val="19"/>
                <w:szCs w:val="19"/>
              </w:rPr>
              <w:t>5</w:t>
            </w:r>
            <w:r w:rsidRPr="0017640D">
              <w:rPr>
                <w:color w:val="000000" w:themeColor="text1"/>
                <w:sz w:val="19"/>
                <w:szCs w:val="19"/>
              </w:rPr>
              <w:t>)</w:t>
            </w:r>
          </w:p>
        </w:tc>
      </w:tr>
      <w:tr w:rsidR="005F66DE" w:rsidRPr="00DB1E85" w14:paraId="3BFFE497" w14:textId="77777777" w:rsidTr="004863D2"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0C9E3A" w14:textId="5BCA04BC" w:rsidR="005F66DE" w:rsidRPr="0017640D" w:rsidRDefault="005F66DE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17640D">
              <w:rPr>
                <w:color w:val="000000" w:themeColor="text1"/>
                <w:sz w:val="19"/>
                <w:szCs w:val="19"/>
              </w:rPr>
              <w:t>3</w:t>
            </w:r>
          </w:p>
        </w:tc>
        <w:tc>
          <w:tcPr>
            <w:tcW w:w="336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1ED75C" w14:textId="31AAADEC" w:rsidR="005F66DE" w:rsidRPr="0017640D" w:rsidRDefault="005F66DE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17640D">
              <w:rPr>
                <w:color w:val="000000" w:themeColor="text1"/>
                <w:sz w:val="19"/>
                <w:szCs w:val="19"/>
              </w:rPr>
              <w:t>Low</w:t>
            </w:r>
            <w:r w:rsidR="009A0847">
              <w:rPr>
                <w:color w:val="000000" w:themeColor="text1"/>
                <w:sz w:val="19"/>
                <w:szCs w:val="19"/>
              </w:rPr>
              <w:t xml:space="preserve"> </w:t>
            </w:r>
            <w:r w:rsidRPr="0017640D">
              <w:rPr>
                <w:color w:val="000000" w:themeColor="text1"/>
                <w:sz w:val="19"/>
                <w:szCs w:val="19"/>
              </w:rPr>
              <w:t>Detection</w:t>
            </w:r>
            <w:r w:rsidR="009A0847">
              <w:rPr>
                <w:color w:val="000000" w:themeColor="text1"/>
                <w:sz w:val="19"/>
                <w:szCs w:val="19"/>
              </w:rPr>
              <w:t xml:space="preserve"> </w:t>
            </w:r>
            <w:r w:rsidRPr="0017640D">
              <w:rPr>
                <w:color w:val="000000" w:themeColor="text1"/>
                <w:sz w:val="19"/>
                <w:szCs w:val="19"/>
              </w:rPr>
              <w:t>Treatment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053AAAC" w14:textId="1F4D80BA" w:rsidR="005F66DE" w:rsidRPr="0017640D" w:rsidRDefault="0008228E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0.050</w:t>
            </w:r>
          </w:p>
          <w:p w14:paraId="6F38B86B" w14:textId="507037F1" w:rsidR="005F66DE" w:rsidRPr="0017640D" w:rsidRDefault="005F66DE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17640D">
              <w:rPr>
                <w:color w:val="000000" w:themeColor="text1"/>
                <w:sz w:val="19"/>
                <w:szCs w:val="19"/>
              </w:rPr>
              <w:t>(0.061)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8752C8" w14:textId="0F5E1963" w:rsidR="005F66DE" w:rsidRPr="0017640D" w:rsidRDefault="005F66DE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17640D">
              <w:rPr>
                <w:color w:val="000000" w:themeColor="text1"/>
                <w:sz w:val="19"/>
                <w:szCs w:val="19"/>
              </w:rPr>
              <w:t>0.063</w:t>
            </w:r>
          </w:p>
          <w:p w14:paraId="6E07C319" w14:textId="3A8629D4" w:rsidR="005F66DE" w:rsidRPr="0017640D" w:rsidRDefault="005F66DE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17640D">
              <w:rPr>
                <w:color w:val="000000" w:themeColor="text1"/>
                <w:sz w:val="19"/>
                <w:szCs w:val="19"/>
              </w:rPr>
              <w:t>(0.073)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67DC259" w14:textId="54FE08DE" w:rsidR="005F66DE" w:rsidRPr="0017640D" w:rsidRDefault="0008228E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0.053</w:t>
            </w:r>
          </w:p>
          <w:p w14:paraId="3AD49B61" w14:textId="09BF1C23" w:rsidR="005F66DE" w:rsidRPr="0017640D" w:rsidRDefault="002F49AF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(0.069</w:t>
            </w:r>
            <w:r w:rsidR="005F66DE" w:rsidRPr="0017640D">
              <w:rPr>
                <w:color w:val="000000" w:themeColor="text1"/>
                <w:sz w:val="19"/>
                <w:szCs w:val="19"/>
              </w:rPr>
              <w:t>)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CB8A8D" w14:textId="04665191" w:rsidR="005F66DE" w:rsidRPr="0017640D" w:rsidRDefault="005F66DE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17640D">
              <w:rPr>
                <w:color w:val="000000" w:themeColor="text1"/>
                <w:sz w:val="19"/>
                <w:szCs w:val="19"/>
              </w:rPr>
              <w:t>-0.0</w:t>
            </w:r>
            <w:r w:rsidR="00AF520A">
              <w:rPr>
                <w:color w:val="000000" w:themeColor="text1"/>
                <w:sz w:val="19"/>
                <w:szCs w:val="19"/>
              </w:rPr>
              <w:t>41</w:t>
            </w:r>
          </w:p>
          <w:p w14:paraId="0959B77A" w14:textId="2C671985" w:rsidR="005F66DE" w:rsidRPr="0017640D" w:rsidRDefault="005F66DE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17640D">
              <w:rPr>
                <w:color w:val="000000" w:themeColor="text1"/>
                <w:sz w:val="19"/>
                <w:szCs w:val="19"/>
              </w:rPr>
              <w:t>(0.070)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40684FE" w14:textId="5F2F3E12" w:rsidR="005F66DE" w:rsidRPr="0017640D" w:rsidRDefault="004A5076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0.012</w:t>
            </w:r>
          </w:p>
          <w:p w14:paraId="51E071A0" w14:textId="3E8356DA" w:rsidR="005F66DE" w:rsidRPr="0017640D" w:rsidRDefault="004A5076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(0.067</w:t>
            </w:r>
            <w:r w:rsidR="005F66DE" w:rsidRPr="0017640D">
              <w:rPr>
                <w:color w:val="000000" w:themeColor="text1"/>
                <w:sz w:val="19"/>
                <w:szCs w:val="19"/>
              </w:rPr>
              <w:t>)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676FFF" w14:textId="2455EB54" w:rsidR="005F66DE" w:rsidRPr="0017640D" w:rsidRDefault="004A5076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-0.078</w:t>
            </w:r>
          </w:p>
          <w:p w14:paraId="2A73EAB5" w14:textId="455EF742" w:rsidR="005F66DE" w:rsidRPr="0017640D" w:rsidRDefault="009E2380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(0.069</w:t>
            </w:r>
            <w:r w:rsidR="005F66DE" w:rsidRPr="0017640D">
              <w:rPr>
                <w:color w:val="000000" w:themeColor="text1"/>
                <w:sz w:val="19"/>
                <w:szCs w:val="19"/>
              </w:rPr>
              <w:t>)</w:t>
            </w:r>
          </w:p>
        </w:tc>
      </w:tr>
      <w:tr w:rsidR="005F66DE" w:rsidRPr="00DB1E85" w14:paraId="12598650" w14:textId="77777777" w:rsidTr="004863D2"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FB327D" w14:textId="43F550CC" w:rsidR="005F66DE" w:rsidRPr="0017640D" w:rsidRDefault="005F66DE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17640D">
              <w:rPr>
                <w:color w:val="000000" w:themeColor="text1"/>
                <w:sz w:val="19"/>
                <w:szCs w:val="19"/>
              </w:rPr>
              <w:t>4</w:t>
            </w:r>
          </w:p>
        </w:tc>
        <w:tc>
          <w:tcPr>
            <w:tcW w:w="336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CCB6B5" w14:textId="7DD7707B" w:rsidR="005F66DE" w:rsidRPr="0017640D" w:rsidRDefault="005F66DE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17640D">
              <w:rPr>
                <w:color w:val="000000" w:themeColor="text1"/>
                <w:sz w:val="19"/>
                <w:szCs w:val="19"/>
              </w:rPr>
              <w:t>Bank</w:t>
            </w:r>
            <w:r w:rsidR="009A0847">
              <w:rPr>
                <w:color w:val="000000" w:themeColor="text1"/>
                <w:sz w:val="19"/>
                <w:szCs w:val="19"/>
              </w:rPr>
              <w:t xml:space="preserve"> </w:t>
            </w:r>
            <w:r w:rsidRPr="0017640D">
              <w:rPr>
                <w:color w:val="000000" w:themeColor="text1"/>
                <w:sz w:val="19"/>
                <w:szCs w:val="19"/>
              </w:rPr>
              <w:t>Chose</w:t>
            </w:r>
            <w:r w:rsidR="009A0847">
              <w:rPr>
                <w:color w:val="000000" w:themeColor="text1"/>
                <w:sz w:val="19"/>
                <w:szCs w:val="19"/>
              </w:rPr>
              <w:t xml:space="preserve"> </w:t>
            </w:r>
            <w:r w:rsidRPr="0017640D">
              <w:rPr>
                <w:color w:val="000000" w:themeColor="text1"/>
                <w:sz w:val="19"/>
                <w:szCs w:val="19"/>
              </w:rPr>
              <w:t>to</w:t>
            </w:r>
            <w:r w:rsidR="009A0847">
              <w:rPr>
                <w:color w:val="000000" w:themeColor="text1"/>
                <w:sz w:val="19"/>
                <w:szCs w:val="19"/>
              </w:rPr>
              <w:t xml:space="preserve"> </w:t>
            </w:r>
            <w:r w:rsidRPr="0017640D">
              <w:rPr>
                <w:color w:val="000000" w:themeColor="text1"/>
                <w:sz w:val="19"/>
                <w:szCs w:val="19"/>
              </w:rPr>
              <w:t>Borrow</w:t>
            </w:r>
            <w:r w:rsidR="009A0847">
              <w:rPr>
                <w:color w:val="000000" w:themeColor="text1"/>
                <w:sz w:val="19"/>
                <w:szCs w:val="19"/>
              </w:rPr>
              <w:t xml:space="preserve"> </w:t>
            </w:r>
            <w:r w:rsidRPr="0017640D">
              <w:rPr>
                <w:color w:val="000000" w:themeColor="text1"/>
                <w:sz w:val="19"/>
                <w:szCs w:val="19"/>
              </w:rPr>
              <w:t>at</w:t>
            </w:r>
            <w:r w:rsidR="009A0847">
              <w:rPr>
                <w:color w:val="000000" w:themeColor="text1"/>
                <w:sz w:val="19"/>
                <w:szCs w:val="19"/>
              </w:rPr>
              <w:t xml:space="preserve"> </w:t>
            </w:r>
            <w:r w:rsidRPr="0017640D">
              <w:rPr>
                <w:color w:val="000000" w:themeColor="text1"/>
                <w:sz w:val="19"/>
                <w:szCs w:val="19"/>
              </w:rPr>
              <w:t>DW</w:t>
            </w:r>
            <w:r w:rsidR="009A0847">
              <w:rPr>
                <w:color w:val="000000" w:themeColor="text1"/>
                <w:sz w:val="19"/>
                <w:szCs w:val="19"/>
              </w:rPr>
              <w:t xml:space="preserve"> </w:t>
            </w:r>
            <w:r w:rsidRPr="0017640D">
              <w:rPr>
                <w:color w:val="000000" w:themeColor="text1"/>
                <w:sz w:val="19"/>
                <w:szCs w:val="19"/>
              </w:rPr>
              <w:t>in</w:t>
            </w:r>
            <w:r w:rsidR="009A0847">
              <w:rPr>
                <w:color w:val="000000" w:themeColor="text1"/>
                <w:sz w:val="19"/>
                <w:szCs w:val="19"/>
              </w:rPr>
              <w:t xml:space="preserve"> </w:t>
            </w:r>
            <w:r w:rsidRPr="0017640D">
              <w:rPr>
                <w:i/>
                <w:color w:val="000000" w:themeColor="text1"/>
                <w:sz w:val="19"/>
                <w:szCs w:val="19"/>
              </w:rPr>
              <w:t>t-1</w:t>
            </w:r>
          </w:p>
          <w:p w14:paraId="7C8A1AA9" w14:textId="0912DB41" w:rsidR="005F66DE" w:rsidRPr="0017640D" w:rsidRDefault="005F66DE" w:rsidP="008E1FDB">
            <w:pPr>
              <w:jc w:val="center"/>
              <w:rPr>
                <w:i/>
                <w:color w:val="000000" w:themeColor="text1"/>
                <w:sz w:val="19"/>
                <w:szCs w:val="19"/>
              </w:rPr>
            </w:pPr>
            <w:r w:rsidRPr="0017640D">
              <w:rPr>
                <w:color w:val="000000" w:themeColor="text1"/>
                <w:sz w:val="19"/>
                <w:szCs w:val="19"/>
              </w:rPr>
              <w:t>if</w:t>
            </w:r>
            <w:r w:rsidR="009A0847">
              <w:rPr>
                <w:color w:val="000000" w:themeColor="text1"/>
                <w:sz w:val="19"/>
                <w:szCs w:val="19"/>
              </w:rPr>
              <w:t xml:space="preserve"> </w:t>
            </w:r>
            <w:r w:rsidR="00790803" w:rsidRPr="0017640D">
              <w:rPr>
                <w:color w:val="000000" w:themeColor="text1"/>
                <w:sz w:val="19"/>
                <w:szCs w:val="19"/>
              </w:rPr>
              <w:t>Insolvent-</w:t>
            </w:r>
            <w:r w:rsidR="0017640D" w:rsidRPr="0017640D">
              <w:rPr>
                <w:color w:val="000000" w:themeColor="text1"/>
                <w:sz w:val="19"/>
                <w:szCs w:val="19"/>
              </w:rPr>
              <w:t>I</w:t>
            </w:r>
            <w:r w:rsidR="00790803" w:rsidRPr="0017640D">
              <w:rPr>
                <w:color w:val="000000" w:themeColor="text1"/>
                <w:sz w:val="19"/>
                <w:szCs w:val="19"/>
              </w:rPr>
              <w:t>lliquid</w:t>
            </w:r>
          </w:p>
        </w:tc>
        <w:tc>
          <w:tcPr>
            <w:tcW w:w="9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92DCE96" w14:textId="164486E5" w:rsidR="005F66DE" w:rsidRPr="0017640D" w:rsidRDefault="0025036C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__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5B40CF" w14:textId="61824BF4" w:rsidR="005F66DE" w:rsidRPr="0017640D" w:rsidRDefault="0025036C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__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0D229C1" w14:textId="1A40C84D" w:rsidR="005F66DE" w:rsidRPr="0017640D" w:rsidRDefault="005F66DE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17640D">
              <w:rPr>
                <w:color w:val="000000" w:themeColor="text1"/>
                <w:sz w:val="19"/>
                <w:szCs w:val="19"/>
              </w:rPr>
              <w:t>0.5</w:t>
            </w:r>
            <w:r w:rsidR="002F49AF">
              <w:rPr>
                <w:color w:val="000000" w:themeColor="text1"/>
                <w:sz w:val="19"/>
                <w:szCs w:val="19"/>
              </w:rPr>
              <w:t>63</w:t>
            </w:r>
            <w:r w:rsidRPr="0017640D">
              <w:rPr>
                <w:color w:val="000000" w:themeColor="text1"/>
                <w:sz w:val="19"/>
                <w:szCs w:val="19"/>
                <w:vertAlign w:val="superscript"/>
              </w:rPr>
              <w:t>***</w:t>
            </w:r>
          </w:p>
          <w:p w14:paraId="5998A1CF" w14:textId="13ADE1CC" w:rsidR="005F66DE" w:rsidRPr="0017640D" w:rsidRDefault="005F66DE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17640D">
              <w:rPr>
                <w:color w:val="000000" w:themeColor="text1"/>
                <w:sz w:val="19"/>
                <w:szCs w:val="19"/>
              </w:rPr>
              <w:t>(0.043)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847417" w14:textId="49DAAA00" w:rsidR="005F66DE" w:rsidRPr="0017640D" w:rsidRDefault="0025036C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__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76673CB" w14:textId="06222490" w:rsidR="005F66DE" w:rsidRPr="0017640D" w:rsidRDefault="005F66DE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17640D">
              <w:rPr>
                <w:color w:val="000000" w:themeColor="text1"/>
                <w:sz w:val="19"/>
                <w:szCs w:val="19"/>
              </w:rPr>
              <w:t>0.53</w:t>
            </w:r>
            <w:r w:rsidR="009E2380">
              <w:rPr>
                <w:color w:val="000000" w:themeColor="text1"/>
                <w:sz w:val="19"/>
                <w:szCs w:val="19"/>
              </w:rPr>
              <w:t>6</w:t>
            </w:r>
            <w:r w:rsidRPr="0017640D">
              <w:rPr>
                <w:color w:val="000000" w:themeColor="text1"/>
                <w:sz w:val="19"/>
                <w:szCs w:val="19"/>
                <w:vertAlign w:val="superscript"/>
              </w:rPr>
              <w:t>***</w:t>
            </w:r>
          </w:p>
          <w:p w14:paraId="2074F9A1" w14:textId="1C224640" w:rsidR="005F66DE" w:rsidRPr="0017640D" w:rsidRDefault="009E2380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(0.044</w:t>
            </w:r>
            <w:r w:rsidR="005F66DE" w:rsidRPr="0017640D">
              <w:rPr>
                <w:color w:val="000000" w:themeColor="text1"/>
                <w:sz w:val="19"/>
                <w:szCs w:val="19"/>
              </w:rPr>
              <w:t>)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9968E2" w14:textId="16FD92C6" w:rsidR="005F66DE" w:rsidRPr="0017640D" w:rsidRDefault="0025036C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__</w:t>
            </w:r>
          </w:p>
        </w:tc>
      </w:tr>
      <w:tr w:rsidR="005F66DE" w:rsidRPr="00DB1E85" w14:paraId="10C7F41A" w14:textId="77777777" w:rsidTr="004863D2"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82673C" w14:textId="15B8519B" w:rsidR="005F66DE" w:rsidRPr="0017640D" w:rsidRDefault="005F66DE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17640D">
              <w:rPr>
                <w:color w:val="000000" w:themeColor="text1"/>
                <w:sz w:val="19"/>
                <w:szCs w:val="19"/>
              </w:rPr>
              <w:t>5</w:t>
            </w:r>
          </w:p>
        </w:tc>
        <w:tc>
          <w:tcPr>
            <w:tcW w:w="336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BF16CE" w14:textId="0656032B" w:rsidR="005F66DE" w:rsidRPr="0017640D" w:rsidRDefault="005F66DE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17640D">
              <w:rPr>
                <w:color w:val="000000" w:themeColor="text1"/>
                <w:sz w:val="19"/>
                <w:szCs w:val="19"/>
              </w:rPr>
              <w:t>Bank</w:t>
            </w:r>
            <w:r w:rsidR="009A0847">
              <w:rPr>
                <w:color w:val="000000" w:themeColor="text1"/>
                <w:sz w:val="19"/>
                <w:szCs w:val="19"/>
              </w:rPr>
              <w:t xml:space="preserve"> </w:t>
            </w:r>
            <w:r w:rsidRPr="0017640D">
              <w:rPr>
                <w:color w:val="000000" w:themeColor="text1"/>
                <w:sz w:val="19"/>
                <w:szCs w:val="19"/>
              </w:rPr>
              <w:t>Chose</w:t>
            </w:r>
            <w:r w:rsidR="009A0847">
              <w:rPr>
                <w:color w:val="000000" w:themeColor="text1"/>
                <w:sz w:val="19"/>
                <w:szCs w:val="19"/>
              </w:rPr>
              <w:t xml:space="preserve"> </w:t>
            </w:r>
            <w:r w:rsidRPr="0017640D">
              <w:rPr>
                <w:color w:val="000000" w:themeColor="text1"/>
                <w:sz w:val="19"/>
                <w:szCs w:val="19"/>
              </w:rPr>
              <w:t>to</w:t>
            </w:r>
            <w:r w:rsidR="009A0847">
              <w:rPr>
                <w:color w:val="000000" w:themeColor="text1"/>
                <w:sz w:val="19"/>
                <w:szCs w:val="19"/>
              </w:rPr>
              <w:t xml:space="preserve"> </w:t>
            </w:r>
            <w:r w:rsidRPr="0017640D">
              <w:rPr>
                <w:color w:val="000000" w:themeColor="text1"/>
                <w:sz w:val="19"/>
                <w:szCs w:val="19"/>
              </w:rPr>
              <w:t>Borrow</w:t>
            </w:r>
            <w:r w:rsidR="009A0847">
              <w:rPr>
                <w:color w:val="000000" w:themeColor="text1"/>
                <w:sz w:val="19"/>
                <w:szCs w:val="19"/>
              </w:rPr>
              <w:t xml:space="preserve"> </w:t>
            </w:r>
            <w:r w:rsidRPr="0017640D">
              <w:rPr>
                <w:color w:val="000000" w:themeColor="text1"/>
                <w:sz w:val="19"/>
                <w:szCs w:val="19"/>
              </w:rPr>
              <w:t>at</w:t>
            </w:r>
            <w:r w:rsidR="009A0847">
              <w:rPr>
                <w:color w:val="000000" w:themeColor="text1"/>
                <w:sz w:val="19"/>
                <w:szCs w:val="19"/>
              </w:rPr>
              <w:t xml:space="preserve"> </w:t>
            </w:r>
            <w:r w:rsidRPr="0017640D">
              <w:rPr>
                <w:color w:val="000000" w:themeColor="text1"/>
                <w:sz w:val="19"/>
                <w:szCs w:val="19"/>
              </w:rPr>
              <w:t>DW</w:t>
            </w:r>
            <w:r w:rsidR="009A0847">
              <w:rPr>
                <w:color w:val="000000" w:themeColor="text1"/>
                <w:sz w:val="19"/>
                <w:szCs w:val="19"/>
              </w:rPr>
              <w:t xml:space="preserve"> </w:t>
            </w:r>
            <w:r w:rsidRPr="0017640D">
              <w:rPr>
                <w:color w:val="000000" w:themeColor="text1"/>
                <w:sz w:val="19"/>
                <w:szCs w:val="19"/>
              </w:rPr>
              <w:t>in</w:t>
            </w:r>
            <w:r w:rsidR="009A0847">
              <w:rPr>
                <w:color w:val="000000" w:themeColor="text1"/>
                <w:sz w:val="19"/>
                <w:szCs w:val="19"/>
              </w:rPr>
              <w:t xml:space="preserve"> </w:t>
            </w:r>
            <w:r w:rsidRPr="0017640D">
              <w:rPr>
                <w:i/>
                <w:color w:val="000000" w:themeColor="text1"/>
                <w:sz w:val="19"/>
                <w:szCs w:val="19"/>
              </w:rPr>
              <w:t>t-1</w:t>
            </w:r>
          </w:p>
          <w:p w14:paraId="75DAA48A" w14:textId="00DD6A44" w:rsidR="005F66DE" w:rsidRPr="0017640D" w:rsidRDefault="005F66DE" w:rsidP="008E1FDB">
            <w:pPr>
              <w:jc w:val="center"/>
              <w:rPr>
                <w:i/>
                <w:color w:val="000000" w:themeColor="text1"/>
                <w:sz w:val="19"/>
                <w:szCs w:val="19"/>
              </w:rPr>
            </w:pPr>
            <w:r w:rsidRPr="0017640D">
              <w:rPr>
                <w:color w:val="000000" w:themeColor="text1"/>
                <w:sz w:val="19"/>
                <w:szCs w:val="19"/>
              </w:rPr>
              <w:t>if</w:t>
            </w:r>
            <w:r w:rsidR="009A0847">
              <w:rPr>
                <w:color w:val="000000" w:themeColor="text1"/>
                <w:sz w:val="19"/>
                <w:szCs w:val="19"/>
              </w:rPr>
              <w:t xml:space="preserve"> </w:t>
            </w:r>
            <w:r w:rsidR="001212A3" w:rsidRPr="0017640D">
              <w:rPr>
                <w:color w:val="000000" w:themeColor="text1"/>
                <w:sz w:val="19"/>
                <w:szCs w:val="19"/>
              </w:rPr>
              <w:t>Solvent-illiquid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FE73BD1" w14:textId="084C7BEB" w:rsidR="005F66DE" w:rsidRPr="0017640D" w:rsidRDefault="0025036C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__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EE9A2A" w14:textId="5EA8AEF3" w:rsidR="005F66DE" w:rsidRPr="0017640D" w:rsidRDefault="0025036C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__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09D23EA" w14:textId="13A2065C" w:rsidR="005F66DE" w:rsidRPr="0017640D" w:rsidRDefault="0025036C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__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7775A3" w14:textId="7E7BAAD0" w:rsidR="005F66DE" w:rsidRPr="0017640D" w:rsidRDefault="005F66DE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17640D">
              <w:rPr>
                <w:color w:val="000000" w:themeColor="text1"/>
                <w:sz w:val="19"/>
                <w:szCs w:val="19"/>
              </w:rPr>
              <w:t>0.57</w:t>
            </w:r>
            <w:r w:rsidR="00AF520A">
              <w:rPr>
                <w:color w:val="000000" w:themeColor="text1"/>
                <w:sz w:val="19"/>
                <w:szCs w:val="19"/>
              </w:rPr>
              <w:t>2</w:t>
            </w:r>
            <w:r w:rsidRPr="0017640D">
              <w:rPr>
                <w:color w:val="000000" w:themeColor="text1"/>
                <w:sz w:val="19"/>
                <w:szCs w:val="19"/>
                <w:vertAlign w:val="superscript"/>
              </w:rPr>
              <w:t>***</w:t>
            </w:r>
          </w:p>
          <w:p w14:paraId="3CE8DFCF" w14:textId="7B34AB5A" w:rsidR="005F66DE" w:rsidRPr="0017640D" w:rsidRDefault="005F66DE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17640D">
              <w:rPr>
                <w:color w:val="000000" w:themeColor="text1"/>
                <w:sz w:val="19"/>
                <w:szCs w:val="19"/>
              </w:rPr>
              <w:t>(0.036)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CDEC9C3" w14:textId="64B88CC7" w:rsidR="005F66DE" w:rsidRPr="0017640D" w:rsidRDefault="0025036C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__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EF1535" w14:textId="2DBE373E" w:rsidR="005F66DE" w:rsidRPr="0017640D" w:rsidRDefault="005F66DE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17640D">
              <w:rPr>
                <w:color w:val="000000" w:themeColor="text1"/>
                <w:sz w:val="19"/>
                <w:szCs w:val="19"/>
              </w:rPr>
              <w:t>0.5</w:t>
            </w:r>
            <w:r w:rsidR="004A5076">
              <w:rPr>
                <w:color w:val="000000" w:themeColor="text1"/>
                <w:sz w:val="19"/>
                <w:szCs w:val="19"/>
              </w:rPr>
              <w:t>56</w:t>
            </w:r>
            <w:r w:rsidRPr="0017640D">
              <w:rPr>
                <w:color w:val="000000" w:themeColor="text1"/>
                <w:sz w:val="19"/>
                <w:szCs w:val="19"/>
                <w:vertAlign w:val="superscript"/>
              </w:rPr>
              <w:t>***</w:t>
            </w:r>
          </w:p>
          <w:p w14:paraId="040D6428" w14:textId="4D6D0537" w:rsidR="005F66DE" w:rsidRPr="0017640D" w:rsidRDefault="005F66DE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17640D">
              <w:rPr>
                <w:color w:val="000000" w:themeColor="text1"/>
                <w:sz w:val="19"/>
                <w:szCs w:val="19"/>
              </w:rPr>
              <w:t>(0.036)</w:t>
            </w:r>
          </w:p>
        </w:tc>
      </w:tr>
      <w:tr w:rsidR="0025036C" w:rsidRPr="00DB1E85" w14:paraId="2F9B8EC2" w14:textId="77777777" w:rsidTr="004863D2">
        <w:tc>
          <w:tcPr>
            <w:tcW w:w="5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1EC4B4E" w14:textId="5C88E716" w:rsidR="0025036C" w:rsidRPr="0017640D" w:rsidRDefault="0025036C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17640D">
              <w:rPr>
                <w:color w:val="000000" w:themeColor="text1"/>
                <w:sz w:val="19"/>
                <w:szCs w:val="19"/>
              </w:rPr>
              <w:t>6</w:t>
            </w:r>
          </w:p>
        </w:tc>
        <w:tc>
          <w:tcPr>
            <w:tcW w:w="336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111E293" w14:textId="624FF69A" w:rsidR="0025036C" w:rsidRPr="0017640D" w:rsidRDefault="0025036C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17640D">
              <w:rPr>
                <w:color w:val="000000" w:themeColor="text1"/>
                <w:sz w:val="19"/>
                <w:szCs w:val="19"/>
              </w:rPr>
              <w:t>Bank</w:t>
            </w:r>
            <w:r>
              <w:rPr>
                <w:color w:val="000000" w:themeColor="text1"/>
                <w:sz w:val="19"/>
                <w:szCs w:val="19"/>
              </w:rPr>
              <w:t xml:space="preserve"> </w:t>
            </w:r>
            <w:r w:rsidRPr="0017640D">
              <w:rPr>
                <w:color w:val="000000" w:themeColor="text1"/>
                <w:sz w:val="19"/>
                <w:szCs w:val="19"/>
              </w:rPr>
              <w:t>Actually</w:t>
            </w:r>
            <w:r>
              <w:rPr>
                <w:color w:val="000000" w:themeColor="text1"/>
                <w:sz w:val="19"/>
                <w:szCs w:val="19"/>
              </w:rPr>
              <w:t xml:space="preserve"> </w:t>
            </w:r>
            <w:r w:rsidRPr="0017640D">
              <w:rPr>
                <w:color w:val="000000" w:themeColor="text1"/>
                <w:sz w:val="19"/>
                <w:szCs w:val="19"/>
              </w:rPr>
              <w:t>Borrowed</w:t>
            </w:r>
            <w:r>
              <w:rPr>
                <w:color w:val="000000" w:themeColor="text1"/>
                <w:sz w:val="19"/>
                <w:szCs w:val="19"/>
              </w:rPr>
              <w:t xml:space="preserve"> </w:t>
            </w:r>
            <w:r w:rsidRPr="0017640D">
              <w:rPr>
                <w:color w:val="000000" w:themeColor="text1"/>
                <w:sz w:val="19"/>
                <w:szCs w:val="19"/>
              </w:rPr>
              <w:t>at</w:t>
            </w:r>
            <w:r>
              <w:rPr>
                <w:color w:val="000000" w:themeColor="text1"/>
                <w:sz w:val="19"/>
                <w:szCs w:val="19"/>
              </w:rPr>
              <w:t xml:space="preserve"> </w:t>
            </w:r>
            <w:r w:rsidRPr="0017640D">
              <w:rPr>
                <w:color w:val="000000" w:themeColor="text1"/>
                <w:sz w:val="19"/>
                <w:szCs w:val="19"/>
              </w:rPr>
              <w:t>DW</w:t>
            </w:r>
            <w:r>
              <w:rPr>
                <w:color w:val="000000" w:themeColor="text1"/>
                <w:sz w:val="19"/>
                <w:szCs w:val="19"/>
              </w:rPr>
              <w:t xml:space="preserve"> </w:t>
            </w:r>
            <w:r w:rsidRPr="0017640D">
              <w:rPr>
                <w:color w:val="000000" w:themeColor="text1"/>
                <w:sz w:val="19"/>
                <w:szCs w:val="19"/>
              </w:rPr>
              <w:t>in</w:t>
            </w:r>
            <w:r>
              <w:rPr>
                <w:color w:val="000000" w:themeColor="text1"/>
                <w:sz w:val="19"/>
                <w:szCs w:val="19"/>
              </w:rPr>
              <w:t xml:space="preserve"> </w:t>
            </w:r>
            <w:r w:rsidRPr="0017640D">
              <w:rPr>
                <w:i/>
                <w:color w:val="000000" w:themeColor="text1"/>
                <w:sz w:val="19"/>
                <w:szCs w:val="19"/>
              </w:rPr>
              <w:t>t-1</w:t>
            </w:r>
          </w:p>
          <w:p w14:paraId="662E092D" w14:textId="6C64CC55" w:rsidR="0025036C" w:rsidRPr="0017640D" w:rsidRDefault="0025036C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17640D">
              <w:rPr>
                <w:color w:val="000000" w:themeColor="text1"/>
                <w:sz w:val="19"/>
                <w:szCs w:val="19"/>
              </w:rPr>
              <w:t>*</w:t>
            </w:r>
            <w:r>
              <w:rPr>
                <w:color w:val="000000" w:themeColor="text1"/>
                <w:sz w:val="19"/>
                <w:szCs w:val="19"/>
              </w:rPr>
              <w:t xml:space="preserve"> </w:t>
            </w:r>
            <w:r w:rsidRPr="0017640D">
              <w:rPr>
                <w:color w:val="000000" w:themeColor="text1"/>
                <w:sz w:val="19"/>
                <w:szCs w:val="19"/>
              </w:rPr>
              <w:t>Detected</w:t>
            </w:r>
            <w:r>
              <w:rPr>
                <w:color w:val="000000" w:themeColor="text1"/>
                <w:sz w:val="19"/>
                <w:szCs w:val="19"/>
              </w:rPr>
              <w:t xml:space="preserve"> </w:t>
            </w:r>
          </w:p>
        </w:tc>
        <w:tc>
          <w:tcPr>
            <w:tcW w:w="95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F22F325" w14:textId="08EAFBF6" w:rsidR="0025036C" w:rsidRPr="0017640D" w:rsidRDefault="0025036C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__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AD68637" w14:textId="375A95FE" w:rsidR="0025036C" w:rsidRPr="0017640D" w:rsidRDefault="0025036C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__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2E7D987" w14:textId="5DC7F280" w:rsidR="0025036C" w:rsidRPr="0017640D" w:rsidRDefault="0025036C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17640D">
              <w:rPr>
                <w:color w:val="000000" w:themeColor="text1"/>
                <w:sz w:val="19"/>
                <w:szCs w:val="19"/>
              </w:rPr>
              <w:t>-0.</w:t>
            </w:r>
            <w:r>
              <w:rPr>
                <w:color w:val="000000" w:themeColor="text1"/>
                <w:sz w:val="19"/>
                <w:szCs w:val="19"/>
              </w:rPr>
              <w:t>341</w:t>
            </w:r>
            <w:r w:rsidRPr="0017640D">
              <w:rPr>
                <w:color w:val="000000" w:themeColor="text1"/>
                <w:sz w:val="19"/>
                <w:szCs w:val="19"/>
                <w:vertAlign w:val="superscript"/>
              </w:rPr>
              <w:t>***</w:t>
            </w:r>
          </w:p>
          <w:p w14:paraId="3390D8F3" w14:textId="73A59366" w:rsidR="0025036C" w:rsidRPr="0017640D" w:rsidRDefault="0025036C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(0.092</w:t>
            </w:r>
            <w:r w:rsidRPr="0017640D">
              <w:rPr>
                <w:color w:val="000000" w:themeColor="text1"/>
                <w:sz w:val="19"/>
                <w:szCs w:val="19"/>
              </w:rPr>
              <w:t>)</w:t>
            </w:r>
          </w:p>
        </w:tc>
        <w:tc>
          <w:tcPr>
            <w:tcW w:w="9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6DFB200" w14:textId="760AC56B" w:rsidR="0025036C" w:rsidRPr="0017640D" w:rsidRDefault="0025036C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17640D">
              <w:rPr>
                <w:color w:val="000000" w:themeColor="text1"/>
                <w:sz w:val="19"/>
                <w:szCs w:val="19"/>
              </w:rPr>
              <w:t>-0.</w:t>
            </w:r>
            <w:r>
              <w:rPr>
                <w:color w:val="000000" w:themeColor="text1"/>
                <w:sz w:val="19"/>
                <w:szCs w:val="19"/>
              </w:rPr>
              <w:t>282</w:t>
            </w:r>
            <w:r w:rsidRPr="0017640D">
              <w:rPr>
                <w:color w:val="000000" w:themeColor="text1"/>
                <w:sz w:val="19"/>
                <w:szCs w:val="19"/>
                <w:vertAlign w:val="superscript"/>
              </w:rPr>
              <w:t>***</w:t>
            </w:r>
          </w:p>
          <w:p w14:paraId="5EBC8E07" w14:textId="6DBD8A6D" w:rsidR="0025036C" w:rsidRPr="0017640D" w:rsidRDefault="0025036C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17640D">
              <w:rPr>
                <w:color w:val="000000" w:themeColor="text1"/>
                <w:sz w:val="19"/>
                <w:szCs w:val="19"/>
              </w:rPr>
              <w:t>(0.077)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2A18F31" w14:textId="07345F16" w:rsidR="0025036C" w:rsidRPr="0017640D" w:rsidRDefault="0025036C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17640D">
              <w:rPr>
                <w:color w:val="000000" w:themeColor="text1"/>
                <w:sz w:val="19"/>
                <w:szCs w:val="19"/>
              </w:rPr>
              <w:t>-0.3</w:t>
            </w:r>
            <w:r>
              <w:rPr>
                <w:color w:val="000000" w:themeColor="text1"/>
                <w:sz w:val="19"/>
                <w:szCs w:val="19"/>
              </w:rPr>
              <w:t>49</w:t>
            </w:r>
            <w:r w:rsidRPr="0017640D">
              <w:rPr>
                <w:color w:val="000000" w:themeColor="text1"/>
                <w:sz w:val="19"/>
                <w:szCs w:val="19"/>
                <w:vertAlign w:val="superscript"/>
              </w:rPr>
              <w:t>***</w:t>
            </w:r>
          </w:p>
          <w:p w14:paraId="0AFF0CD1" w14:textId="4FE883A9" w:rsidR="0025036C" w:rsidRPr="0017640D" w:rsidRDefault="0025036C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(0.093</w:t>
            </w:r>
            <w:r w:rsidRPr="0017640D">
              <w:rPr>
                <w:color w:val="000000" w:themeColor="text1"/>
                <w:sz w:val="19"/>
                <w:szCs w:val="19"/>
              </w:rPr>
              <w:t>)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59B6260" w14:textId="2D42B44D" w:rsidR="0025036C" w:rsidRPr="0017640D" w:rsidRDefault="0025036C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17640D">
              <w:rPr>
                <w:color w:val="000000" w:themeColor="text1"/>
                <w:sz w:val="19"/>
                <w:szCs w:val="19"/>
              </w:rPr>
              <w:t>-0.3</w:t>
            </w:r>
            <w:r>
              <w:rPr>
                <w:color w:val="000000" w:themeColor="text1"/>
                <w:sz w:val="19"/>
                <w:szCs w:val="19"/>
              </w:rPr>
              <w:t>09</w:t>
            </w:r>
            <w:r w:rsidRPr="0017640D">
              <w:rPr>
                <w:color w:val="000000" w:themeColor="text1"/>
                <w:sz w:val="19"/>
                <w:szCs w:val="19"/>
                <w:vertAlign w:val="superscript"/>
              </w:rPr>
              <w:t>***</w:t>
            </w:r>
          </w:p>
          <w:p w14:paraId="6519F366" w14:textId="10856F96" w:rsidR="0025036C" w:rsidRPr="0017640D" w:rsidRDefault="0025036C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(0.082</w:t>
            </w:r>
            <w:r w:rsidRPr="0017640D">
              <w:rPr>
                <w:color w:val="000000" w:themeColor="text1"/>
                <w:sz w:val="19"/>
                <w:szCs w:val="19"/>
              </w:rPr>
              <w:t>)</w:t>
            </w:r>
          </w:p>
        </w:tc>
      </w:tr>
      <w:tr w:rsidR="0025036C" w:rsidRPr="00DB1E85" w14:paraId="588C1198" w14:textId="77777777" w:rsidTr="004863D2"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C0883B" w14:textId="6C3F62A1" w:rsidR="0025036C" w:rsidRPr="0017640D" w:rsidRDefault="0025036C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17640D">
              <w:rPr>
                <w:color w:val="000000" w:themeColor="text1"/>
                <w:sz w:val="19"/>
                <w:szCs w:val="19"/>
              </w:rPr>
              <w:t>7</w:t>
            </w:r>
          </w:p>
        </w:tc>
        <w:tc>
          <w:tcPr>
            <w:tcW w:w="336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3744E1" w14:textId="11810A46" w:rsidR="0025036C" w:rsidRPr="0017640D" w:rsidRDefault="0025036C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17640D">
              <w:rPr>
                <w:color w:val="000000" w:themeColor="text1"/>
                <w:sz w:val="19"/>
                <w:szCs w:val="19"/>
              </w:rPr>
              <w:t>Bank</w:t>
            </w:r>
            <w:r>
              <w:rPr>
                <w:color w:val="000000" w:themeColor="text1"/>
                <w:sz w:val="19"/>
                <w:szCs w:val="19"/>
              </w:rPr>
              <w:t xml:space="preserve"> </w:t>
            </w:r>
            <w:r w:rsidRPr="0017640D">
              <w:rPr>
                <w:color w:val="000000" w:themeColor="text1"/>
                <w:sz w:val="19"/>
                <w:szCs w:val="19"/>
              </w:rPr>
              <w:t>Actually</w:t>
            </w:r>
            <w:r>
              <w:rPr>
                <w:color w:val="000000" w:themeColor="text1"/>
                <w:sz w:val="19"/>
                <w:szCs w:val="19"/>
              </w:rPr>
              <w:t xml:space="preserve"> </w:t>
            </w:r>
            <w:r w:rsidRPr="0017640D">
              <w:rPr>
                <w:color w:val="000000" w:themeColor="text1"/>
                <w:sz w:val="19"/>
                <w:szCs w:val="19"/>
              </w:rPr>
              <w:t>Borrowed</w:t>
            </w:r>
            <w:r>
              <w:rPr>
                <w:color w:val="000000" w:themeColor="text1"/>
                <w:sz w:val="19"/>
                <w:szCs w:val="19"/>
              </w:rPr>
              <w:t xml:space="preserve"> </w:t>
            </w:r>
            <w:r w:rsidRPr="0017640D">
              <w:rPr>
                <w:color w:val="000000" w:themeColor="text1"/>
                <w:sz w:val="19"/>
                <w:szCs w:val="19"/>
              </w:rPr>
              <w:t>at</w:t>
            </w:r>
            <w:r>
              <w:rPr>
                <w:color w:val="000000" w:themeColor="text1"/>
                <w:sz w:val="19"/>
                <w:szCs w:val="19"/>
              </w:rPr>
              <w:t xml:space="preserve"> </w:t>
            </w:r>
            <w:r w:rsidRPr="0017640D">
              <w:rPr>
                <w:color w:val="000000" w:themeColor="text1"/>
                <w:sz w:val="19"/>
                <w:szCs w:val="19"/>
              </w:rPr>
              <w:t>DW</w:t>
            </w:r>
            <w:r>
              <w:rPr>
                <w:color w:val="000000" w:themeColor="text1"/>
                <w:sz w:val="19"/>
                <w:szCs w:val="19"/>
              </w:rPr>
              <w:t xml:space="preserve"> </w:t>
            </w:r>
            <w:r w:rsidRPr="0017640D">
              <w:rPr>
                <w:color w:val="000000" w:themeColor="text1"/>
                <w:sz w:val="19"/>
                <w:szCs w:val="19"/>
              </w:rPr>
              <w:t>in</w:t>
            </w:r>
            <w:r>
              <w:rPr>
                <w:color w:val="000000" w:themeColor="text1"/>
                <w:sz w:val="19"/>
                <w:szCs w:val="19"/>
              </w:rPr>
              <w:t xml:space="preserve"> </w:t>
            </w:r>
            <w:r w:rsidRPr="0017640D">
              <w:rPr>
                <w:i/>
                <w:color w:val="000000" w:themeColor="text1"/>
                <w:sz w:val="19"/>
                <w:szCs w:val="19"/>
              </w:rPr>
              <w:t>t-1</w:t>
            </w:r>
          </w:p>
          <w:p w14:paraId="095A58EA" w14:textId="5F5AD0AA" w:rsidR="0025036C" w:rsidRPr="0017640D" w:rsidRDefault="0025036C" w:rsidP="008E1FDB">
            <w:pPr>
              <w:jc w:val="center"/>
              <w:rPr>
                <w:i/>
                <w:color w:val="000000" w:themeColor="text1"/>
                <w:sz w:val="19"/>
                <w:szCs w:val="19"/>
              </w:rPr>
            </w:pPr>
            <w:r w:rsidRPr="0017640D">
              <w:rPr>
                <w:color w:val="000000" w:themeColor="text1"/>
                <w:sz w:val="19"/>
                <w:szCs w:val="19"/>
              </w:rPr>
              <w:t>*</w:t>
            </w:r>
            <w:r>
              <w:rPr>
                <w:color w:val="000000" w:themeColor="text1"/>
                <w:sz w:val="19"/>
                <w:szCs w:val="19"/>
              </w:rPr>
              <w:t xml:space="preserve"> </w:t>
            </w:r>
            <w:r w:rsidRPr="0017640D">
              <w:rPr>
                <w:color w:val="000000" w:themeColor="text1"/>
                <w:sz w:val="19"/>
                <w:szCs w:val="19"/>
              </w:rPr>
              <w:t>Detected</w:t>
            </w:r>
            <w:r>
              <w:rPr>
                <w:color w:val="000000" w:themeColor="text1"/>
                <w:sz w:val="19"/>
                <w:szCs w:val="19"/>
              </w:rPr>
              <w:t xml:space="preserve"> </w:t>
            </w:r>
            <w:r w:rsidRPr="0017640D">
              <w:rPr>
                <w:color w:val="000000" w:themeColor="text1"/>
                <w:sz w:val="19"/>
                <w:szCs w:val="19"/>
              </w:rPr>
              <w:t>*</w:t>
            </w:r>
            <w:r>
              <w:rPr>
                <w:color w:val="000000" w:themeColor="text1"/>
                <w:sz w:val="19"/>
                <w:szCs w:val="19"/>
              </w:rPr>
              <w:t xml:space="preserve"> </w:t>
            </w:r>
            <w:r w:rsidRPr="0017640D">
              <w:rPr>
                <w:color w:val="000000" w:themeColor="text1"/>
                <w:sz w:val="19"/>
                <w:szCs w:val="19"/>
              </w:rPr>
              <w:t>Not</w:t>
            </w:r>
            <w:r>
              <w:rPr>
                <w:color w:val="000000" w:themeColor="text1"/>
                <w:sz w:val="19"/>
                <w:szCs w:val="19"/>
              </w:rPr>
              <w:t xml:space="preserve"> </w:t>
            </w:r>
            <w:r w:rsidRPr="0017640D">
              <w:rPr>
                <w:color w:val="000000" w:themeColor="text1"/>
                <w:sz w:val="19"/>
                <w:szCs w:val="19"/>
              </w:rPr>
              <w:t>Funded</w:t>
            </w:r>
            <w:r>
              <w:rPr>
                <w:color w:val="000000" w:themeColor="text1"/>
                <w:sz w:val="19"/>
                <w:szCs w:val="19"/>
              </w:rPr>
              <w:t xml:space="preserve"> </w:t>
            </w:r>
          </w:p>
        </w:tc>
        <w:tc>
          <w:tcPr>
            <w:tcW w:w="957" w:type="dxa"/>
            <w:tcBorders>
              <w:left w:val="single" w:sz="12" w:space="0" w:color="auto"/>
            </w:tcBorders>
            <w:vAlign w:val="center"/>
          </w:tcPr>
          <w:p w14:paraId="6A11AF12" w14:textId="2938F8C2" w:rsidR="0025036C" w:rsidRPr="0017640D" w:rsidRDefault="0025036C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__</w:t>
            </w:r>
          </w:p>
        </w:tc>
        <w:tc>
          <w:tcPr>
            <w:tcW w:w="900" w:type="dxa"/>
            <w:gridSpan w:val="2"/>
            <w:tcBorders>
              <w:right w:val="single" w:sz="12" w:space="0" w:color="auto"/>
            </w:tcBorders>
            <w:vAlign w:val="center"/>
          </w:tcPr>
          <w:p w14:paraId="437629DE" w14:textId="09ABE8E5" w:rsidR="0025036C" w:rsidRPr="0017640D" w:rsidRDefault="0025036C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__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vAlign w:val="center"/>
          </w:tcPr>
          <w:p w14:paraId="27310BCE" w14:textId="20569B1D" w:rsidR="0025036C" w:rsidRPr="0017640D" w:rsidRDefault="0025036C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-0.080</w:t>
            </w:r>
          </w:p>
          <w:p w14:paraId="1F9EB5BB" w14:textId="3F497471" w:rsidR="0025036C" w:rsidRPr="0017640D" w:rsidRDefault="0025036C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(0.090</w:t>
            </w:r>
            <w:r w:rsidRPr="0017640D">
              <w:rPr>
                <w:color w:val="000000" w:themeColor="text1"/>
                <w:sz w:val="19"/>
                <w:szCs w:val="19"/>
              </w:rPr>
              <w:t>)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14:paraId="315FAD05" w14:textId="3C76FC0C" w:rsidR="0025036C" w:rsidRPr="0017640D" w:rsidRDefault="0025036C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17640D">
              <w:rPr>
                <w:color w:val="000000" w:themeColor="text1"/>
                <w:sz w:val="19"/>
                <w:szCs w:val="19"/>
              </w:rPr>
              <w:t>-0.0</w:t>
            </w:r>
            <w:r>
              <w:rPr>
                <w:color w:val="000000" w:themeColor="text1"/>
                <w:sz w:val="19"/>
                <w:szCs w:val="19"/>
              </w:rPr>
              <w:t>49</w:t>
            </w:r>
          </w:p>
          <w:p w14:paraId="0EF9BB8D" w14:textId="703DCECF" w:rsidR="0025036C" w:rsidRPr="0017640D" w:rsidRDefault="0025036C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17640D">
              <w:rPr>
                <w:color w:val="000000" w:themeColor="text1"/>
                <w:sz w:val="19"/>
                <w:szCs w:val="19"/>
              </w:rPr>
              <w:t>(0.08</w:t>
            </w:r>
            <w:r>
              <w:rPr>
                <w:color w:val="000000" w:themeColor="text1"/>
                <w:sz w:val="19"/>
                <w:szCs w:val="19"/>
              </w:rPr>
              <w:t>4</w:t>
            </w:r>
            <w:r w:rsidRPr="0017640D">
              <w:rPr>
                <w:color w:val="000000" w:themeColor="text1"/>
                <w:sz w:val="19"/>
                <w:szCs w:val="19"/>
              </w:rPr>
              <w:t>)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vAlign w:val="center"/>
          </w:tcPr>
          <w:p w14:paraId="1D9CD4B6" w14:textId="2C15B068" w:rsidR="0025036C" w:rsidRPr="0017640D" w:rsidRDefault="0025036C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-0.084</w:t>
            </w:r>
          </w:p>
          <w:p w14:paraId="2498FE58" w14:textId="0B41A589" w:rsidR="0025036C" w:rsidRPr="0017640D" w:rsidRDefault="0025036C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(0.091</w:t>
            </w:r>
            <w:r w:rsidRPr="0017640D">
              <w:rPr>
                <w:color w:val="000000" w:themeColor="text1"/>
                <w:sz w:val="19"/>
                <w:szCs w:val="19"/>
              </w:rPr>
              <w:t>)</w:t>
            </w:r>
          </w:p>
        </w:tc>
        <w:tc>
          <w:tcPr>
            <w:tcW w:w="900" w:type="dxa"/>
            <w:gridSpan w:val="2"/>
            <w:tcBorders>
              <w:right w:val="single" w:sz="12" w:space="0" w:color="auto"/>
            </w:tcBorders>
            <w:vAlign w:val="center"/>
          </w:tcPr>
          <w:p w14:paraId="1C62409A" w14:textId="19D97E1E" w:rsidR="0025036C" w:rsidRPr="0017640D" w:rsidRDefault="0025036C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-0.04</w:t>
            </w:r>
            <w:r w:rsidRPr="0017640D">
              <w:rPr>
                <w:color w:val="000000" w:themeColor="text1"/>
                <w:sz w:val="19"/>
                <w:szCs w:val="19"/>
              </w:rPr>
              <w:t>5</w:t>
            </w:r>
          </w:p>
          <w:p w14:paraId="00550421" w14:textId="2D3B82E0" w:rsidR="0025036C" w:rsidRPr="0017640D" w:rsidRDefault="0025036C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(0.085</w:t>
            </w:r>
            <w:r w:rsidRPr="0017640D">
              <w:rPr>
                <w:color w:val="000000" w:themeColor="text1"/>
                <w:sz w:val="19"/>
                <w:szCs w:val="19"/>
              </w:rPr>
              <w:t>)</w:t>
            </w:r>
          </w:p>
        </w:tc>
      </w:tr>
      <w:tr w:rsidR="0025036C" w:rsidRPr="00DB1E85" w14:paraId="6CF456C1" w14:textId="77777777" w:rsidTr="004863D2"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8BE97C" w14:textId="6017BA57" w:rsidR="0025036C" w:rsidRPr="0017640D" w:rsidRDefault="0025036C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17640D">
              <w:rPr>
                <w:color w:val="000000" w:themeColor="text1"/>
                <w:sz w:val="19"/>
                <w:szCs w:val="19"/>
              </w:rPr>
              <w:t>8</w:t>
            </w:r>
          </w:p>
        </w:tc>
        <w:tc>
          <w:tcPr>
            <w:tcW w:w="336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89062C" w14:textId="5A35360D" w:rsidR="0025036C" w:rsidRPr="0017640D" w:rsidRDefault="0025036C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17640D">
              <w:rPr>
                <w:color w:val="000000" w:themeColor="text1"/>
                <w:sz w:val="19"/>
                <w:szCs w:val="19"/>
              </w:rPr>
              <w:t>Bank</w:t>
            </w:r>
            <w:r>
              <w:rPr>
                <w:color w:val="000000" w:themeColor="text1"/>
                <w:sz w:val="19"/>
                <w:szCs w:val="19"/>
              </w:rPr>
              <w:t xml:space="preserve"> </w:t>
            </w:r>
            <w:r w:rsidRPr="0017640D">
              <w:rPr>
                <w:color w:val="000000" w:themeColor="text1"/>
                <w:sz w:val="19"/>
                <w:szCs w:val="19"/>
              </w:rPr>
              <w:t>Actually</w:t>
            </w:r>
            <w:r>
              <w:rPr>
                <w:color w:val="000000" w:themeColor="text1"/>
                <w:sz w:val="19"/>
                <w:szCs w:val="19"/>
              </w:rPr>
              <w:t xml:space="preserve"> </w:t>
            </w:r>
            <w:r w:rsidRPr="0017640D">
              <w:rPr>
                <w:color w:val="000000" w:themeColor="text1"/>
                <w:sz w:val="19"/>
                <w:szCs w:val="19"/>
              </w:rPr>
              <w:t>Borrowed</w:t>
            </w:r>
            <w:r>
              <w:rPr>
                <w:color w:val="000000" w:themeColor="text1"/>
                <w:sz w:val="19"/>
                <w:szCs w:val="19"/>
              </w:rPr>
              <w:t xml:space="preserve"> </w:t>
            </w:r>
            <w:r w:rsidRPr="0017640D">
              <w:rPr>
                <w:color w:val="000000" w:themeColor="text1"/>
                <w:sz w:val="19"/>
                <w:szCs w:val="19"/>
              </w:rPr>
              <w:t>at</w:t>
            </w:r>
            <w:r>
              <w:rPr>
                <w:color w:val="000000" w:themeColor="text1"/>
                <w:sz w:val="19"/>
                <w:szCs w:val="19"/>
              </w:rPr>
              <w:t xml:space="preserve"> </w:t>
            </w:r>
            <w:r w:rsidRPr="0017640D">
              <w:rPr>
                <w:color w:val="000000" w:themeColor="text1"/>
                <w:sz w:val="19"/>
                <w:szCs w:val="19"/>
              </w:rPr>
              <w:t>DW</w:t>
            </w:r>
            <w:r>
              <w:rPr>
                <w:color w:val="000000" w:themeColor="text1"/>
                <w:sz w:val="19"/>
                <w:szCs w:val="19"/>
              </w:rPr>
              <w:t xml:space="preserve"> </w:t>
            </w:r>
            <w:r w:rsidRPr="0017640D">
              <w:rPr>
                <w:color w:val="000000" w:themeColor="text1"/>
                <w:sz w:val="19"/>
                <w:szCs w:val="19"/>
              </w:rPr>
              <w:t>in</w:t>
            </w:r>
            <w:r>
              <w:rPr>
                <w:color w:val="000000" w:themeColor="text1"/>
                <w:sz w:val="19"/>
                <w:szCs w:val="19"/>
              </w:rPr>
              <w:t xml:space="preserve"> </w:t>
            </w:r>
            <w:r w:rsidRPr="0017640D">
              <w:rPr>
                <w:i/>
                <w:color w:val="000000" w:themeColor="text1"/>
                <w:sz w:val="19"/>
                <w:szCs w:val="19"/>
              </w:rPr>
              <w:t>t-1</w:t>
            </w:r>
          </w:p>
          <w:p w14:paraId="3DBEB4CE" w14:textId="7EB62DAA" w:rsidR="0025036C" w:rsidRPr="0017640D" w:rsidRDefault="0025036C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17640D">
              <w:rPr>
                <w:color w:val="000000" w:themeColor="text1"/>
                <w:sz w:val="19"/>
                <w:szCs w:val="19"/>
              </w:rPr>
              <w:t>*</w:t>
            </w:r>
            <w:r>
              <w:rPr>
                <w:color w:val="000000" w:themeColor="text1"/>
                <w:sz w:val="19"/>
                <w:szCs w:val="19"/>
              </w:rPr>
              <w:t xml:space="preserve"> </w:t>
            </w:r>
            <w:r w:rsidRPr="0017640D">
              <w:rPr>
                <w:color w:val="000000" w:themeColor="text1"/>
                <w:sz w:val="19"/>
                <w:szCs w:val="19"/>
              </w:rPr>
              <w:t>Not</w:t>
            </w:r>
            <w:r>
              <w:rPr>
                <w:color w:val="000000" w:themeColor="text1"/>
                <w:sz w:val="19"/>
                <w:szCs w:val="19"/>
              </w:rPr>
              <w:t xml:space="preserve"> </w:t>
            </w:r>
            <w:r w:rsidRPr="0017640D">
              <w:rPr>
                <w:color w:val="000000" w:themeColor="text1"/>
                <w:sz w:val="19"/>
                <w:szCs w:val="19"/>
              </w:rPr>
              <w:t>Detected</w:t>
            </w:r>
          </w:p>
        </w:tc>
        <w:tc>
          <w:tcPr>
            <w:tcW w:w="957" w:type="dxa"/>
            <w:tcBorders>
              <w:left w:val="single" w:sz="12" w:space="0" w:color="auto"/>
            </w:tcBorders>
            <w:vAlign w:val="center"/>
          </w:tcPr>
          <w:p w14:paraId="582B0F1D" w14:textId="2FB047BC" w:rsidR="0025036C" w:rsidRPr="0017640D" w:rsidRDefault="0025036C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__</w:t>
            </w:r>
          </w:p>
        </w:tc>
        <w:tc>
          <w:tcPr>
            <w:tcW w:w="900" w:type="dxa"/>
            <w:gridSpan w:val="2"/>
            <w:tcBorders>
              <w:right w:val="single" w:sz="12" w:space="0" w:color="auto"/>
            </w:tcBorders>
            <w:vAlign w:val="center"/>
          </w:tcPr>
          <w:p w14:paraId="06EFA1EE" w14:textId="1AF677FE" w:rsidR="0025036C" w:rsidRPr="0017640D" w:rsidRDefault="0025036C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__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vAlign w:val="center"/>
          </w:tcPr>
          <w:p w14:paraId="3223EB7F" w14:textId="57D2BA91" w:rsidR="0025036C" w:rsidRPr="0017640D" w:rsidRDefault="0025036C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17640D">
              <w:rPr>
                <w:color w:val="000000" w:themeColor="text1"/>
                <w:sz w:val="19"/>
                <w:szCs w:val="19"/>
              </w:rPr>
              <w:t>0.13</w:t>
            </w:r>
            <w:r>
              <w:rPr>
                <w:color w:val="000000" w:themeColor="text1"/>
                <w:sz w:val="19"/>
                <w:szCs w:val="19"/>
              </w:rPr>
              <w:t>6</w:t>
            </w:r>
            <w:r w:rsidRPr="0017640D">
              <w:rPr>
                <w:color w:val="000000" w:themeColor="text1"/>
                <w:sz w:val="19"/>
                <w:szCs w:val="19"/>
                <w:vertAlign w:val="superscript"/>
              </w:rPr>
              <w:t>**</w:t>
            </w:r>
          </w:p>
          <w:p w14:paraId="270E3E48" w14:textId="032AE88C" w:rsidR="0025036C" w:rsidRPr="0017640D" w:rsidRDefault="0025036C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17640D">
              <w:rPr>
                <w:color w:val="000000" w:themeColor="text1"/>
                <w:sz w:val="19"/>
                <w:szCs w:val="19"/>
              </w:rPr>
              <w:t>(0.057)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14:paraId="0CB41815" w14:textId="772FA7AE" w:rsidR="0025036C" w:rsidRPr="0017640D" w:rsidRDefault="0025036C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17640D">
              <w:rPr>
                <w:color w:val="000000" w:themeColor="text1"/>
                <w:sz w:val="19"/>
                <w:szCs w:val="19"/>
              </w:rPr>
              <w:t>0.13</w:t>
            </w:r>
            <w:r>
              <w:rPr>
                <w:color w:val="000000" w:themeColor="text1"/>
                <w:sz w:val="19"/>
                <w:szCs w:val="19"/>
              </w:rPr>
              <w:t>7</w:t>
            </w:r>
            <w:r w:rsidRPr="0017640D">
              <w:rPr>
                <w:color w:val="000000" w:themeColor="text1"/>
                <w:sz w:val="19"/>
                <w:szCs w:val="19"/>
                <w:vertAlign w:val="superscript"/>
              </w:rPr>
              <w:t>**</w:t>
            </w:r>
          </w:p>
          <w:p w14:paraId="609D3F19" w14:textId="20DE59F2" w:rsidR="0025036C" w:rsidRPr="0017640D" w:rsidRDefault="0025036C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17640D">
              <w:rPr>
                <w:color w:val="000000" w:themeColor="text1"/>
                <w:sz w:val="19"/>
                <w:szCs w:val="19"/>
              </w:rPr>
              <w:t>(0.05</w:t>
            </w:r>
            <w:r>
              <w:rPr>
                <w:color w:val="000000" w:themeColor="text1"/>
                <w:sz w:val="19"/>
                <w:szCs w:val="19"/>
              </w:rPr>
              <w:t>6</w:t>
            </w:r>
            <w:r w:rsidRPr="0017640D">
              <w:rPr>
                <w:color w:val="000000" w:themeColor="text1"/>
                <w:sz w:val="19"/>
                <w:szCs w:val="19"/>
              </w:rPr>
              <w:t>)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vAlign w:val="center"/>
          </w:tcPr>
          <w:p w14:paraId="0B8A8930" w14:textId="4F4307AB" w:rsidR="0025036C" w:rsidRPr="0017640D" w:rsidRDefault="0025036C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17640D">
              <w:rPr>
                <w:color w:val="000000" w:themeColor="text1"/>
                <w:sz w:val="19"/>
                <w:szCs w:val="19"/>
              </w:rPr>
              <w:t>0.11</w:t>
            </w:r>
            <w:r>
              <w:rPr>
                <w:color w:val="000000" w:themeColor="text1"/>
                <w:sz w:val="19"/>
                <w:szCs w:val="19"/>
              </w:rPr>
              <w:t>9</w:t>
            </w:r>
            <w:r w:rsidRPr="0017640D">
              <w:rPr>
                <w:color w:val="000000" w:themeColor="text1"/>
                <w:sz w:val="19"/>
                <w:szCs w:val="19"/>
                <w:vertAlign w:val="superscript"/>
              </w:rPr>
              <w:t>**</w:t>
            </w:r>
          </w:p>
          <w:p w14:paraId="5CBDA784" w14:textId="1C373D1C" w:rsidR="0025036C" w:rsidRPr="0017640D" w:rsidRDefault="0025036C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(0.060</w:t>
            </w:r>
            <w:r w:rsidRPr="0017640D">
              <w:rPr>
                <w:color w:val="000000" w:themeColor="text1"/>
                <w:sz w:val="19"/>
                <w:szCs w:val="19"/>
              </w:rPr>
              <w:t>)</w:t>
            </w:r>
          </w:p>
        </w:tc>
        <w:tc>
          <w:tcPr>
            <w:tcW w:w="900" w:type="dxa"/>
            <w:gridSpan w:val="2"/>
            <w:tcBorders>
              <w:right w:val="single" w:sz="12" w:space="0" w:color="auto"/>
            </w:tcBorders>
            <w:vAlign w:val="center"/>
          </w:tcPr>
          <w:p w14:paraId="72D04BD1" w14:textId="281645EA" w:rsidR="0025036C" w:rsidRPr="0017640D" w:rsidRDefault="0025036C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17640D">
              <w:rPr>
                <w:color w:val="000000" w:themeColor="text1"/>
                <w:sz w:val="19"/>
                <w:szCs w:val="19"/>
              </w:rPr>
              <w:t>0.</w:t>
            </w:r>
            <w:r>
              <w:rPr>
                <w:color w:val="000000" w:themeColor="text1"/>
                <w:sz w:val="19"/>
                <w:szCs w:val="19"/>
              </w:rPr>
              <w:t>108</w:t>
            </w:r>
            <w:r w:rsidRPr="0017640D">
              <w:rPr>
                <w:color w:val="000000" w:themeColor="text1"/>
                <w:sz w:val="19"/>
                <w:szCs w:val="19"/>
                <w:vertAlign w:val="superscript"/>
              </w:rPr>
              <w:t>*</w:t>
            </w:r>
          </w:p>
          <w:p w14:paraId="3BF97B1A" w14:textId="6DC07037" w:rsidR="0025036C" w:rsidRPr="0017640D" w:rsidRDefault="0025036C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(0.058</w:t>
            </w:r>
            <w:r w:rsidRPr="0017640D">
              <w:rPr>
                <w:color w:val="000000" w:themeColor="text1"/>
                <w:sz w:val="19"/>
                <w:szCs w:val="19"/>
              </w:rPr>
              <w:t>)</w:t>
            </w:r>
          </w:p>
        </w:tc>
      </w:tr>
      <w:tr w:rsidR="0025036C" w:rsidRPr="00DB1E85" w14:paraId="7686616F" w14:textId="77777777" w:rsidTr="004863D2"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4B120CC" w14:textId="0C381967" w:rsidR="0025036C" w:rsidRPr="0017640D" w:rsidRDefault="0025036C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17640D">
              <w:rPr>
                <w:color w:val="000000" w:themeColor="text1"/>
                <w:sz w:val="19"/>
                <w:szCs w:val="19"/>
              </w:rPr>
              <w:t>9</w:t>
            </w:r>
          </w:p>
        </w:tc>
        <w:tc>
          <w:tcPr>
            <w:tcW w:w="336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442786" w14:textId="693E2C96" w:rsidR="0025036C" w:rsidRPr="0017640D" w:rsidRDefault="0025036C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17640D">
              <w:rPr>
                <w:color w:val="000000" w:themeColor="text1"/>
                <w:sz w:val="19"/>
                <w:szCs w:val="19"/>
              </w:rPr>
              <w:t>Bank</w:t>
            </w:r>
            <w:r>
              <w:rPr>
                <w:color w:val="000000" w:themeColor="text1"/>
                <w:sz w:val="19"/>
                <w:szCs w:val="19"/>
              </w:rPr>
              <w:t xml:space="preserve"> </w:t>
            </w:r>
            <w:r w:rsidRPr="0017640D">
              <w:rPr>
                <w:color w:val="000000" w:themeColor="text1"/>
                <w:sz w:val="19"/>
                <w:szCs w:val="19"/>
              </w:rPr>
              <w:t>Actually</w:t>
            </w:r>
            <w:r>
              <w:rPr>
                <w:color w:val="000000" w:themeColor="text1"/>
                <w:sz w:val="19"/>
                <w:szCs w:val="19"/>
              </w:rPr>
              <w:t xml:space="preserve"> </w:t>
            </w:r>
            <w:r w:rsidRPr="0017640D">
              <w:rPr>
                <w:color w:val="000000" w:themeColor="text1"/>
                <w:sz w:val="19"/>
                <w:szCs w:val="19"/>
              </w:rPr>
              <w:t>Borrowed</w:t>
            </w:r>
            <w:r>
              <w:rPr>
                <w:color w:val="000000" w:themeColor="text1"/>
                <w:sz w:val="19"/>
                <w:szCs w:val="19"/>
              </w:rPr>
              <w:t xml:space="preserve"> </w:t>
            </w:r>
            <w:r w:rsidRPr="0017640D">
              <w:rPr>
                <w:color w:val="000000" w:themeColor="text1"/>
                <w:sz w:val="19"/>
                <w:szCs w:val="19"/>
              </w:rPr>
              <w:t>at</w:t>
            </w:r>
            <w:r>
              <w:rPr>
                <w:color w:val="000000" w:themeColor="text1"/>
                <w:sz w:val="19"/>
                <w:szCs w:val="19"/>
              </w:rPr>
              <w:t xml:space="preserve"> </w:t>
            </w:r>
            <w:r w:rsidRPr="0017640D">
              <w:rPr>
                <w:color w:val="000000" w:themeColor="text1"/>
                <w:sz w:val="19"/>
                <w:szCs w:val="19"/>
              </w:rPr>
              <w:t>DW</w:t>
            </w:r>
            <w:r>
              <w:rPr>
                <w:color w:val="000000" w:themeColor="text1"/>
                <w:sz w:val="19"/>
                <w:szCs w:val="19"/>
              </w:rPr>
              <w:t xml:space="preserve"> </w:t>
            </w:r>
            <w:r w:rsidRPr="0017640D">
              <w:rPr>
                <w:color w:val="000000" w:themeColor="text1"/>
                <w:sz w:val="19"/>
                <w:szCs w:val="19"/>
              </w:rPr>
              <w:t>in</w:t>
            </w:r>
            <w:r>
              <w:rPr>
                <w:color w:val="000000" w:themeColor="text1"/>
                <w:sz w:val="19"/>
                <w:szCs w:val="19"/>
              </w:rPr>
              <w:t xml:space="preserve"> </w:t>
            </w:r>
            <w:r w:rsidRPr="0017640D">
              <w:rPr>
                <w:i/>
                <w:color w:val="000000" w:themeColor="text1"/>
                <w:sz w:val="19"/>
                <w:szCs w:val="19"/>
              </w:rPr>
              <w:t>t-1</w:t>
            </w:r>
          </w:p>
          <w:p w14:paraId="33AD0B6F" w14:textId="2524667C" w:rsidR="0025036C" w:rsidRPr="0017640D" w:rsidRDefault="0025036C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17640D">
              <w:rPr>
                <w:color w:val="000000" w:themeColor="text1"/>
                <w:sz w:val="19"/>
                <w:szCs w:val="19"/>
              </w:rPr>
              <w:t>*</w:t>
            </w:r>
            <w:r>
              <w:rPr>
                <w:color w:val="000000" w:themeColor="text1"/>
                <w:sz w:val="19"/>
                <w:szCs w:val="19"/>
              </w:rPr>
              <w:t xml:space="preserve"> </w:t>
            </w:r>
            <w:r w:rsidRPr="0017640D">
              <w:rPr>
                <w:color w:val="000000" w:themeColor="text1"/>
                <w:sz w:val="19"/>
                <w:szCs w:val="19"/>
              </w:rPr>
              <w:t>Not</w:t>
            </w:r>
            <w:r>
              <w:rPr>
                <w:color w:val="000000" w:themeColor="text1"/>
                <w:sz w:val="19"/>
                <w:szCs w:val="19"/>
              </w:rPr>
              <w:t xml:space="preserve"> </w:t>
            </w:r>
            <w:r w:rsidRPr="0017640D">
              <w:rPr>
                <w:color w:val="000000" w:themeColor="text1"/>
                <w:sz w:val="19"/>
                <w:szCs w:val="19"/>
              </w:rPr>
              <w:t>Detected</w:t>
            </w:r>
            <w:r>
              <w:rPr>
                <w:color w:val="000000" w:themeColor="text1"/>
                <w:sz w:val="19"/>
                <w:szCs w:val="19"/>
              </w:rPr>
              <w:t xml:space="preserve"> </w:t>
            </w:r>
            <w:r w:rsidRPr="0017640D">
              <w:rPr>
                <w:color w:val="000000" w:themeColor="text1"/>
                <w:sz w:val="19"/>
                <w:szCs w:val="19"/>
              </w:rPr>
              <w:t>*</w:t>
            </w:r>
            <w:r>
              <w:rPr>
                <w:color w:val="000000" w:themeColor="text1"/>
                <w:sz w:val="19"/>
                <w:szCs w:val="19"/>
              </w:rPr>
              <w:t xml:space="preserve"> </w:t>
            </w:r>
            <w:r w:rsidRPr="0017640D">
              <w:rPr>
                <w:color w:val="000000" w:themeColor="text1"/>
                <w:sz w:val="19"/>
                <w:szCs w:val="19"/>
              </w:rPr>
              <w:t>Not</w:t>
            </w:r>
            <w:r>
              <w:rPr>
                <w:color w:val="000000" w:themeColor="text1"/>
                <w:sz w:val="19"/>
                <w:szCs w:val="19"/>
              </w:rPr>
              <w:t xml:space="preserve"> </w:t>
            </w:r>
            <w:r w:rsidRPr="0017640D">
              <w:rPr>
                <w:color w:val="000000" w:themeColor="text1"/>
                <w:sz w:val="19"/>
                <w:szCs w:val="19"/>
              </w:rPr>
              <w:t>Funded</w:t>
            </w:r>
          </w:p>
        </w:tc>
        <w:tc>
          <w:tcPr>
            <w:tcW w:w="957" w:type="dxa"/>
            <w:tcBorders>
              <w:left w:val="single" w:sz="12" w:space="0" w:color="auto"/>
            </w:tcBorders>
            <w:vAlign w:val="center"/>
          </w:tcPr>
          <w:p w14:paraId="109C6D4E" w14:textId="7C661D17" w:rsidR="0025036C" w:rsidRPr="0017640D" w:rsidRDefault="0025036C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__</w:t>
            </w:r>
          </w:p>
        </w:tc>
        <w:tc>
          <w:tcPr>
            <w:tcW w:w="900" w:type="dxa"/>
            <w:gridSpan w:val="2"/>
            <w:tcBorders>
              <w:right w:val="single" w:sz="12" w:space="0" w:color="auto"/>
            </w:tcBorders>
            <w:vAlign w:val="center"/>
          </w:tcPr>
          <w:p w14:paraId="5C1A03DB" w14:textId="7477090B" w:rsidR="0025036C" w:rsidRPr="0017640D" w:rsidRDefault="0025036C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__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vAlign w:val="center"/>
          </w:tcPr>
          <w:p w14:paraId="6D12BD13" w14:textId="262FC303" w:rsidR="0025036C" w:rsidRPr="0017640D" w:rsidRDefault="0025036C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-0.013</w:t>
            </w:r>
          </w:p>
          <w:p w14:paraId="02EC7DEA" w14:textId="6E3B74F8" w:rsidR="0025036C" w:rsidRPr="0017640D" w:rsidRDefault="0025036C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(0.079</w:t>
            </w:r>
            <w:r w:rsidRPr="0017640D">
              <w:rPr>
                <w:color w:val="000000" w:themeColor="text1"/>
                <w:sz w:val="19"/>
                <w:szCs w:val="19"/>
              </w:rPr>
              <w:t>)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14:paraId="55DDAB68" w14:textId="76CDF9A3" w:rsidR="0025036C" w:rsidRPr="0017640D" w:rsidRDefault="0025036C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0.05</w:t>
            </w:r>
            <w:r w:rsidRPr="0017640D">
              <w:rPr>
                <w:color w:val="000000" w:themeColor="text1"/>
                <w:sz w:val="19"/>
                <w:szCs w:val="19"/>
              </w:rPr>
              <w:t>8</w:t>
            </w:r>
          </w:p>
          <w:p w14:paraId="37555912" w14:textId="21272F14" w:rsidR="0025036C" w:rsidRPr="0017640D" w:rsidRDefault="0025036C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(0.078</w:t>
            </w:r>
            <w:r w:rsidRPr="0017640D">
              <w:rPr>
                <w:color w:val="000000" w:themeColor="text1"/>
                <w:sz w:val="19"/>
                <w:szCs w:val="19"/>
              </w:rPr>
              <w:t>)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vAlign w:val="center"/>
          </w:tcPr>
          <w:p w14:paraId="6046D3AA" w14:textId="260E6483" w:rsidR="0025036C" w:rsidRPr="0017640D" w:rsidRDefault="0025036C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-0.022</w:t>
            </w:r>
          </w:p>
          <w:p w14:paraId="18330F94" w14:textId="1064787E" w:rsidR="0025036C" w:rsidRPr="0017640D" w:rsidRDefault="0025036C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(0.079</w:t>
            </w:r>
            <w:r w:rsidRPr="0017640D">
              <w:rPr>
                <w:color w:val="000000" w:themeColor="text1"/>
                <w:sz w:val="19"/>
                <w:szCs w:val="19"/>
              </w:rPr>
              <w:t>)</w:t>
            </w:r>
          </w:p>
        </w:tc>
        <w:tc>
          <w:tcPr>
            <w:tcW w:w="900" w:type="dxa"/>
            <w:gridSpan w:val="2"/>
            <w:tcBorders>
              <w:right w:val="single" w:sz="12" w:space="0" w:color="auto"/>
            </w:tcBorders>
            <w:vAlign w:val="center"/>
          </w:tcPr>
          <w:p w14:paraId="79E96D0A" w14:textId="6288A99A" w:rsidR="0025036C" w:rsidRPr="0017640D" w:rsidRDefault="0025036C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0.062</w:t>
            </w:r>
          </w:p>
          <w:p w14:paraId="0B091564" w14:textId="0DA8B10C" w:rsidR="0025036C" w:rsidRPr="0017640D" w:rsidRDefault="0025036C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(0.080</w:t>
            </w:r>
            <w:r w:rsidRPr="0017640D">
              <w:rPr>
                <w:color w:val="000000" w:themeColor="text1"/>
                <w:sz w:val="19"/>
                <w:szCs w:val="19"/>
              </w:rPr>
              <w:t>)</w:t>
            </w:r>
          </w:p>
        </w:tc>
      </w:tr>
      <w:tr w:rsidR="0025036C" w:rsidRPr="00DB1E85" w14:paraId="1987B501" w14:textId="77777777" w:rsidTr="004863D2">
        <w:tc>
          <w:tcPr>
            <w:tcW w:w="5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54E3CD" w14:textId="4C27B006" w:rsidR="0025036C" w:rsidRPr="0017640D" w:rsidRDefault="0025036C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17640D">
              <w:rPr>
                <w:color w:val="000000" w:themeColor="text1"/>
                <w:sz w:val="19"/>
                <w:szCs w:val="19"/>
              </w:rPr>
              <w:t>10</w:t>
            </w:r>
          </w:p>
        </w:tc>
        <w:tc>
          <w:tcPr>
            <w:tcW w:w="336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B3E857" w14:textId="2513D80E" w:rsidR="0025036C" w:rsidRPr="0017640D" w:rsidRDefault="0025036C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17640D">
              <w:rPr>
                <w:color w:val="000000" w:themeColor="text1"/>
                <w:sz w:val="19"/>
                <w:szCs w:val="19"/>
              </w:rPr>
              <w:t>Bank</w:t>
            </w:r>
            <w:r>
              <w:rPr>
                <w:color w:val="000000" w:themeColor="text1"/>
                <w:sz w:val="19"/>
                <w:szCs w:val="19"/>
              </w:rPr>
              <w:t xml:space="preserve"> </w:t>
            </w:r>
            <w:r w:rsidRPr="0017640D">
              <w:rPr>
                <w:color w:val="000000" w:themeColor="text1"/>
                <w:sz w:val="19"/>
                <w:szCs w:val="19"/>
              </w:rPr>
              <w:t>was</w:t>
            </w:r>
            <w:r>
              <w:rPr>
                <w:color w:val="000000" w:themeColor="text1"/>
                <w:sz w:val="19"/>
                <w:szCs w:val="19"/>
              </w:rPr>
              <w:t xml:space="preserve"> </w:t>
            </w:r>
            <w:r w:rsidRPr="0017640D">
              <w:rPr>
                <w:color w:val="000000" w:themeColor="text1"/>
                <w:sz w:val="19"/>
                <w:szCs w:val="19"/>
              </w:rPr>
              <w:t>Undetectable</w:t>
            </w:r>
            <w:r>
              <w:rPr>
                <w:color w:val="000000" w:themeColor="text1"/>
                <w:sz w:val="19"/>
                <w:szCs w:val="19"/>
              </w:rPr>
              <w:t xml:space="preserve"> </w:t>
            </w:r>
            <w:r w:rsidRPr="0017640D">
              <w:rPr>
                <w:color w:val="000000" w:themeColor="text1"/>
                <w:sz w:val="19"/>
                <w:szCs w:val="19"/>
              </w:rPr>
              <w:t>in</w:t>
            </w:r>
            <w:r>
              <w:rPr>
                <w:color w:val="000000" w:themeColor="text1"/>
                <w:sz w:val="19"/>
                <w:szCs w:val="19"/>
              </w:rPr>
              <w:t xml:space="preserve"> </w:t>
            </w:r>
            <w:r w:rsidRPr="0017640D">
              <w:rPr>
                <w:i/>
                <w:color w:val="000000" w:themeColor="text1"/>
                <w:sz w:val="19"/>
                <w:szCs w:val="19"/>
              </w:rPr>
              <w:t>t-1</w:t>
            </w:r>
            <w:r>
              <w:rPr>
                <w:color w:val="000000" w:themeColor="text1"/>
                <w:sz w:val="19"/>
                <w:szCs w:val="19"/>
              </w:rPr>
              <w:t xml:space="preserve"> </w:t>
            </w:r>
            <w:r w:rsidRPr="0017640D">
              <w:rPr>
                <w:color w:val="000000" w:themeColor="text1"/>
                <w:sz w:val="19"/>
                <w:szCs w:val="19"/>
              </w:rPr>
              <w:t>(i.e.</w:t>
            </w:r>
            <w:r>
              <w:rPr>
                <w:color w:val="000000" w:themeColor="text1"/>
                <w:sz w:val="19"/>
                <w:szCs w:val="19"/>
              </w:rPr>
              <w:t xml:space="preserve"> </w:t>
            </w:r>
            <w:r w:rsidRPr="0017640D">
              <w:rPr>
                <w:color w:val="000000" w:themeColor="text1"/>
                <w:sz w:val="19"/>
                <w:szCs w:val="19"/>
              </w:rPr>
              <w:t>Liquid</w:t>
            </w:r>
            <w:r>
              <w:rPr>
                <w:color w:val="000000" w:themeColor="text1"/>
                <w:sz w:val="19"/>
                <w:szCs w:val="19"/>
              </w:rPr>
              <w:t xml:space="preserve"> </w:t>
            </w:r>
            <w:r w:rsidRPr="0017640D">
              <w:rPr>
                <w:color w:val="000000" w:themeColor="text1"/>
                <w:sz w:val="19"/>
                <w:szCs w:val="19"/>
              </w:rPr>
              <w:t>or</w:t>
            </w:r>
            <w:r>
              <w:rPr>
                <w:color w:val="000000" w:themeColor="text1"/>
                <w:sz w:val="19"/>
                <w:szCs w:val="19"/>
              </w:rPr>
              <w:t xml:space="preserve"> </w:t>
            </w:r>
            <w:r w:rsidRPr="0017640D">
              <w:rPr>
                <w:color w:val="000000" w:themeColor="text1"/>
                <w:sz w:val="19"/>
                <w:szCs w:val="19"/>
              </w:rPr>
              <w:t>did</w:t>
            </w:r>
            <w:r>
              <w:rPr>
                <w:color w:val="000000" w:themeColor="text1"/>
                <w:sz w:val="19"/>
                <w:szCs w:val="19"/>
              </w:rPr>
              <w:t xml:space="preserve"> </w:t>
            </w:r>
            <w:r w:rsidRPr="0017640D">
              <w:rPr>
                <w:color w:val="000000" w:themeColor="text1"/>
                <w:sz w:val="19"/>
                <w:szCs w:val="19"/>
              </w:rPr>
              <w:t>not</w:t>
            </w:r>
            <w:r>
              <w:rPr>
                <w:color w:val="000000" w:themeColor="text1"/>
                <w:sz w:val="19"/>
                <w:szCs w:val="19"/>
              </w:rPr>
              <w:t xml:space="preserve"> </w:t>
            </w:r>
            <w:r w:rsidRPr="0017640D">
              <w:rPr>
                <w:color w:val="000000" w:themeColor="text1"/>
                <w:sz w:val="19"/>
                <w:szCs w:val="19"/>
              </w:rPr>
              <w:t>borrow</w:t>
            </w:r>
            <w:r>
              <w:rPr>
                <w:color w:val="000000" w:themeColor="text1"/>
                <w:sz w:val="19"/>
                <w:szCs w:val="19"/>
              </w:rPr>
              <w:t xml:space="preserve"> </w:t>
            </w:r>
            <w:r w:rsidRPr="0017640D">
              <w:rPr>
                <w:color w:val="000000" w:themeColor="text1"/>
                <w:sz w:val="19"/>
                <w:szCs w:val="19"/>
              </w:rPr>
              <w:t>at</w:t>
            </w:r>
            <w:r>
              <w:rPr>
                <w:color w:val="000000" w:themeColor="text1"/>
                <w:sz w:val="19"/>
                <w:szCs w:val="19"/>
              </w:rPr>
              <w:t xml:space="preserve"> </w:t>
            </w:r>
            <w:r w:rsidRPr="0017640D">
              <w:rPr>
                <w:color w:val="000000" w:themeColor="text1"/>
                <w:sz w:val="19"/>
                <w:szCs w:val="19"/>
              </w:rPr>
              <w:t>DW)</w:t>
            </w:r>
            <w:r>
              <w:rPr>
                <w:color w:val="000000" w:themeColor="text1"/>
                <w:sz w:val="19"/>
                <w:szCs w:val="19"/>
              </w:rPr>
              <w:t xml:space="preserve"> </w:t>
            </w:r>
            <w:r w:rsidRPr="0017640D">
              <w:rPr>
                <w:color w:val="000000" w:themeColor="text1"/>
                <w:sz w:val="19"/>
                <w:szCs w:val="19"/>
              </w:rPr>
              <w:t>*</w:t>
            </w:r>
            <w:r>
              <w:rPr>
                <w:color w:val="000000" w:themeColor="text1"/>
                <w:sz w:val="19"/>
                <w:szCs w:val="19"/>
              </w:rPr>
              <w:t xml:space="preserve"> </w:t>
            </w:r>
            <w:r w:rsidRPr="0017640D">
              <w:rPr>
                <w:color w:val="000000" w:themeColor="text1"/>
                <w:sz w:val="19"/>
                <w:szCs w:val="19"/>
              </w:rPr>
              <w:t>Not</w:t>
            </w:r>
            <w:r>
              <w:rPr>
                <w:color w:val="000000" w:themeColor="text1"/>
                <w:sz w:val="19"/>
                <w:szCs w:val="19"/>
              </w:rPr>
              <w:t xml:space="preserve"> </w:t>
            </w:r>
            <w:r w:rsidRPr="0017640D">
              <w:rPr>
                <w:color w:val="000000" w:themeColor="text1"/>
                <w:sz w:val="19"/>
                <w:szCs w:val="19"/>
              </w:rPr>
              <w:t>funded</w:t>
            </w:r>
            <w:r>
              <w:rPr>
                <w:color w:val="000000" w:themeColor="text1"/>
                <w:sz w:val="19"/>
                <w:szCs w:val="19"/>
              </w:rPr>
              <w:t xml:space="preserve"> </w:t>
            </w:r>
          </w:p>
        </w:tc>
        <w:tc>
          <w:tcPr>
            <w:tcW w:w="9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3E54CA4" w14:textId="15A2D76C" w:rsidR="0025036C" w:rsidRPr="0017640D" w:rsidRDefault="0025036C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__</w:t>
            </w:r>
          </w:p>
        </w:tc>
        <w:tc>
          <w:tcPr>
            <w:tcW w:w="90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EB9ECF1" w14:textId="232EF76B" w:rsidR="0025036C" w:rsidRPr="0017640D" w:rsidRDefault="0025036C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__</w:t>
            </w:r>
          </w:p>
        </w:tc>
        <w:tc>
          <w:tcPr>
            <w:tcW w:w="99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DC3D0B0" w14:textId="779FDB64" w:rsidR="0025036C" w:rsidRPr="0017640D" w:rsidRDefault="0025036C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0.033</w:t>
            </w:r>
          </w:p>
          <w:p w14:paraId="1C29C296" w14:textId="53A85046" w:rsidR="0025036C" w:rsidRPr="0017640D" w:rsidRDefault="0025036C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17640D">
              <w:rPr>
                <w:color w:val="000000" w:themeColor="text1"/>
                <w:sz w:val="19"/>
                <w:szCs w:val="19"/>
              </w:rPr>
              <w:t>(0.0</w:t>
            </w:r>
            <w:r>
              <w:rPr>
                <w:color w:val="000000" w:themeColor="text1"/>
                <w:sz w:val="19"/>
                <w:szCs w:val="19"/>
              </w:rPr>
              <w:t>31</w:t>
            </w:r>
            <w:r w:rsidRPr="0017640D">
              <w:rPr>
                <w:color w:val="000000" w:themeColor="text1"/>
                <w:sz w:val="19"/>
                <w:szCs w:val="19"/>
              </w:rPr>
              <w:t>)</w:t>
            </w:r>
          </w:p>
        </w:tc>
        <w:tc>
          <w:tcPr>
            <w:tcW w:w="90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7F2CB44" w14:textId="4AAC51A6" w:rsidR="0025036C" w:rsidRPr="0017640D" w:rsidRDefault="0025036C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0.048</w:t>
            </w:r>
          </w:p>
          <w:p w14:paraId="60AD2F9D" w14:textId="76920ABB" w:rsidR="0025036C" w:rsidRPr="0017640D" w:rsidRDefault="0025036C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(0.032</w:t>
            </w:r>
            <w:r w:rsidRPr="0017640D">
              <w:rPr>
                <w:color w:val="000000" w:themeColor="text1"/>
                <w:sz w:val="19"/>
                <w:szCs w:val="19"/>
              </w:rPr>
              <w:t>)</w:t>
            </w:r>
          </w:p>
        </w:tc>
        <w:tc>
          <w:tcPr>
            <w:tcW w:w="99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F089105" w14:textId="6055B07D" w:rsidR="0025036C" w:rsidRPr="0017640D" w:rsidRDefault="0025036C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0.029</w:t>
            </w:r>
          </w:p>
          <w:p w14:paraId="36B057BD" w14:textId="171DB6BC" w:rsidR="0025036C" w:rsidRPr="0017640D" w:rsidRDefault="0025036C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17640D">
              <w:rPr>
                <w:color w:val="000000" w:themeColor="text1"/>
                <w:sz w:val="19"/>
                <w:szCs w:val="19"/>
              </w:rPr>
              <w:t>(0.031)</w:t>
            </w:r>
          </w:p>
        </w:tc>
        <w:tc>
          <w:tcPr>
            <w:tcW w:w="90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622CF4B" w14:textId="2CBF88B9" w:rsidR="0025036C" w:rsidRPr="0017640D" w:rsidRDefault="0025036C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0.045</w:t>
            </w:r>
          </w:p>
          <w:p w14:paraId="20773DB9" w14:textId="09BF4BA5" w:rsidR="0025036C" w:rsidRPr="0017640D" w:rsidRDefault="0025036C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17640D">
              <w:rPr>
                <w:color w:val="000000" w:themeColor="text1"/>
                <w:sz w:val="19"/>
                <w:szCs w:val="19"/>
              </w:rPr>
              <w:t>(0.033)</w:t>
            </w:r>
          </w:p>
        </w:tc>
      </w:tr>
      <w:tr w:rsidR="0025036C" w:rsidRPr="00DB1E85" w14:paraId="57F80F62" w14:textId="77777777" w:rsidTr="004863D2">
        <w:tc>
          <w:tcPr>
            <w:tcW w:w="5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637B631" w14:textId="647CC0C4" w:rsidR="0025036C" w:rsidRPr="0017640D" w:rsidRDefault="0025036C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17640D">
              <w:rPr>
                <w:color w:val="000000" w:themeColor="text1"/>
                <w:sz w:val="19"/>
                <w:szCs w:val="19"/>
              </w:rPr>
              <w:t>11</w:t>
            </w:r>
          </w:p>
        </w:tc>
        <w:tc>
          <w:tcPr>
            <w:tcW w:w="336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2552C93" w14:textId="38A6D5F5" w:rsidR="0025036C" w:rsidRPr="0017640D" w:rsidRDefault="0025036C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17640D">
              <w:rPr>
                <w:color w:val="000000" w:themeColor="text1"/>
                <w:sz w:val="19"/>
                <w:szCs w:val="19"/>
              </w:rPr>
              <w:t>Bank</w:t>
            </w:r>
            <w:r>
              <w:rPr>
                <w:color w:val="000000" w:themeColor="text1"/>
                <w:sz w:val="19"/>
                <w:szCs w:val="19"/>
              </w:rPr>
              <w:t xml:space="preserve"> </w:t>
            </w:r>
            <w:r w:rsidRPr="0017640D">
              <w:rPr>
                <w:color w:val="000000" w:themeColor="text1"/>
                <w:sz w:val="19"/>
                <w:szCs w:val="19"/>
              </w:rPr>
              <w:t>was</w:t>
            </w:r>
            <w:r>
              <w:rPr>
                <w:color w:val="000000" w:themeColor="text1"/>
                <w:sz w:val="19"/>
                <w:szCs w:val="19"/>
              </w:rPr>
              <w:t xml:space="preserve"> </w:t>
            </w:r>
            <w:r w:rsidRPr="0017640D">
              <w:rPr>
                <w:color w:val="000000" w:themeColor="text1"/>
                <w:sz w:val="19"/>
                <w:szCs w:val="19"/>
              </w:rPr>
              <w:t>Forced</w:t>
            </w:r>
            <w:r>
              <w:rPr>
                <w:color w:val="000000" w:themeColor="text1"/>
                <w:sz w:val="19"/>
                <w:szCs w:val="19"/>
              </w:rPr>
              <w:t xml:space="preserve"> </w:t>
            </w:r>
            <w:r w:rsidRPr="0017640D">
              <w:rPr>
                <w:color w:val="000000" w:themeColor="text1"/>
                <w:sz w:val="19"/>
                <w:szCs w:val="19"/>
              </w:rPr>
              <w:t>to</w:t>
            </w:r>
            <w:r>
              <w:rPr>
                <w:color w:val="000000" w:themeColor="text1"/>
                <w:sz w:val="19"/>
                <w:szCs w:val="19"/>
              </w:rPr>
              <w:t xml:space="preserve"> </w:t>
            </w:r>
            <w:r w:rsidRPr="0017640D">
              <w:rPr>
                <w:color w:val="000000" w:themeColor="text1"/>
                <w:sz w:val="19"/>
                <w:szCs w:val="19"/>
              </w:rPr>
              <w:t>borrow</w:t>
            </w:r>
            <w:r>
              <w:rPr>
                <w:color w:val="000000" w:themeColor="text1"/>
                <w:sz w:val="19"/>
                <w:szCs w:val="19"/>
              </w:rPr>
              <w:t xml:space="preserve"> </w:t>
            </w:r>
            <w:r w:rsidRPr="0017640D">
              <w:rPr>
                <w:color w:val="000000" w:themeColor="text1"/>
                <w:sz w:val="19"/>
                <w:szCs w:val="19"/>
              </w:rPr>
              <w:t>at</w:t>
            </w:r>
            <w:r>
              <w:rPr>
                <w:color w:val="000000" w:themeColor="text1"/>
                <w:sz w:val="19"/>
                <w:szCs w:val="19"/>
              </w:rPr>
              <w:t xml:space="preserve"> </w:t>
            </w:r>
            <w:r w:rsidRPr="0017640D">
              <w:rPr>
                <w:color w:val="000000" w:themeColor="text1"/>
                <w:sz w:val="19"/>
                <w:szCs w:val="19"/>
              </w:rPr>
              <w:t>DW</w:t>
            </w:r>
            <w:r>
              <w:rPr>
                <w:color w:val="000000" w:themeColor="text1"/>
                <w:sz w:val="19"/>
                <w:szCs w:val="19"/>
              </w:rPr>
              <w:t xml:space="preserve"> </w:t>
            </w:r>
            <w:r w:rsidRPr="0017640D">
              <w:rPr>
                <w:color w:val="000000" w:themeColor="text1"/>
                <w:sz w:val="19"/>
                <w:szCs w:val="19"/>
              </w:rPr>
              <w:t>in</w:t>
            </w:r>
            <w:r>
              <w:rPr>
                <w:color w:val="000000" w:themeColor="text1"/>
                <w:sz w:val="19"/>
                <w:szCs w:val="19"/>
              </w:rPr>
              <w:t xml:space="preserve"> </w:t>
            </w:r>
            <w:r w:rsidRPr="0017640D">
              <w:rPr>
                <w:i/>
                <w:color w:val="000000" w:themeColor="text1"/>
                <w:sz w:val="19"/>
                <w:szCs w:val="19"/>
              </w:rPr>
              <w:t>t-1</w:t>
            </w:r>
          </w:p>
          <w:p w14:paraId="389BD4C6" w14:textId="662EFB46" w:rsidR="0025036C" w:rsidRPr="0017640D" w:rsidRDefault="0025036C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17640D">
              <w:rPr>
                <w:color w:val="000000" w:themeColor="text1"/>
                <w:sz w:val="19"/>
                <w:szCs w:val="19"/>
              </w:rPr>
              <w:t>*</w:t>
            </w:r>
            <w:r>
              <w:rPr>
                <w:color w:val="000000" w:themeColor="text1"/>
                <w:sz w:val="19"/>
                <w:szCs w:val="19"/>
              </w:rPr>
              <w:t xml:space="preserve"> </w:t>
            </w:r>
            <w:r w:rsidRPr="0017640D">
              <w:rPr>
                <w:color w:val="000000" w:themeColor="text1"/>
                <w:sz w:val="19"/>
                <w:szCs w:val="19"/>
              </w:rPr>
              <w:t>Detected</w:t>
            </w:r>
          </w:p>
        </w:tc>
        <w:tc>
          <w:tcPr>
            <w:tcW w:w="95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D3E93CF" w14:textId="5BD68BA7" w:rsidR="0025036C" w:rsidRPr="0017640D" w:rsidRDefault="0025036C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__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4B94AE8" w14:textId="50B85FF5" w:rsidR="0025036C" w:rsidRPr="0017640D" w:rsidRDefault="0025036C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__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37B96E7" w14:textId="7C8F1825" w:rsidR="0025036C" w:rsidRPr="0017640D" w:rsidRDefault="0025036C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-0.138</w:t>
            </w:r>
          </w:p>
          <w:p w14:paraId="3758CFB2" w14:textId="0C01A330" w:rsidR="0025036C" w:rsidRPr="0017640D" w:rsidRDefault="0025036C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(0.134</w:t>
            </w:r>
            <w:r w:rsidRPr="0017640D">
              <w:rPr>
                <w:color w:val="000000" w:themeColor="text1"/>
                <w:sz w:val="19"/>
                <w:szCs w:val="19"/>
              </w:rPr>
              <w:t>)</w:t>
            </w:r>
          </w:p>
        </w:tc>
        <w:tc>
          <w:tcPr>
            <w:tcW w:w="9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371E7B2" w14:textId="324D1EE2" w:rsidR="0025036C" w:rsidRPr="0017640D" w:rsidRDefault="0025036C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-0.126</w:t>
            </w:r>
          </w:p>
          <w:p w14:paraId="4A219BBD" w14:textId="38253B05" w:rsidR="0025036C" w:rsidRPr="0017640D" w:rsidRDefault="0025036C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(0.123</w:t>
            </w:r>
            <w:r w:rsidRPr="0017640D">
              <w:rPr>
                <w:color w:val="000000" w:themeColor="text1"/>
                <w:sz w:val="19"/>
                <w:szCs w:val="19"/>
              </w:rPr>
              <w:t>)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6607163" w14:textId="1A3D7730" w:rsidR="0025036C" w:rsidRPr="0017640D" w:rsidRDefault="0025036C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-0.14</w:t>
            </w:r>
            <w:r w:rsidRPr="0017640D">
              <w:rPr>
                <w:color w:val="000000" w:themeColor="text1"/>
                <w:sz w:val="19"/>
                <w:szCs w:val="19"/>
              </w:rPr>
              <w:t>0</w:t>
            </w:r>
          </w:p>
          <w:p w14:paraId="3CEAA0A2" w14:textId="093B3E4F" w:rsidR="0025036C" w:rsidRPr="0017640D" w:rsidRDefault="0025036C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17640D">
              <w:rPr>
                <w:color w:val="000000" w:themeColor="text1"/>
                <w:sz w:val="19"/>
                <w:szCs w:val="19"/>
              </w:rPr>
              <w:t>(0.137)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0212D23" w14:textId="215420DA" w:rsidR="0025036C" w:rsidRPr="0017640D" w:rsidRDefault="0025036C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-0.131</w:t>
            </w:r>
          </w:p>
          <w:p w14:paraId="63CD59BA" w14:textId="4EE45198" w:rsidR="0025036C" w:rsidRPr="0017640D" w:rsidRDefault="0025036C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(0.124</w:t>
            </w:r>
            <w:r w:rsidRPr="0017640D">
              <w:rPr>
                <w:color w:val="000000" w:themeColor="text1"/>
                <w:sz w:val="19"/>
                <w:szCs w:val="19"/>
              </w:rPr>
              <w:t>)</w:t>
            </w:r>
          </w:p>
        </w:tc>
      </w:tr>
      <w:tr w:rsidR="0025036C" w:rsidRPr="00DB1E85" w14:paraId="68C6B4C1" w14:textId="77777777" w:rsidTr="004863D2"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730222" w14:textId="0236D700" w:rsidR="0025036C" w:rsidRPr="0017640D" w:rsidRDefault="0025036C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17640D">
              <w:rPr>
                <w:color w:val="000000" w:themeColor="text1"/>
                <w:sz w:val="19"/>
                <w:szCs w:val="19"/>
              </w:rPr>
              <w:t>12</w:t>
            </w:r>
          </w:p>
        </w:tc>
        <w:tc>
          <w:tcPr>
            <w:tcW w:w="336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25C2E4" w14:textId="0CF53A89" w:rsidR="0025036C" w:rsidRPr="0017640D" w:rsidRDefault="0025036C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17640D">
              <w:rPr>
                <w:color w:val="000000" w:themeColor="text1"/>
                <w:sz w:val="19"/>
                <w:szCs w:val="19"/>
              </w:rPr>
              <w:t>Bank</w:t>
            </w:r>
            <w:r>
              <w:rPr>
                <w:color w:val="000000" w:themeColor="text1"/>
                <w:sz w:val="19"/>
                <w:szCs w:val="19"/>
              </w:rPr>
              <w:t xml:space="preserve"> </w:t>
            </w:r>
            <w:r w:rsidRPr="0017640D">
              <w:rPr>
                <w:color w:val="000000" w:themeColor="text1"/>
                <w:sz w:val="19"/>
                <w:szCs w:val="19"/>
              </w:rPr>
              <w:t>was</w:t>
            </w:r>
            <w:r>
              <w:rPr>
                <w:color w:val="000000" w:themeColor="text1"/>
                <w:sz w:val="19"/>
                <w:szCs w:val="19"/>
              </w:rPr>
              <w:t xml:space="preserve"> </w:t>
            </w:r>
            <w:r w:rsidRPr="0017640D">
              <w:rPr>
                <w:color w:val="000000" w:themeColor="text1"/>
                <w:sz w:val="19"/>
                <w:szCs w:val="19"/>
              </w:rPr>
              <w:t>Forced</w:t>
            </w:r>
            <w:r>
              <w:rPr>
                <w:color w:val="000000" w:themeColor="text1"/>
                <w:sz w:val="19"/>
                <w:szCs w:val="19"/>
              </w:rPr>
              <w:t xml:space="preserve"> </w:t>
            </w:r>
            <w:r w:rsidRPr="0017640D">
              <w:rPr>
                <w:color w:val="000000" w:themeColor="text1"/>
                <w:sz w:val="19"/>
                <w:szCs w:val="19"/>
              </w:rPr>
              <w:t>to</w:t>
            </w:r>
            <w:r>
              <w:rPr>
                <w:color w:val="000000" w:themeColor="text1"/>
                <w:sz w:val="19"/>
                <w:szCs w:val="19"/>
              </w:rPr>
              <w:t xml:space="preserve"> </w:t>
            </w:r>
            <w:r w:rsidRPr="0017640D">
              <w:rPr>
                <w:color w:val="000000" w:themeColor="text1"/>
                <w:sz w:val="19"/>
                <w:szCs w:val="19"/>
              </w:rPr>
              <w:t>borrow</w:t>
            </w:r>
            <w:r>
              <w:rPr>
                <w:color w:val="000000" w:themeColor="text1"/>
                <w:sz w:val="19"/>
                <w:szCs w:val="19"/>
              </w:rPr>
              <w:t xml:space="preserve"> </w:t>
            </w:r>
            <w:r w:rsidRPr="0017640D">
              <w:rPr>
                <w:color w:val="000000" w:themeColor="text1"/>
                <w:sz w:val="19"/>
                <w:szCs w:val="19"/>
              </w:rPr>
              <w:t>at</w:t>
            </w:r>
            <w:r>
              <w:rPr>
                <w:color w:val="000000" w:themeColor="text1"/>
                <w:sz w:val="19"/>
                <w:szCs w:val="19"/>
              </w:rPr>
              <w:t xml:space="preserve"> </w:t>
            </w:r>
            <w:r w:rsidRPr="0017640D">
              <w:rPr>
                <w:color w:val="000000" w:themeColor="text1"/>
                <w:sz w:val="19"/>
                <w:szCs w:val="19"/>
              </w:rPr>
              <w:t>DW</w:t>
            </w:r>
            <w:r>
              <w:rPr>
                <w:color w:val="000000" w:themeColor="text1"/>
                <w:sz w:val="19"/>
                <w:szCs w:val="19"/>
              </w:rPr>
              <w:t xml:space="preserve"> </w:t>
            </w:r>
            <w:r w:rsidRPr="0017640D">
              <w:rPr>
                <w:color w:val="000000" w:themeColor="text1"/>
                <w:sz w:val="19"/>
                <w:szCs w:val="19"/>
              </w:rPr>
              <w:t>in</w:t>
            </w:r>
            <w:r>
              <w:rPr>
                <w:color w:val="000000" w:themeColor="text1"/>
                <w:sz w:val="19"/>
                <w:szCs w:val="19"/>
              </w:rPr>
              <w:t xml:space="preserve"> </w:t>
            </w:r>
            <w:r w:rsidRPr="0017640D">
              <w:rPr>
                <w:i/>
                <w:color w:val="000000" w:themeColor="text1"/>
                <w:sz w:val="19"/>
                <w:szCs w:val="19"/>
              </w:rPr>
              <w:t>t-1</w:t>
            </w:r>
          </w:p>
          <w:p w14:paraId="50B29E49" w14:textId="19386A1D" w:rsidR="0025036C" w:rsidRPr="0017640D" w:rsidRDefault="0025036C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17640D">
              <w:rPr>
                <w:color w:val="000000" w:themeColor="text1"/>
                <w:sz w:val="19"/>
                <w:szCs w:val="19"/>
              </w:rPr>
              <w:t>*</w:t>
            </w:r>
            <w:r>
              <w:rPr>
                <w:color w:val="000000" w:themeColor="text1"/>
                <w:sz w:val="19"/>
                <w:szCs w:val="19"/>
              </w:rPr>
              <w:t xml:space="preserve"> </w:t>
            </w:r>
            <w:r w:rsidRPr="0017640D">
              <w:rPr>
                <w:color w:val="000000" w:themeColor="text1"/>
                <w:sz w:val="19"/>
                <w:szCs w:val="19"/>
              </w:rPr>
              <w:t>Detected</w:t>
            </w:r>
            <w:r>
              <w:rPr>
                <w:color w:val="000000" w:themeColor="text1"/>
                <w:sz w:val="19"/>
                <w:szCs w:val="19"/>
              </w:rPr>
              <w:t xml:space="preserve"> </w:t>
            </w:r>
            <w:r w:rsidRPr="0017640D">
              <w:rPr>
                <w:color w:val="000000" w:themeColor="text1"/>
                <w:sz w:val="19"/>
                <w:szCs w:val="19"/>
              </w:rPr>
              <w:t>*</w:t>
            </w:r>
            <w:r>
              <w:rPr>
                <w:color w:val="000000" w:themeColor="text1"/>
                <w:sz w:val="19"/>
                <w:szCs w:val="19"/>
              </w:rPr>
              <w:t xml:space="preserve"> </w:t>
            </w:r>
            <w:r w:rsidRPr="0017640D">
              <w:rPr>
                <w:color w:val="000000" w:themeColor="text1"/>
                <w:sz w:val="19"/>
                <w:szCs w:val="19"/>
              </w:rPr>
              <w:t>Not</w:t>
            </w:r>
            <w:r>
              <w:rPr>
                <w:color w:val="000000" w:themeColor="text1"/>
                <w:sz w:val="19"/>
                <w:szCs w:val="19"/>
              </w:rPr>
              <w:t xml:space="preserve"> </w:t>
            </w:r>
            <w:r w:rsidRPr="0017640D">
              <w:rPr>
                <w:color w:val="000000" w:themeColor="text1"/>
                <w:sz w:val="19"/>
                <w:szCs w:val="19"/>
              </w:rPr>
              <w:t>Funded</w:t>
            </w:r>
          </w:p>
        </w:tc>
        <w:tc>
          <w:tcPr>
            <w:tcW w:w="957" w:type="dxa"/>
            <w:tcBorders>
              <w:left w:val="single" w:sz="12" w:space="0" w:color="auto"/>
            </w:tcBorders>
            <w:vAlign w:val="center"/>
          </w:tcPr>
          <w:p w14:paraId="6F6F414A" w14:textId="33E72E9C" w:rsidR="0025036C" w:rsidRPr="0017640D" w:rsidRDefault="0025036C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__</w:t>
            </w:r>
          </w:p>
        </w:tc>
        <w:tc>
          <w:tcPr>
            <w:tcW w:w="900" w:type="dxa"/>
            <w:gridSpan w:val="2"/>
            <w:tcBorders>
              <w:right w:val="single" w:sz="12" w:space="0" w:color="auto"/>
            </w:tcBorders>
            <w:vAlign w:val="center"/>
          </w:tcPr>
          <w:p w14:paraId="1A28ADDE" w14:textId="411E8CC3" w:rsidR="0025036C" w:rsidRPr="0017640D" w:rsidRDefault="0025036C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__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vAlign w:val="center"/>
          </w:tcPr>
          <w:p w14:paraId="25A2EC66" w14:textId="60077452" w:rsidR="0025036C" w:rsidRPr="0017640D" w:rsidRDefault="0025036C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-0.035</w:t>
            </w:r>
          </w:p>
          <w:p w14:paraId="7653DB38" w14:textId="4543DA2A" w:rsidR="0025036C" w:rsidRPr="0017640D" w:rsidRDefault="0025036C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(0.164</w:t>
            </w:r>
            <w:r w:rsidRPr="0017640D">
              <w:rPr>
                <w:color w:val="000000" w:themeColor="text1"/>
                <w:sz w:val="19"/>
                <w:szCs w:val="19"/>
              </w:rPr>
              <w:t>)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14:paraId="60C9078D" w14:textId="510C088D" w:rsidR="0025036C" w:rsidRPr="0017640D" w:rsidRDefault="0025036C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-0.231</w:t>
            </w:r>
          </w:p>
          <w:p w14:paraId="539E5B1B" w14:textId="5E960F7F" w:rsidR="0025036C" w:rsidRPr="0017640D" w:rsidRDefault="0025036C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(0.147</w:t>
            </w:r>
            <w:r w:rsidRPr="0017640D">
              <w:rPr>
                <w:color w:val="000000" w:themeColor="text1"/>
                <w:sz w:val="19"/>
                <w:szCs w:val="19"/>
              </w:rPr>
              <w:t>)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vAlign w:val="center"/>
          </w:tcPr>
          <w:p w14:paraId="7D1A0401" w14:textId="5AB2EF4E" w:rsidR="0025036C" w:rsidRPr="0017640D" w:rsidRDefault="0025036C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-0.015</w:t>
            </w:r>
          </w:p>
          <w:p w14:paraId="6A189B76" w14:textId="5035AED2" w:rsidR="0025036C" w:rsidRPr="0017640D" w:rsidRDefault="0025036C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17640D">
              <w:rPr>
                <w:color w:val="000000" w:themeColor="text1"/>
                <w:sz w:val="19"/>
                <w:szCs w:val="19"/>
              </w:rPr>
              <w:t>(0.166)</w:t>
            </w:r>
          </w:p>
        </w:tc>
        <w:tc>
          <w:tcPr>
            <w:tcW w:w="900" w:type="dxa"/>
            <w:gridSpan w:val="2"/>
            <w:tcBorders>
              <w:right w:val="single" w:sz="12" w:space="0" w:color="auto"/>
            </w:tcBorders>
            <w:vAlign w:val="center"/>
          </w:tcPr>
          <w:p w14:paraId="4D10FCDF" w14:textId="18918EE3" w:rsidR="0025036C" w:rsidRPr="0017640D" w:rsidRDefault="0025036C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-0.216</w:t>
            </w:r>
          </w:p>
          <w:p w14:paraId="1FC1CC48" w14:textId="34B8D13D" w:rsidR="0025036C" w:rsidRPr="0017640D" w:rsidRDefault="0025036C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(0.148</w:t>
            </w:r>
            <w:r w:rsidRPr="0017640D">
              <w:rPr>
                <w:color w:val="000000" w:themeColor="text1"/>
                <w:sz w:val="19"/>
                <w:szCs w:val="19"/>
              </w:rPr>
              <w:t>)</w:t>
            </w:r>
          </w:p>
        </w:tc>
      </w:tr>
      <w:tr w:rsidR="0025036C" w:rsidRPr="00DB1E85" w14:paraId="26C82B6B" w14:textId="77777777" w:rsidTr="004863D2">
        <w:tc>
          <w:tcPr>
            <w:tcW w:w="54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113EB6" w14:textId="7670B4F6" w:rsidR="0025036C" w:rsidRPr="0017640D" w:rsidRDefault="0025036C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17640D">
              <w:rPr>
                <w:color w:val="000000" w:themeColor="text1"/>
                <w:sz w:val="19"/>
                <w:szCs w:val="19"/>
              </w:rPr>
              <w:t>13</w:t>
            </w:r>
          </w:p>
        </w:tc>
        <w:tc>
          <w:tcPr>
            <w:tcW w:w="3363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9F837D" w14:textId="1C4EACD8" w:rsidR="0025036C" w:rsidRPr="0017640D" w:rsidRDefault="0025036C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17640D">
              <w:rPr>
                <w:color w:val="000000" w:themeColor="text1"/>
                <w:sz w:val="19"/>
                <w:szCs w:val="19"/>
              </w:rPr>
              <w:t>Bank</w:t>
            </w:r>
            <w:r>
              <w:rPr>
                <w:color w:val="000000" w:themeColor="text1"/>
                <w:sz w:val="19"/>
                <w:szCs w:val="19"/>
              </w:rPr>
              <w:t xml:space="preserve"> </w:t>
            </w:r>
            <w:r w:rsidRPr="0017640D">
              <w:rPr>
                <w:color w:val="000000" w:themeColor="text1"/>
                <w:sz w:val="19"/>
                <w:szCs w:val="19"/>
              </w:rPr>
              <w:t>was</w:t>
            </w:r>
            <w:r>
              <w:rPr>
                <w:color w:val="000000" w:themeColor="text1"/>
                <w:sz w:val="19"/>
                <w:szCs w:val="19"/>
              </w:rPr>
              <w:t xml:space="preserve"> </w:t>
            </w:r>
            <w:r w:rsidRPr="0017640D">
              <w:rPr>
                <w:color w:val="000000" w:themeColor="text1"/>
                <w:sz w:val="19"/>
                <w:szCs w:val="19"/>
              </w:rPr>
              <w:t>Forced</w:t>
            </w:r>
            <w:r>
              <w:rPr>
                <w:color w:val="000000" w:themeColor="text1"/>
                <w:sz w:val="19"/>
                <w:szCs w:val="19"/>
              </w:rPr>
              <w:t xml:space="preserve"> </w:t>
            </w:r>
            <w:r w:rsidRPr="0017640D">
              <w:rPr>
                <w:color w:val="000000" w:themeColor="text1"/>
                <w:sz w:val="19"/>
                <w:szCs w:val="19"/>
              </w:rPr>
              <w:t>to</w:t>
            </w:r>
            <w:r>
              <w:rPr>
                <w:color w:val="000000" w:themeColor="text1"/>
                <w:sz w:val="19"/>
                <w:szCs w:val="19"/>
              </w:rPr>
              <w:t xml:space="preserve"> </w:t>
            </w:r>
            <w:r w:rsidRPr="0017640D">
              <w:rPr>
                <w:color w:val="000000" w:themeColor="text1"/>
                <w:sz w:val="19"/>
                <w:szCs w:val="19"/>
              </w:rPr>
              <w:t>borrow</w:t>
            </w:r>
            <w:r>
              <w:rPr>
                <w:color w:val="000000" w:themeColor="text1"/>
                <w:sz w:val="19"/>
                <w:szCs w:val="19"/>
              </w:rPr>
              <w:t xml:space="preserve"> </w:t>
            </w:r>
            <w:r w:rsidRPr="0017640D">
              <w:rPr>
                <w:color w:val="000000" w:themeColor="text1"/>
                <w:sz w:val="19"/>
                <w:szCs w:val="19"/>
              </w:rPr>
              <w:t>at</w:t>
            </w:r>
            <w:r>
              <w:rPr>
                <w:color w:val="000000" w:themeColor="text1"/>
                <w:sz w:val="19"/>
                <w:szCs w:val="19"/>
              </w:rPr>
              <w:t xml:space="preserve"> </w:t>
            </w:r>
            <w:r w:rsidRPr="0017640D">
              <w:rPr>
                <w:color w:val="000000" w:themeColor="text1"/>
                <w:sz w:val="19"/>
                <w:szCs w:val="19"/>
              </w:rPr>
              <w:t>DW</w:t>
            </w:r>
            <w:r>
              <w:rPr>
                <w:color w:val="000000" w:themeColor="text1"/>
                <w:sz w:val="19"/>
                <w:szCs w:val="19"/>
              </w:rPr>
              <w:t xml:space="preserve"> </w:t>
            </w:r>
            <w:r w:rsidRPr="0017640D">
              <w:rPr>
                <w:color w:val="000000" w:themeColor="text1"/>
                <w:sz w:val="19"/>
                <w:szCs w:val="19"/>
              </w:rPr>
              <w:t>in</w:t>
            </w:r>
            <w:r>
              <w:rPr>
                <w:color w:val="000000" w:themeColor="text1"/>
                <w:sz w:val="19"/>
                <w:szCs w:val="19"/>
              </w:rPr>
              <w:t xml:space="preserve"> </w:t>
            </w:r>
            <w:r w:rsidRPr="0017640D">
              <w:rPr>
                <w:i/>
                <w:color w:val="000000" w:themeColor="text1"/>
                <w:sz w:val="19"/>
                <w:szCs w:val="19"/>
              </w:rPr>
              <w:t>t-1</w:t>
            </w:r>
          </w:p>
          <w:p w14:paraId="6C84352A" w14:textId="0CCB4950" w:rsidR="0025036C" w:rsidRPr="0017640D" w:rsidRDefault="0025036C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17640D">
              <w:rPr>
                <w:color w:val="000000" w:themeColor="text1"/>
                <w:sz w:val="19"/>
                <w:szCs w:val="19"/>
              </w:rPr>
              <w:t>*</w:t>
            </w:r>
            <w:r>
              <w:rPr>
                <w:color w:val="000000" w:themeColor="text1"/>
                <w:sz w:val="19"/>
                <w:szCs w:val="19"/>
              </w:rPr>
              <w:t xml:space="preserve"> </w:t>
            </w:r>
            <w:r w:rsidRPr="0017640D">
              <w:rPr>
                <w:color w:val="000000" w:themeColor="text1"/>
                <w:sz w:val="19"/>
                <w:szCs w:val="19"/>
              </w:rPr>
              <w:t>Not</w:t>
            </w:r>
            <w:r>
              <w:rPr>
                <w:color w:val="000000" w:themeColor="text1"/>
                <w:sz w:val="19"/>
                <w:szCs w:val="19"/>
              </w:rPr>
              <w:t xml:space="preserve"> </w:t>
            </w:r>
            <w:r w:rsidRPr="0017640D">
              <w:rPr>
                <w:color w:val="000000" w:themeColor="text1"/>
                <w:sz w:val="19"/>
                <w:szCs w:val="19"/>
              </w:rPr>
              <w:t>Detected</w:t>
            </w:r>
          </w:p>
        </w:tc>
        <w:tc>
          <w:tcPr>
            <w:tcW w:w="95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6F875AF" w14:textId="4C0AE3BD" w:rsidR="0025036C" w:rsidRPr="0017640D" w:rsidRDefault="0025036C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__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4C783EE" w14:textId="58CFADC3" w:rsidR="0025036C" w:rsidRPr="0017640D" w:rsidRDefault="0025036C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__</w:t>
            </w:r>
          </w:p>
        </w:tc>
        <w:tc>
          <w:tcPr>
            <w:tcW w:w="99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51D14A2" w14:textId="69D5B84F" w:rsidR="0025036C" w:rsidRPr="0017640D" w:rsidRDefault="0025036C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17640D">
              <w:rPr>
                <w:color w:val="000000" w:themeColor="text1"/>
                <w:sz w:val="19"/>
                <w:szCs w:val="19"/>
              </w:rPr>
              <w:t>0.3</w:t>
            </w:r>
            <w:r>
              <w:rPr>
                <w:color w:val="000000" w:themeColor="text1"/>
                <w:sz w:val="19"/>
                <w:szCs w:val="19"/>
              </w:rPr>
              <w:t>53</w:t>
            </w:r>
            <w:r w:rsidRPr="0017640D">
              <w:rPr>
                <w:color w:val="000000" w:themeColor="text1"/>
                <w:sz w:val="19"/>
                <w:szCs w:val="19"/>
                <w:vertAlign w:val="superscript"/>
              </w:rPr>
              <w:t>***</w:t>
            </w:r>
          </w:p>
          <w:p w14:paraId="17AD5628" w14:textId="28EDB941" w:rsidR="0025036C" w:rsidRPr="0017640D" w:rsidRDefault="0025036C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(0.074</w:t>
            </w:r>
            <w:r w:rsidRPr="0017640D">
              <w:rPr>
                <w:color w:val="000000" w:themeColor="text1"/>
                <w:sz w:val="19"/>
                <w:szCs w:val="19"/>
              </w:rPr>
              <w:t>)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7F71F5B" w14:textId="00D50355" w:rsidR="0025036C" w:rsidRPr="0017640D" w:rsidRDefault="0025036C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17640D">
              <w:rPr>
                <w:color w:val="000000" w:themeColor="text1"/>
                <w:sz w:val="19"/>
                <w:szCs w:val="19"/>
              </w:rPr>
              <w:t>0.3</w:t>
            </w:r>
            <w:r>
              <w:rPr>
                <w:color w:val="000000" w:themeColor="text1"/>
                <w:sz w:val="19"/>
                <w:szCs w:val="19"/>
              </w:rPr>
              <w:t>57</w:t>
            </w:r>
            <w:r w:rsidRPr="0017640D">
              <w:rPr>
                <w:color w:val="000000" w:themeColor="text1"/>
                <w:sz w:val="19"/>
                <w:szCs w:val="19"/>
                <w:vertAlign w:val="superscript"/>
              </w:rPr>
              <w:t>***</w:t>
            </w:r>
          </w:p>
          <w:p w14:paraId="74020A0E" w14:textId="528552AC" w:rsidR="0025036C" w:rsidRPr="0017640D" w:rsidRDefault="0025036C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(0.081</w:t>
            </w:r>
            <w:r w:rsidRPr="0017640D">
              <w:rPr>
                <w:color w:val="000000" w:themeColor="text1"/>
                <w:sz w:val="19"/>
                <w:szCs w:val="19"/>
              </w:rPr>
              <w:t>)</w:t>
            </w:r>
          </w:p>
        </w:tc>
        <w:tc>
          <w:tcPr>
            <w:tcW w:w="99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D48B3CD" w14:textId="5BD93A70" w:rsidR="0025036C" w:rsidRPr="0017640D" w:rsidRDefault="0025036C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0.3</w:t>
            </w:r>
            <w:r w:rsidRPr="0017640D">
              <w:rPr>
                <w:color w:val="000000" w:themeColor="text1"/>
                <w:sz w:val="19"/>
                <w:szCs w:val="19"/>
              </w:rPr>
              <w:t>7</w:t>
            </w:r>
            <w:r>
              <w:rPr>
                <w:color w:val="000000" w:themeColor="text1"/>
                <w:sz w:val="19"/>
                <w:szCs w:val="19"/>
              </w:rPr>
              <w:t>0</w:t>
            </w:r>
            <w:r w:rsidRPr="0017640D">
              <w:rPr>
                <w:color w:val="000000" w:themeColor="text1"/>
                <w:sz w:val="19"/>
                <w:szCs w:val="19"/>
                <w:vertAlign w:val="superscript"/>
              </w:rPr>
              <w:t>***</w:t>
            </w:r>
          </w:p>
          <w:p w14:paraId="39266490" w14:textId="22527C7D" w:rsidR="0025036C" w:rsidRPr="0017640D" w:rsidRDefault="0025036C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(0.077</w:t>
            </w:r>
            <w:r w:rsidRPr="0017640D">
              <w:rPr>
                <w:color w:val="000000" w:themeColor="text1"/>
                <w:sz w:val="19"/>
                <w:szCs w:val="19"/>
              </w:rPr>
              <w:t>)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0ECBEC8" w14:textId="59AC8C71" w:rsidR="0025036C" w:rsidRPr="0017640D" w:rsidRDefault="0025036C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0.37</w:t>
            </w:r>
            <w:r w:rsidRPr="0017640D">
              <w:rPr>
                <w:color w:val="000000" w:themeColor="text1"/>
                <w:sz w:val="19"/>
                <w:szCs w:val="19"/>
              </w:rPr>
              <w:t>2</w:t>
            </w:r>
            <w:r w:rsidRPr="0017640D">
              <w:rPr>
                <w:color w:val="000000" w:themeColor="text1"/>
                <w:sz w:val="19"/>
                <w:szCs w:val="19"/>
                <w:vertAlign w:val="superscript"/>
              </w:rPr>
              <w:t>***</w:t>
            </w:r>
          </w:p>
          <w:p w14:paraId="655FC9A8" w14:textId="73627C9B" w:rsidR="0025036C" w:rsidRPr="0017640D" w:rsidRDefault="0025036C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(0.090</w:t>
            </w:r>
            <w:r w:rsidRPr="0017640D">
              <w:rPr>
                <w:color w:val="000000" w:themeColor="text1"/>
                <w:sz w:val="19"/>
                <w:szCs w:val="19"/>
              </w:rPr>
              <w:t>)</w:t>
            </w:r>
          </w:p>
        </w:tc>
      </w:tr>
      <w:tr w:rsidR="0025036C" w:rsidRPr="00DB1E85" w14:paraId="3AD06111" w14:textId="77777777" w:rsidTr="004863D2">
        <w:tc>
          <w:tcPr>
            <w:tcW w:w="5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36653C" w14:textId="63382AB8" w:rsidR="0025036C" w:rsidRPr="0017640D" w:rsidRDefault="0025036C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17640D">
              <w:rPr>
                <w:color w:val="000000" w:themeColor="text1"/>
                <w:sz w:val="19"/>
                <w:szCs w:val="19"/>
              </w:rPr>
              <w:t>14</w:t>
            </w:r>
          </w:p>
        </w:tc>
        <w:tc>
          <w:tcPr>
            <w:tcW w:w="336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D6A5F0" w14:textId="7A474947" w:rsidR="0025036C" w:rsidRPr="0017640D" w:rsidRDefault="0025036C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17640D">
              <w:rPr>
                <w:color w:val="000000" w:themeColor="text1"/>
                <w:sz w:val="19"/>
                <w:szCs w:val="19"/>
              </w:rPr>
              <w:t>Bank</w:t>
            </w:r>
            <w:r>
              <w:rPr>
                <w:color w:val="000000" w:themeColor="text1"/>
                <w:sz w:val="19"/>
                <w:szCs w:val="19"/>
              </w:rPr>
              <w:t xml:space="preserve"> </w:t>
            </w:r>
            <w:r w:rsidRPr="0017640D">
              <w:rPr>
                <w:color w:val="000000" w:themeColor="text1"/>
                <w:sz w:val="19"/>
                <w:szCs w:val="19"/>
              </w:rPr>
              <w:t>was</w:t>
            </w:r>
            <w:r>
              <w:rPr>
                <w:color w:val="000000" w:themeColor="text1"/>
                <w:sz w:val="19"/>
                <w:szCs w:val="19"/>
              </w:rPr>
              <w:t xml:space="preserve"> </w:t>
            </w:r>
            <w:r w:rsidRPr="0017640D">
              <w:rPr>
                <w:color w:val="000000" w:themeColor="text1"/>
                <w:sz w:val="19"/>
                <w:szCs w:val="19"/>
              </w:rPr>
              <w:t>Forced</w:t>
            </w:r>
            <w:r>
              <w:rPr>
                <w:color w:val="000000" w:themeColor="text1"/>
                <w:sz w:val="19"/>
                <w:szCs w:val="19"/>
              </w:rPr>
              <w:t xml:space="preserve"> </w:t>
            </w:r>
            <w:r w:rsidRPr="0017640D">
              <w:rPr>
                <w:color w:val="000000" w:themeColor="text1"/>
                <w:sz w:val="19"/>
                <w:szCs w:val="19"/>
              </w:rPr>
              <w:t>to</w:t>
            </w:r>
            <w:r>
              <w:rPr>
                <w:color w:val="000000" w:themeColor="text1"/>
                <w:sz w:val="19"/>
                <w:szCs w:val="19"/>
              </w:rPr>
              <w:t xml:space="preserve"> </w:t>
            </w:r>
            <w:r w:rsidRPr="0017640D">
              <w:rPr>
                <w:color w:val="000000" w:themeColor="text1"/>
                <w:sz w:val="19"/>
                <w:szCs w:val="19"/>
              </w:rPr>
              <w:t>borrow</w:t>
            </w:r>
            <w:r>
              <w:rPr>
                <w:color w:val="000000" w:themeColor="text1"/>
                <w:sz w:val="19"/>
                <w:szCs w:val="19"/>
              </w:rPr>
              <w:t xml:space="preserve"> </w:t>
            </w:r>
            <w:r w:rsidRPr="0017640D">
              <w:rPr>
                <w:color w:val="000000" w:themeColor="text1"/>
                <w:sz w:val="19"/>
                <w:szCs w:val="19"/>
              </w:rPr>
              <w:t>at</w:t>
            </w:r>
            <w:r>
              <w:rPr>
                <w:color w:val="000000" w:themeColor="text1"/>
                <w:sz w:val="19"/>
                <w:szCs w:val="19"/>
              </w:rPr>
              <w:t xml:space="preserve"> </w:t>
            </w:r>
            <w:r w:rsidRPr="0017640D">
              <w:rPr>
                <w:color w:val="000000" w:themeColor="text1"/>
                <w:sz w:val="19"/>
                <w:szCs w:val="19"/>
              </w:rPr>
              <w:t>DW</w:t>
            </w:r>
            <w:r>
              <w:rPr>
                <w:color w:val="000000" w:themeColor="text1"/>
                <w:sz w:val="19"/>
                <w:szCs w:val="19"/>
              </w:rPr>
              <w:t xml:space="preserve"> </w:t>
            </w:r>
            <w:r w:rsidRPr="0017640D">
              <w:rPr>
                <w:color w:val="000000" w:themeColor="text1"/>
                <w:sz w:val="19"/>
                <w:szCs w:val="19"/>
              </w:rPr>
              <w:t>in</w:t>
            </w:r>
            <w:r>
              <w:rPr>
                <w:color w:val="000000" w:themeColor="text1"/>
                <w:sz w:val="19"/>
                <w:szCs w:val="19"/>
              </w:rPr>
              <w:t xml:space="preserve"> </w:t>
            </w:r>
            <w:r w:rsidRPr="0017640D">
              <w:rPr>
                <w:i/>
                <w:color w:val="000000" w:themeColor="text1"/>
                <w:sz w:val="19"/>
                <w:szCs w:val="19"/>
              </w:rPr>
              <w:t>t-1</w:t>
            </w:r>
          </w:p>
          <w:p w14:paraId="0AA89453" w14:textId="187C8F6D" w:rsidR="0025036C" w:rsidRPr="0017640D" w:rsidRDefault="0025036C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17640D">
              <w:rPr>
                <w:color w:val="000000" w:themeColor="text1"/>
                <w:sz w:val="19"/>
                <w:szCs w:val="19"/>
              </w:rPr>
              <w:t>*</w:t>
            </w:r>
            <w:r>
              <w:rPr>
                <w:color w:val="000000" w:themeColor="text1"/>
                <w:sz w:val="19"/>
                <w:szCs w:val="19"/>
              </w:rPr>
              <w:t xml:space="preserve"> </w:t>
            </w:r>
            <w:r w:rsidRPr="0017640D">
              <w:rPr>
                <w:color w:val="000000" w:themeColor="text1"/>
                <w:sz w:val="19"/>
                <w:szCs w:val="19"/>
              </w:rPr>
              <w:t>Not</w:t>
            </w:r>
            <w:r>
              <w:rPr>
                <w:color w:val="000000" w:themeColor="text1"/>
                <w:sz w:val="19"/>
                <w:szCs w:val="19"/>
              </w:rPr>
              <w:t xml:space="preserve"> </w:t>
            </w:r>
            <w:r w:rsidRPr="0017640D">
              <w:rPr>
                <w:color w:val="000000" w:themeColor="text1"/>
                <w:sz w:val="19"/>
                <w:szCs w:val="19"/>
              </w:rPr>
              <w:t>Detected</w:t>
            </w:r>
            <w:r>
              <w:rPr>
                <w:color w:val="000000" w:themeColor="text1"/>
                <w:sz w:val="19"/>
                <w:szCs w:val="19"/>
              </w:rPr>
              <w:t xml:space="preserve"> </w:t>
            </w:r>
            <w:r w:rsidRPr="0017640D">
              <w:rPr>
                <w:color w:val="000000" w:themeColor="text1"/>
                <w:sz w:val="19"/>
                <w:szCs w:val="19"/>
              </w:rPr>
              <w:t>*</w:t>
            </w:r>
            <w:r>
              <w:rPr>
                <w:color w:val="000000" w:themeColor="text1"/>
                <w:sz w:val="19"/>
                <w:szCs w:val="19"/>
              </w:rPr>
              <w:t xml:space="preserve"> </w:t>
            </w:r>
            <w:r w:rsidRPr="0017640D">
              <w:rPr>
                <w:color w:val="000000" w:themeColor="text1"/>
                <w:sz w:val="19"/>
                <w:szCs w:val="19"/>
              </w:rPr>
              <w:t>Not</w:t>
            </w:r>
            <w:r>
              <w:rPr>
                <w:color w:val="000000" w:themeColor="text1"/>
                <w:sz w:val="19"/>
                <w:szCs w:val="19"/>
              </w:rPr>
              <w:t xml:space="preserve"> </w:t>
            </w:r>
            <w:r w:rsidRPr="0017640D">
              <w:rPr>
                <w:color w:val="000000" w:themeColor="text1"/>
                <w:sz w:val="19"/>
                <w:szCs w:val="19"/>
              </w:rPr>
              <w:t>Funded</w:t>
            </w:r>
          </w:p>
        </w:tc>
        <w:tc>
          <w:tcPr>
            <w:tcW w:w="9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04EE71C" w14:textId="324A0575" w:rsidR="0025036C" w:rsidRPr="0017640D" w:rsidRDefault="0025036C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__</w:t>
            </w:r>
          </w:p>
        </w:tc>
        <w:tc>
          <w:tcPr>
            <w:tcW w:w="90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E04BE10" w14:textId="5CC01765" w:rsidR="0025036C" w:rsidRPr="0017640D" w:rsidRDefault="0025036C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__</w:t>
            </w:r>
          </w:p>
        </w:tc>
        <w:tc>
          <w:tcPr>
            <w:tcW w:w="99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6FC620D" w14:textId="6242124C" w:rsidR="0025036C" w:rsidRPr="0017640D" w:rsidRDefault="0025036C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-0.021</w:t>
            </w:r>
          </w:p>
          <w:p w14:paraId="5B4A66B6" w14:textId="10C10B9B" w:rsidR="0025036C" w:rsidRPr="0017640D" w:rsidRDefault="0025036C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(0.168</w:t>
            </w:r>
            <w:r w:rsidRPr="0017640D">
              <w:rPr>
                <w:color w:val="000000" w:themeColor="text1"/>
                <w:sz w:val="19"/>
                <w:szCs w:val="19"/>
              </w:rPr>
              <w:t>)</w:t>
            </w:r>
          </w:p>
        </w:tc>
        <w:tc>
          <w:tcPr>
            <w:tcW w:w="90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53510F1" w14:textId="5C82BA0C" w:rsidR="0025036C" w:rsidRPr="0017640D" w:rsidRDefault="0025036C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-0.059</w:t>
            </w:r>
          </w:p>
          <w:p w14:paraId="22F437B8" w14:textId="2BBF74EB" w:rsidR="0025036C" w:rsidRPr="0017640D" w:rsidRDefault="0025036C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(0.183</w:t>
            </w:r>
            <w:r w:rsidRPr="0017640D">
              <w:rPr>
                <w:color w:val="000000" w:themeColor="text1"/>
                <w:sz w:val="19"/>
                <w:szCs w:val="19"/>
              </w:rPr>
              <w:t>)</w:t>
            </w:r>
          </w:p>
        </w:tc>
        <w:tc>
          <w:tcPr>
            <w:tcW w:w="99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E0A5CD2" w14:textId="643A7A78" w:rsidR="0025036C" w:rsidRPr="0017640D" w:rsidRDefault="0025036C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-0.018</w:t>
            </w:r>
          </w:p>
          <w:p w14:paraId="3E97A900" w14:textId="60F3A0C6" w:rsidR="0025036C" w:rsidRPr="0017640D" w:rsidRDefault="0025036C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(0.164</w:t>
            </w:r>
            <w:r w:rsidRPr="0017640D">
              <w:rPr>
                <w:color w:val="000000" w:themeColor="text1"/>
                <w:sz w:val="19"/>
                <w:szCs w:val="19"/>
              </w:rPr>
              <w:t>)</w:t>
            </w:r>
          </w:p>
        </w:tc>
        <w:tc>
          <w:tcPr>
            <w:tcW w:w="90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B3B2E21" w14:textId="1FED4B31" w:rsidR="0025036C" w:rsidRPr="0017640D" w:rsidRDefault="0025036C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-0.092</w:t>
            </w:r>
          </w:p>
          <w:p w14:paraId="08658C9F" w14:textId="33B69429" w:rsidR="0025036C" w:rsidRPr="0017640D" w:rsidRDefault="0025036C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(0.206</w:t>
            </w:r>
            <w:r w:rsidRPr="0017640D">
              <w:rPr>
                <w:color w:val="000000" w:themeColor="text1"/>
                <w:sz w:val="19"/>
                <w:szCs w:val="19"/>
              </w:rPr>
              <w:t>)</w:t>
            </w:r>
          </w:p>
        </w:tc>
      </w:tr>
      <w:tr w:rsidR="0025036C" w:rsidRPr="00DB1E85" w14:paraId="7480B2EF" w14:textId="77777777" w:rsidTr="004863D2">
        <w:tc>
          <w:tcPr>
            <w:tcW w:w="5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7289095" w14:textId="3065F9CE" w:rsidR="0025036C" w:rsidRPr="0017640D" w:rsidRDefault="0025036C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17640D">
              <w:rPr>
                <w:color w:val="000000" w:themeColor="text1"/>
                <w:sz w:val="19"/>
                <w:szCs w:val="19"/>
              </w:rPr>
              <w:t>15</w:t>
            </w:r>
          </w:p>
        </w:tc>
        <w:tc>
          <w:tcPr>
            <w:tcW w:w="336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A3F81F1" w14:textId="2096EDEA" w:rsidR="0025036C" w:rsidRPr="0017640D" w:rsidRDefault="0025036C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17640D">
              <w:rPr>
                <w:color w:val="000000" w:themeColor="text1"/>
                <w:sz w:val="19"/>
                <w:szCs w:val="19"/>
              </w:rPr>
              <w:t>Bank</w:t>
            </w:r>
            <w:r>
              <w:rPr>
                <w:color w:val="000000" w:themeColor="text1"/>
                <w:sz w:val="19"/>
                <w:szCs w:val="19"/>
              </w:rPr>
              <w:t xml:space="preserve"> </w:t>
            </w:r>
            <w:r w:rsidRPr="0017640D">
              <w:rPr>
                <w:color w:val="000000" w:themeColor="text1"/>
                <w:sz w:val="19"/>
                <w:szCs w:val="19"/>
              </w:rPr>
              <w:t>was</w:t>
            </w:r>
            <w:r>
              <w:rPr>
                <w:color w:val="000000" w:themeColor="text1"/>
                <w:sz w:val="19"/>
                <w:szCs w:val="19"/>
              </w:rPr>
              <w:t xml:space="preserve"> </w:t>
            </w:r>
            <w:r w:rsidRPr="0017640D">
              <w:rPr>
                <w:color w:val="000000" w:themeColor="text1"/>
                <w:sz w:val="19"/>
                <w:szCs w:val="19"/>
              </w:rPr>
              <w:t>Solvent-Illiquid</w:t>
            </w:r>
            <w:r>
              <w:rPr>
                <w:color w:val="000000" w:themeColor="text1"/>
                <w:sz w:val="19"/>
                <w:szCs w:val="19"/>
              </w:rPr>
              <w:t xml:space="preserve"> </w:t>
            </w:r>
            <w:r w:rsidRPr="0017640D">
              <w:rPr>
                <w:color w:val="000000" w:themeColor="text1"/>
                <w:sz w:val="19"/>
                <w:szCs w:val="19"/>
              </w:rPr>
              <w:t>in</w:t>
            </w:r>
            <w:r>
              <w:rPr>
                <w:color w:val="000000" w:themeColor="text1"/>
                <w:sz w:val="19"/>
                <w:szCs w:val="19"/>
              </w:rPr>
              <w:t xml:space="preserve"> </w:t>
            </w:r>
            <w:r w:rsidRPr="0017640D">
              <w:rPr>
                <w:i/>
                <w:color w:val="000000" w:themeColor="text1"/>
                <w:sz w:val="19"/>
                <w:szCs w:val="19"/>
              </w:rPr>
              <w:t>t-1</w:t>
            </w:r>
          </w:p>
        </w:tc>
        <w:tc>
          <w:tcPr>
            <w:tcW w:w="95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168BDEA" w14:textId="504E58E1" w:rsidR="0025036C" w:rsidRPr="0017640D" w:rsidRDefault="0025036C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__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A4A78CB" w14:textId="68B48BC0" w:rsidR="0025036C" w:rsidRPr="0017640D" w:rsidRDefault="0025036C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__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6090C32" w14:textId="4AB088E8" w:rsidR="0025036C" w:rsidRPr="0017640D" w:rsidRDefault="0025036C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-0.003</w:t>
            </w:r>
          </w:p>
          <w:p w14:paraId="742584CC" w14:textId="461F991E" w:rsidR="0025036C" w:rsidRPr="0017640D" w:rsidRDefault="0025036C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(0.035</w:t>
            </w:r>
            <w:r w:rsidRPr="0017640D">
              <w:rPr>
                <w:color w:val="000000" w:themeColor="text1"/>
                <w:sz w:val="19"/>
                <w:szCs w:val="19"/>
              </w:rPr>
              <w:t>)</w:t>
            </w:r>
          </w:p>
        </w:tc>
        <w:tc>
          <w:tcPr>
            <w:tcW w:w="9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5DFCDC4" w14:textId="403AF0D7" w:rsidR="0025036C" w:rsidRPr="0017640D" w:rsidRDefault="0025036C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-0.058</w:t>
            </w:r>
          </w:p>
          <w:p w14:paraId="4DCA078A" w14:textId="2F2E737B" w:rsidR="0025036C" w:rsidRPr="0017640D" w:rsidRDefault="0025036C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(0.036</w:t>
            </w:r>
            <w:r w:rsidRPr="0017640D">
              <w:rPr>
                <w:color w:val="000000" w:themeColor="text1"/>
                <w:sz w:val="19"/>
                <w:szCs w:val="19"/>
              </w:rPr>
              <w:t>)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A9027E0" w14:textId="0648DD11" w:rsidR="0025036C" w:rsidRPr="0017640D" w:rsidRDefault="0025036C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-0.001</w:t>
            </w:r>
          </w:p>
          <w:p w14:paraId="6756A80B" w14:textId="57C95F71" w:rsidR="0025036C" w:rsidRPr="0017640D" w:rsidRDefault="0025036C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(0.036</w:t>
            </w:r>
            <w:r w:rsidRPr="0017640D">
              <w:rPr>
                <w:color w:val="000000" w:themeColor="text1"/>
                <w:sz w:val="19"/>
                <w:szCs w:val="19"/>
              </w:rPr>
              <w:t>)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279AEE0" w14:textId="010C1A05" w:rsidR="0025036C" w:rsidRPr="0017640D" w:rsidRDefault="0025036C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-0.049</w:t>
            </w:r>
          </w:p>
          <w:p w14:paraId="11368B0A" w14:textId="05D2AA0E" w:rsidR="0025036C" w:rsidRPr="0017640D" w:rsidRDefault="0025036C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(0.037</w:t>
            </w:r>
            <w:r w:rsidRPr="0017640D">
              <w:rPr>
                <w:color w:val="000000" w:themeColor="text1"/>
                <w:sz w:val="19"/>
                <w:szCs w:val="19"/>
              </w:rPr>
              <w:t>)</w:t>
            </w:r>
          </w:p>
        </w:tc>
      </w:tr>
      <w:tr w:rsidR="0025036C" w:rsidRPr="00DB1E85" w14:paraId="2D27E422" w14:textId="77777777" w:rsidTr="004863D2"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5D636E" w14:textId="02CBCABD" w:rsidR="0025036C" w:rsidRPr="0017640D" w:rsidRDefault="0025036C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17640D">
              <w:rPr>
                <w:color w:val="000000" w:themeColor="text1"/>
                <w:sz w:val="19"/>
                <w:szCs w:val="19"/>
              </w:rPr>
              <w:t>16</w:t>
            </w:r>
          </w:p>
        </w:tc>
        <w:tc>
          <w:tcPr>
            <w:tcW w:w="336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BC15F5" w14:textId="2EC3CD6F" w:rsidR="0025036C" w:rsidRPr="0017640D" w:rsidRDefault="0025036C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17640D">
              <w:rPr>
                <w:color w:val="000000" w:themeColor="text1"/>
                <w:sz w:val="19"/>
                <w:szCs w:val="19"/>
              </w:rPr>
              <w:t>Bank</w:t>
            </w:r>
            <w:r>
              <w:rPr>
                <w:color w:val="000000" w:themeColor="text1"/>
                <w:sz w:val="19"/>
                <w:szCs w:val="19"/>
              </w:rPr>
              <w:t xml:space="preserve"> </w:t>
            </w:r>
            <w:r w:rsidRPr="0017640D">
              <w:rPr>
                <w:color w:val="000000" w:themeColor="text1"/>
                <w:sz w:val="19"/>
                <w:szCs w:val="19"/>
              </w:rPr>
              <w:t>was</w:t>
            </w:r>
            <w:r>
              <w:rPr>
                <w:color w:val="000000" w:themeColor="text1"/>
                <w:sz w:val="19"/>
                <w:szCs w:val="19"/>
              </w:rPr>
              <w:t xml:space="preserve"> </w:t>
            </w:r>
            <w:r w:rsidRPr="0017640D">
              <w:rPr>
                <w:color w:val="000000" w:themeColor="text1"/>
                <w:sz w:val="19"/>
                <w:szCs w:val="19"/>
              </w:rPr>
              <w:t>Insolvent-Illiquid</w:t>
            </w:r>
            <w:r>
              <w:rPr>
                <w:color w:val="000000" w:themeColor="text1"/>
                <w:sz w:val="19"/>
                <w:szCs w:val="19"/>
              </w:rPr>
              <w:t xml:space="preserve"> </w:t>
            </w:r>
            <w:r w:rsidRPr="0017640D">
              <w:rPr>
                <w:color w:val="000000" w:themeColor="text1"/>
                <w:sz w:val="19"/>
                <w:szCs w:val="19"/>
              </w:rPr>
              <w:t>in</w:t>
            </w:r>
            <w:r>
              <w:rPr>
                <w:color w:val="000000" w:themeColor="text1"/>
                <w:sz w:val="19"/>
                <w:szCs w:val="19"/>
              </w:rPr>
              <w:t xml:space="preserve"> </w:t>
            </w:r>
            <w:r w:rsidRPr="0017640D">
              <w:rPr>
                <w:i/>
                <w:color w:val="000000" w:themeColor="text1"/>
                <w:sz w:val="19"/>
                <w:szCs w:val="19"/>
              </w:rPr>
              <w:t>t-1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7A304D0" w14:textId="333C680E" w:rsidR="0025036C" w:rsidRPr="0017640D" w:rsidRDefault="0025036C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__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FC6ADE" w14:textId="3F4CB169" w:rsidR="0025036C" w:rsidRPr="0017640D" w:rsidRDefault="0025036C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__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59CA62E" w14:textId="193B9557" w:rsidR="0025036C" w:rsidRPr="0017640D" w:rsidRDefault="0025036C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-0.062</w:t>
            </w:r>
          </w:p>
          <w:p w14:paraId="15A02342" w14:textId="3EF86984" w:rsidR="0025036C" w:rsidRPr="0017640D" w:rsidRDefault="0025036C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17640D">
              <w:rPr>
                <w:color w:val="000000" w:themeColor="text1"/>
                <w:sz w:val="19"/>
                <w:szCs w:val="19"/>
              </w:rPr>
              <w:t>(0.03</w:t>
            </w:r>
            <w:r>
              <w:rPr>
                <w:color w:val="000000" w:themeColor="text1"/>
                <w:sz w:val="19"/>
                <w:szCs w:val="19"/>
              </w:rPr>
              <w:t>7</w:t>
            </w:r>
            <w:r w:rsidRPr="0017640D">
              <w:rPr>
                <w:color w:val="000000" w:themeColor="text1"/>
                <w:sz w:val="19"/>
                <w:szCs w:val="19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3CB65C" w14:textId="0B0B0D7C" w:rsidR="0025036C" w:rsidRPr="0017640D" w:rsidRDefault="0025036C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-0.010</w:t>
            </w:r>
          </w:p>
          <w:p w14:paraId="1D529532" w14:textId="6B205972" w:rsidR="0025036C" w:rsidRPr="0017640D" w:rsidRDefault="0025036C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17640D">
              <w:rPr>
                <w:color w:val="000000" w:themeColor="text1"/>
                <w:sz w:val="19"/>
                <w:szCs w:val="19"/>
              </w:rPr>
              <w:t>(0.026)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4326394" w14:textId="7745117D" w:rsidR="0025036C" w:rsidRPr="0017640D" w:rsidRDefault="0025036C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17640D">
              <w:rPr>
                <w:color w:val="000000" w:themeColor="text1"/>
                <w:sz w:val="19"/>
                <w:szCs w:val="19"/>
              </w:rPr>
              <w:t>-0.06</w:t>
            </w:r>
            <w:r>
              <w:rPr>
                <w:color w:val="000000" w:themeColor="text1"/>
                <w:sz w:val="19"/>
                <w:szCs w:val="19"/>
              </w:rPr>
              <w:t>1</w:t>
            </w:r>
            <w:r w:rsidRPr="0017640D">
              <w:rPr>
                <w:color w:val="000000" w:themeColor="text1"/>
                <w:sz w:val="19"/>
                <w:szCs w:val="19"/>
                <w:vertAlign w:val="superscript"/>
              </w:rPr>
              <w:t>*</w:t>
            </w:r>
          </w:p>
          <w:p w14:paraId="1C22D206" w14:textId="7FA891FF" w:rsidR="0025036C" w:rsidRPr="0017640D" w:rsidRDefault="0025036C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17640D">
              <w:rPr>
                <w:color w:val="000000" w:themeColor="text1"/>
                <w:sz w:val="19"/>
                <w:szCs w:val="19"/>
              </w:rPr>
              <w:t>(0.036)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DFFEED" w14:textId="51462D4C" w:rsidR="0025036C" w:rsidRPr="0017640D" w:rsidRDefault="0025036C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-0.001</w:t>
            </w:r>
          </w:p>
          <w:p w14:paraId="7243C6A0" w14:textId="4FC97A79" w:rsidR="0025036C" w:rsidRPr="0017640D" w:rsidRDefault="0025036C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17640D">
              <w:rPr>
                <w:color w:val="000000" w:themeColor="text1"/>
                <w:sz w:val="19"/>
                <w:szCs w:val="19"/>
              </w:rPr>
              <w:t>(0.027)</w:t>
            </w:r>
          </w:p>
        </w:tc>
      </w:tr>
      <w:tr w:rsidR="0025036C" w:rsidRPr="00DB1E85" w14:paraId="705765B8" w14:textId="77777777" w:rsidTr="004863D2">
        <w:tc>
          <w:tcPr>
            <w:tcW w:w="5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E67B781" w14:textId="694937AF" w:rsidR="0025036C" w:rsidRPr="0017640D" w:rsidRDefault="0025036C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17640D">
              <w:rPr>
                <w:color w:val="000000" w:themeColor="text1"/>
                <w:sz w:val="19"/>
                <w:szCs w:val="19"/>
              </w:rPr>
              <w:t>17</w:t>
            </w:r>
          </w:p>
        </w:tc>
        <w:tc>
          <w:tcPr>
            <w:tcW w:w="336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BF7B0D3" w14:textId="2B651A51" w:rsidR="0025036C" w:rsidRPr="0017640D" w:rsidRDefault="0025036C" w:rsidP="008E1FDB">
            <w:pPr>
              <w:jc w:val="center"/>
              <w:rPr>
                <w:i/>
                <w:color w:val="000000" w:themeColor="text1"/>
                <w:sz w:val="19"/>
                <w:szCs w:val="19"/>
              </w:rPr>
            </w:pPr>
            <w:r w:rsidRPr="0017640D">
              <w:rPr>
                <w:color w:val="000000" w:themeColor="text1"/>
                <w:sz w:val="19"/>
                <w:szCs w:val="19"/>
              </w:rPr>
              <w:t>Probability</w:t>
            </w:r>
            <w:r>
              <w:rPr>
                <w:color w:val="000000" w:themeColor="text1"/>
                <w:sz w:val="19"/>
                <w:szCs w:val="19"/>
              </w:rPr>
              <w:t xml:space="preserve"> </w:t>
            </w:r>
            <w:r w:rsidRPr="0017640D">
              <w:rPr>
                <w:color w:val="000000" w:themeColor="text1"/>
                <w:sz w:val="19"/>
                <w:szCs w:val="19"/>
              </w:rPr>
              <w:t>of</w:t>
            </w:r>
            <w:r>
              <w:rPr>
                <w:color w:val="000000" w:themeColor="text1"/>
                <w:sz w:val="19"/>
                <w:szCs w:val="19"/>
              </w:rPr>
              <w:t xml:space="preserve"> </w:t>
            </w:r>
            <w:r w:rsidRPr="0017640D">
              <w:rPr>
                <w:color w:val="000000" w:themeColor="text1"/>
                <w:sz w:val="19"/>
                <w:szCs w:val="19"/>
              </w:rPr>
              <w:t>Detection</w:t>
            </w:r>
            <w:r>
              <w:rPr>
                <w:color w:val="000000" w:themeColor="text1"/>
                <w:sz w:val="19"/>
                <w:szCs w:val="19"/>
              </w:rPr>
              <w:t xml:space="preserve"> </w:t>
            </w:r>
            <w:r w:rsidRPr="0017640D">
              <w:rPr>
                <w:color w:val="000000" w:themeColor="text1"/>
                <w:sz w:val="19"/>
                <w:szCs w:val="19"/>
              </w:rPr>
              <w:t>in</w:t>
            </w:r>
            <w:r>
              <w:rPr>
                <w:color w:val="000000" w:themeColor="text1"/>
                <w:sz w:val="19"/>
                <w:szCs w:val="19"/>
              </w:rPr>
              <w:t xml:space="preserve"> </w:t>
            </w:r>
            <w:r w:rsidRPr="0017640D">
              <w:rPr>
                <w:i/>
                <w:color w:val="000000" w:themeColor="text1"/>
                <w:sz w:val="19"/>
                <w:szCs w:val="19"/>
              </w:rPr>
              <w:t>t-1</w:t>
            </w:r>
          </w:p>
        </w:tc>
        <w:tc>
          <w:tcPr>
            <w:tcW w:w="95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84743EE" w14:textId="7C3ED498" w:rsidR="0025036C" w:rsidRPr="0017640D" w:rsidRDefault="0025036C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__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105BA8F" w14:textId="116EC80D" w:rsidR="0025036C" w:rsidRPr="0017640D" w:rsidRDefault="0025036C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__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3D2C329" w14:textId="32DFD95A" w:rsidR="0025036C" w:rsidRPr="0017640D" w:rsidRDefault="0025036C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-0.057</w:t>
            </w:r>
          </w:p>
          <w:p w14:paraId="0795D31D" w14:textId="7F00CE6E" w:rsidR="0025036C" w:rsidRPr="0017640D" w:rsidRDefault="0025036C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(0.061</w:t>
            </w:r>
            <w:r w:rsidRPr="0017640D">
              <w:rPr>
                <w:color w:val="000000" w:themeColor="text1"/>
                <w:sz w:val="19"/>
                <w:szCs w:val="19"/>
              </w:rPr>
              <w:t>)</w:t>
            </w:r>
          </w:p>
        </w:tc>
        <w:tc>
          <w:tcPr>
            <w:tcW w:w="9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674CF5D" w14:textId="6DF4D2FA" w:rsidR="0025036C" w:rsidRPr="0017640D" w:rsidRDefault="0025036C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-0.025</w:t>
            </w:r>
          </w:p>
          <w:p w14:paraId="78E8AF4F" w14:textId="383AF2D1" w:rsidR="0025036C" w:rsidRPr="0017640D" w:rsidRDefault="0025036C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(0.061</w:t>
            </w:r>
            <w:r w:rsidRPr="0017640D">
              <w:rPr>
                <w:color w:val="000000" w:themeColor="text1"/>
                <w:sz w:val="19"/>
                <w:szCs w:val="19"/>
              </w:rPr>
              <w:t>)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19A512E" w14:textId="2A125DD6" w:rsidR="0025036C" w:rsidRPr="0017640D" w:rsidRDefault="0025036C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-0.075</w:t>
            </w:r>
          </w:p>
          <w:p w14:paraId="6828FF57" w14:textId="2D0265D0" w:rsidR="0025036C" w:rsidRPr="0017640D" w:rsidRDefault="0025036C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(0.062</w:t>
            </w:r>
            <w:r w:rsidRPr="0017640D">
              <w:rPr>
                <w:color w:val="000000" w:themeColor="text1"/>
                <w:sz w:val="19"/>
                <w:szCs w:val="19"/>
              </w:rPr>
              <w:t>)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7D89E33" w14:textId="56C8AAB1" w:rsidR="0025036C" w:rsidRPr="0017640D" w:rsidRDefault="0025036C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-0.046</w:t>
            </w:r>
          </w:p>
          <w:p w14:paraId="1C39CC18" w14:textId="2566387D" w:rsidR="0025036C" w:rsidRPr="0017640D" w:rsidRDefault="0025036C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(0.061</w:t>
            </w:r>
            <w:r w:rsidRPr="0017640D">
              <w:rPr>
                <w:color w:val="000000" w:themeColor="text1"/>
                <w:sz w:val="19"/>
                <w:szCs w:val="19"/>
              </w:rPr>
              <w:t>)</w:t>
            </w:r>
          </w:p>
        </w:tc>
      </w:tr>
      <w:tr w:rsidR="0025036C" w:rsidRPr="00DB1E85" w14:paraId="1E327566" w14:textId="77777777" w:rsidTr="004863D2"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E63C1A" w14:textId="09934384" w:rsidR="0025036C" w:rsidRPr="0017640D" w:rsidRDefault="0025036C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17640D">
              <w:rPr>
                <w:color w:val="000000" w:themeColor="text1"/>
                <w:sz w:val="19"/>
                <w:szCs w:val="19"/>
              </w:rPr>
              <w:t>18</w:t>
            </w:r>
          </w:p>
        </w:tc>
        <w:tc>
          <w:tcPr>
            <w:tcW w:w="336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9C9FD1" w14:textId="06627696" w:rsidR="0025036C" w:rsidRPr="0017640D" w:rsidRDefault="0025036C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17640D">
              <w:rPr>
                <w:color w:val="000000" w:themeColor="text1"/>
                <w:sz w:val="19"/>
                <w:szCs w:val="19"/>
              </w:rPr>
              <w:t>Percentage</w:t>
            </w:r>
            <w:r>
              <w:rPr>
                <w:color w:val="000000" w:themeColor="text1"/>
                <w:sz w:val="19"/>
                <w:szCs w:val="19"/>
              </w:rPr>
              <w:t xml:space="preserve"> </w:t>
            </w:r>
            <w:r w:rsidRPr="0017640D">
              <w:rPr>
                <w:color w:val="000000" w:themeColor="text1"/>
                <w:sz w:val="19"/>
                <w:szCs w:val="19"/>
              </w:rPr>
              <w:t>of</w:t>
            </w:r>
            <w:r>
              <w:rPr>
                <w:color w:val="000000" w:themeColor="text1"/>
                <w:sz w:val="19"/>
                <w:szCs w:val="19"/>
              </w:rPr>
              <w:t xml:space="preserve"> </w:t>
            </w:r>
            <w:r w:rsidRPr="0017640D">
              <w:rPr>
                <w:color w:val="000000" w:themeColor="text1"/>
                <w:sz w:val="19"/>
                <w:szCs w:val="19"/>
              </w:rPr>
              <w:t>Banks</w:t>
            </w:r>
            <w:r>
              <w:rPr>
                <w:color w:val="000000" w:themeColor="text1"/>
                <w:sz w:val="19"/>
                <w:szCs w:val="19"/>
              </w:rPr>
              <w:t xml:space="preserve"> </w:t>
            </w:r>
            <w:r w:rsidRPr="0017640D">
              <w:rPr>
                <w:color w:val="000000" w:themeColor="text1"/>
                <w:sz w:val="19"/>
                <w:szCs w:val="19"/>
              </w:rPr>
              <w:t>that</w:t>
            </w:r>
            <w:r>
              <w:rPr>
                <w:color w:val="000000" w:themeColor="text1"/>
                <w:sz w:val="19"/>
                <w:szCs w:val="19"/>
              </w:rPr>
              <w:t xml:space="preserve"> </w:t>
            </w:r>
            <w:r w:rsidRPr="0017640D">
              <w:rPr>
                <w:color w:val="000000" w:themeColor="text1"/>
                <w:sz w:val="19"/>
                <w:szCs w:val="19"/>
              </w:rPr>
              <w:t>Chose</w:t>
            </w:r>
            <w:r>
              <w:rPr>
                <w:color w:val="000000" w:themeColor="text1"/>
                <w:sz w:val="19"/>
                <w:szCs w:val="19"/>
              </w:rPr>
              <w:t xml:space="preserve"> </w:t>
            </w:r>
            <w:r w:rsidRPr="0017640D">
              <w:rPr>
                <w:color w:val="000000" w:themeColor="text1"/>
                <w:sz w:val="19"/>
                <w:szCs w:val="19"/>
              </w:rPr>
              <w:t>to</w:t>
            </w:r>
            <w:r>
              <w:rPr>
                <w:color w:val="000000" w:themeColor="text1"/>
                <w:sz w:val="19"/>
                <w:szCs w:val="19"/>
              </w:rPr>
              <w:t xml:space="preserve"> </w:t>
            </w:r>
          </w:p>
          <w:p w14:paraId="1DABDDC2" w14:textId="0A3F1828" w:rsidR="0025036C" w:rsidRPr="0017640D" w:rsidRDefault="0025036C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17640D">
              <w:rPr>
                <w:color w:val="000000" w:themeColor="text1"/>
                <w:sz w:val="19"/>
                <w:szCs w:val="19"/>
              </w:rPr>
              <w:t>Borrow</w:t>
            </w:r>
            <w:r>
              <w:rPr>
                <w:color w:val="000000" w:themeColor="text1"/>
                <w:sz w:val="19"/>
                <w:szCs w:val="19"/>
              </w:rPr>
              <w:t xml:space="preserve"> </w:t>
            </w:r>
            <w:r w:rsidRPr="0017640D">
              <w:rPr>
                <w:color w:val="000000" w:themeColor="text1"/>
                <w:sz w:val="19"/>
                <w:szCs w:val="19"/>
              </w:rPr>
              <w:t>at</w:t>
            </w:r>
            <w:r>
              <w:rPr>
                <w:color w:val="000000" w:themeColor="text1"/>
                <w:sz w:val="19"/>
                <w:szCs w:val="19"/>
              </w:rPr>
              <w:t xml:space="preserve"> </w:t>
            </w:r>
            <w:r w:rsidRPr="0017640D">
              <w:rPr>
                <w:color w:val="000000" w:themeColor="text1"/>
                <w:sz w:val="19"/>
                <w:szCs w:val="19"/>
              </w:rPr>
              <w:t>DW</w:t>
            </w:r>
            <w:r>
              <w:rPr>
                <w:color w:val="000000" w:themeColor="text1"/>
                <w:sz w:val="19"/>
                <w:szCs w:val="19"/>
              </w:rPr>
              <w:t xml:space="preserve"> </w:t>
            </w:r>
            <w:r w:rsidRPr="0017640D">
              <w:rPr>
                <w:color w:val="000000" w:themeColor="text1"/>
                <w:sz w:val="19"/>
                <w:szCs w:val="19"/>
              </w:rPr>
              <w:t>if</w:t>
            </w:r>
            <w:r>
              <w:rPr>
                <w:color w:val="000000" w:themeColor="text1"/>
                <w:sz w:val="19"/>
                <w:szCs w:val="19"/>
              </w:rPr>
              <w:t xml:space="preserve"> </w:t>
            </w:r>
            <w:r w:rsidRPr="0017640D">
              <w:rPr>
                <w:color w:val="000000" w:themeColor="text1"/>
                <w:sz w:val="19"/>
                <w:szCs w:val="19"/>
              </w:rPr>
              <w:t>Solvent-Illiquid</w:t>
            </w:r>
            <w:r>
              <w:rPr>
                <w:color w:val="000000" w:themeColor="text1"/>
                <w:sz w:val="19"/>
                <w:szCs w:val="19"/>
              </w:rPr>
              <w:t xml:space="preserve"> </w:t>
            </w:r>
            <w:r w:rsidRPr="0017640D">
              <w:rPr>
                <w:color w:val="000000" w:themeColor="text1"/>
                <w:sz w:val="19"/>
                <w:szCs w:val="19"/>
              </w:rPr>
              <w:t>in</w:t>
            </w:r>
            <w:r>
              <w:rPr>
                <w:color w:val="000000" w:themeColor="text1"/>
                <w:sz w:val="19"/>
                <w:szCs w:val="19"/>
              </w:rPr>
              <w:t xml:space="preserve"> </w:t>
            </w:r>
            <w:r w:rsidRPr="0017640D">
              <w:rPr>
                <w:i/>
                <w:color w:val="000000" w:themeColor="text1"/>
                <w:sz w:val="19"/>
                <w:szCs w:val="19"/>
              </w:rPr>
              <w:t>t-1</w:t>
            </w:r>
          </w:p>
        </w:tc>
        <w:tc>
          <w:tcPr>
            <w:tcW w:w="957" w:type="dxa"/>
            <w:tcBorders>
              <w:left w:val="single" w:sz="12" w:space="0" w:color="auto"/>
            </w:tcBorders>
            <w:vAlign w:val="center"/>
          </w:tcPr>
          <w:p w14:paraId="6567243B" w14:textId="61FD65E0" w:rsidR="0025036C" w:rsidRPr="0017640D" w:rsidRDefault="0025036C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__</w:t>
            </w:r>
          </w:p>
        </w:tc>
        <w:tc>
          <w:tcPr>
            <w:tcW w:w="900" w:type="dxa"/>
            <w:gridSpan w:val="2"/>
            <w:tcBorders>
              <w:right w:val="single" w:sz="12" w:space="0" w:color="auto"/>
            </w:tcBorders>
            <w:vAlign w:val="center"/>
          </w:tcPr>
          <w:p w14:paraId="40E5D396" w14:textId="513A2355" w:rsidR="0025036C" w:rsidRPr="0017640D" w:rsidRDefault="0025036C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__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vAlign w:val="center"/>
          </w:tcPr>
          <w:p w14:paraId="4BF2E766" w14:textId="57A69E78" w:rsidR="0025036C" w:rsidRPr="0017640D" w:rsidRDefault="0025036C" w:rsidP="008E1FDB">
            <w:pPr>
              <w:jc w:val="center"/>
              <w:rPr>
                <w:color w:val="000000" w:themeColor="text1"/>
                <w:sz w:val="19"/>
                <w:szCs w:val="19"/>
                <w:vertAlign w:val="superscript"/>
              </w:rPr>
            </w:pPr>
            <w:r w:rsidRPr="0017640D">
              <w:rPr>
                <w:color w:val="000000" w:themeColor="text1"/>
                <w:sz w:val="19"/>
                <w:szCs w:val="19"/>
              </w:rPr>
              <w:t>0.00</w:t>
            </w:r>
            <w:r>
              <w:rPr>
                <w:color w:val="000000" w:themeColor="text1"/>
                <w:sz w:val="19"/>
                <w:szCs w:val="19"/>
              </w:rPr>
              <w:t>4</w:t>
            </w:r>
          </w:p>
          <w:p w14:paraId="40A41FF4" w14:textId="6C1DDCDE" w:rsidR="0025036C" w:rsidRPr="0017640D" w:rsidRDefault="0025036C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17640D">
              <w:rPr>
                <w:color w:val="000000" w:themeColor="text1"/>
                <w:sz w:val="19"/>
                <w:szCs w:val="19"/>
              </w:rPr>
              <w:t>(0.064)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14:paraId="5F2A08BB" w14:textId="6BC13DA1" w:rsidR="0025036C" w:rsidRPr="0017640D" w:rsidRDefault="0025036C" w:rsidP="008E1FDB">
            <w:pPr>
              <w:jc w:val="center"/>
              <w:rPr>
                <w:color w:val="000000" w:themeColor="text1"/>
                <w:sz w:val="19"/>
                <w:szCs w:val="19"/>
                <w:vertAlign w:val="superscript"/>
              </w:rPr>
            </w:pPr>
            <w:r w:rsidRPr="0017640D">
              <w:rPr>
                <w:color w:val="000000" w:themeColor="text1"/>
                <w:sz w:val="19"/>
                <w:szCs w:val="19"/>
              </w:rPr>
              <w:t>0.3</w:t>
            </w:r>
            <w:r>
              <w:rPr>
                <w:color w:val="000000" w:themeColor="text1"/>
                <w:sz w:val="19"/>
                <w:szCs w:val="19"/>
              </w:rPr>
              <w:t>69</w:t>
            </w:r>
            <w:r w:rsidRPr="0017640D">
              <w:rPr>
                <w:color w:val="000000" w:themeColor="text1"/>
                <w:sz w:val="19"/>
                <w:szCs w:val="19"/>
                <w:vertAlign w:val="superscript"/>
              </w:rPr>
              <w:t>***</w:t>
            </w:r>
          </w:p>
          <w:p w14:paraId="5C0A3653" w14:textId="57D9B92E" w:rsidR="0025036C" w:rsidRPr="0017640D" w:rsidRDefault="0025036C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(0.074</w:t>
            </w:r>
            <w:r w:rsidRPr="0017640D">
              <w:rPr>
                <w:color w:val="000000" w:themeColor="text1"/>
                <w:sz w:val="19"/>
                <w:szCs w:val="19"/>
              </w:rPr>
              <w:t>)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vAlign w:val="center"/>
          </w:tcPr>
          <w:p w14:paraId="0ED2EA18" w14:textId="5AC7193D" w:rsidR="0025036C" w:rsidRPr="0017640D" w:rsidRDefault="0025036C" w:rsidP="008E1FDB">
            <w:pPr>
              <w:jc w:val="center"/>
              <w:rPr>
                <w:color w:val="000000" w:themeColor="text1"/>
                <w:sz w:val="19"/>
                <w:szCs w:val="19"/>
                <w:vertAlign w:val="superscript"/>
              </w:rPr>
            </w:pPr>
            <w:r w:rsidRPr="0017640D">
              <w:rPr>
                <w:color w:val="000000" w:themeColor="text1"/>
                <w:sz w:val="19"/>
                <w:szCs w:val="19"/>
              </w:rPr>
              <w:t>-0.0</w:t>
            </w:r>
            <w:r>
              <w:rPr>
                <w:color w:val="000000" w:themeColor="text1"/>
                <w:sz w:val="19"/>
                <w:szCs w:val="19"/>
              </w:rPr>
              <w:t>63</w:t>
            </w:r>
          </w:p>
          <w:p w14:paraId="4C6B4953" w14:textId="444FC93C" w:rsidR="0025036C" w:rsidRPr="0017640D" w:rsidRDefault="0025036C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(0.065</w:t>
            </w:r>
            <w:r w:rsidRPr="0017640D">
              <w:rPr>
                <w:color w:val="000000" w:themeColor="text1"/>
                <w:sz w:val="19"/>
                <w:szCs w:val="19"/>
              </w:rPr>
              <w:t>)</w:t>
            </w:r>
          </w:p>
        </w:tc>
        <w:tc>
          <w:tcPr>
            <w:tcW w:w="900" w:type="dxa"/>
            <w:gridSpan w:val="2"/>
            <w:tcBorders>
              <w:right w:val="single" w:sz="12" w:space="0" w:color="auto"/>
            </w:tcBorders>
            <w:vAlign w:val="center"/>
          </w:tcPr>
          <w:p w14:paraId="4AE8CE3E" w14:textId="110BBE62" w:rsidR="0025036C" w:rsidRPr="0017640D" w:rsidRDefault="0025036C" w:rsidP="008E1FDB">
            <w:pPr>
              <w:jc w:val="center"/>
              <w:rPr>
                <w:color w:val="000000" w:themeColor="text1"/>
                <w:sz w:val="19"/>
                <w:szCs w:val="19"/>
                <w:vertAlign w:val="superscript"/>
              </w:rPr>
            </w:pPr>
            <w:r w:rsidRPr="0017640D">
              <w:rPr>
                <w:color w:val="000000" w:themeColor="text1"/>
                <w:sz w:val="19"/>
                <w:szCs w:val="19"/>
              </w:rPr>
              <w:t>0.3</w:t>
            </w:r>
            <w:r>
              <w:rPr>
                <w:color w:val="000000" w:themeColor="text1"/>
                <w:sz w:val="19"/>
                <w:szCs w:val="19"/>
              </w:rPr>
              <w:t>08</w:t>
            </w:r>
            <w:r w:rsidRPr="0017640D">
              <w:rPr>
                <w:color w:val="000000" w:themeColor="text1"/>
                <w:sz w:val="19"/>
                <w:szCs w:val="19"/>
                <w:vertAlign w:val="superscript"/>
              </w:rPr>
              <w:t>***</w:t>
            </w:r>
          </w:p>
          <w:p w14:paraId="603CF93D" w14:textId="1B873C44" w:rsidR="0025036C" w:rsidRPr="0017640D" w:rsidRDefault="0025036C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(0.080</w:t>
            </w:r>
            <w:r w:rsidRPr="0017640D">
              <w:rPr>
                <w:color w:val="000000" w:themeColor="text1"/>
                <w:sz w:val="19"/>
                <w:szCs w:val="19"/>
              </w:rPr>
              <w:t>)</w:t>
            </w:r>
          </w:p>
        </w:tc>
      </w:tr>
      <w:tr w:rsidR="0025036C" w:rsidRPr="00DB1E85" w14:paraId="3CB86963" w14:textId="77777777" w:rsidTr="004863D2"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CE9489" w14:textId="0182004D" w:rsidR="0025036C" w:rsidRPr="0017640D" w:rsidRDefault="0025036C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17640D">
              <w:rPr>
                <w:color w:val="000000" w:themeColor="text1"/>
                <w:sz w:val="19"/>
                <w:szCs w:val="19"/>
              </w:rPr>
              <w:t>19</w:t>
            </w:r>
          </w:p>
        </w:tc>
        <w:tc>
          <w:tcPr>
            <w:tcW w:w="336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251460" w14:textId="243F009F" w:rsidR="0025036C" w:rsidRPr="0017640D" w:rsidRDefault="0025036C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17640D">
              <w:rPr>
                <w:color w:val="000000" w:themeColor="text1"/>
                <w:sz w:val="19"/>
                <w:szCs w:val="19"/>
              </w:rPr>
              <w:t>Percentage</w:t>
            </w:r>
            <w:r>
              <w:rPr>
                <w:color w:val="000000" w:themeColor="text1"/>
                <w:sz w:val="19"/>
                <w:szCs w:val="19"/>
              </w:rPr>
              <w:t xml:space="preserve"> </w:t>
            </w:r>
            <w:r w:rsidRPr="0017640D">
              <w:rPr>
                <w:color w:val="000000" w:themeColor="text1"/>
                <w:sz w:val="19"/>
                <w:szCs w:val="19"/>
              </w:rPr>
              <w:t>of</w:t>
            </w:r>
            <w:r>
              <w:rPr>
                <w:color w:val="000000" w:themeColor="text1"/>
                <w:sz w:val="19"/>
                <w:szCs w:val="19"/>
              </w:rPr>
              <w:t xml:space="preserve"> </w:t>
            </w:r>
            <w:r w:rsidRPr="0017640D">
              <w:rPr>
                <w:color w:val="000000" w:themeColor="text1"/>
                <w:sz w:val="19"/>
                <w:szCs w:val="19"/>
              </w:rPr>
              <w:t>Banks</w:t>
            </w:r>
            <w:r>
              <w:rPr>
                <w:color w:val="000000" w:themeColor="text1"/>
                <w:sz w:val="19"/>
                <w:szCs w:val="19"/>
              </w:rPr>
              <w:t xml:space="preserve"> </w:t>
            </w:r>
            <w:r w:rsidRPr="0017640D">
              <w:rPr>
                <w:color w:val="000000" w:themeColor="text1"/>
                <w:sz w:val="19"/>
                <w:szCs w:val="19"/>
              </w:rPr>
              <w:t>that</w:t>
            </w:r>
            <w:r>
              <w:rPr>
                <w:color w:val="000000" w:themeColor="text1"/>
                <w:sz w:val="19"/>
                <w:szCs w:val="19"/>
              </w:rPr>
              <w:t xml:space="preserve"> </w:t>
            </w:r>
            <w:r w:rsidRPr="0017640D">
              <w:rPr>
                <w:color w:val="000000" w:themeColor="text1"/>
                <w:sz w:val="19"/>
                <w:szCs w:val="19"/>
              </w:rPr>
              <w:t>Chose</w:t>
            </w:r>
            <w:r>
              <w:rPr>
                <w:color w:val="000000" w:themeColor="text1"/>
                <w:sz w:val="19"/>
                <w:szCs w:val="19"/>
              </w:rPr>
              <w:t xml:space="preserve"> </w:t>
            </w:r>
            <w:r w:rsidRPr="0017640D">
              <w:rPr>
                <w:color w:val="000000" w:themeColor="text1"/>
                <w:sz w:val="19"/>
                <w:szCs w:val="19"/>
              </w:rPr>
              <w:t>to</w:t>
            </w:r>
            <w:r>
              <w:rPr>
                <w:color w:val="000000" w:themeColor="text1"/>
                <w:sz w:val="19"/>
                <w:szCs w:val="19"/>
              </w:rPr>
              <w:t xml:space="preserve"> </w:t>
            </w:r>
          </w:p>
          <w:p w14:paraId="098B8118" w14:textId="4F697CF4" w:rsidR="0025036C" w:rsidRPr="0017640D" w:rsidRDefault="0025036C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17640D">
              <w:rPr>
                <w:color w:val="000000" w:themeColor="text1"/>
                <w:sz w:val="19"/>
                <w:szCs w:val="19"/>
              </w:rPr>
              <w:t>Borrow</w:t>
            </w:r>
            <w:r>
              <w:rPr>
                <w:color w:val="000000" w:themeColor="text1"/>
                <w:sz w:val="19"/>
                <w:szCs w:val="19"/>
              </w:rPr>
              <w:t xml:space="preserve"> </w:t>
            </w:r>
            <w:r w:rsidRPr="0017640D">
              <w:rPr>
                <w:color w:val="000000" w:themeColor="text1"/>
                <w:sz w:val="19"/>
                <w:szCs w:val="19"/>
              </w:rPr>
              <w:t>at</w:t>
            </w:r>
            <w:r>
              <w:rPr>
                <w:color w:val="000000" w:themeColor="text1"/>
                <w:sz w:val="19"/>
                <w:szCs w:val="19"/>
              </w:rPr>
              <w:t xml:space="preserve"> </w:t>
            </w:r>
            <w:r w:rsidRPr="0017640D">
              <w:rPr>
                <w:color w:val="000000" w:themeColor="text1"/>
                <w:sz w:val="19"/>
                <w:szCs w:val="19"/>
              </w:rPr>
              <w:t>DW</w:t>
            </w:r>
            <w:r>
              <w:rPr>
                <w:color w:val="000000" w:themeColor="text1"/>
                <w:sz w:val="19"/>
                <w:szCs w:val="19"/>
              </w:rPr>
              <w:t xml:space="preserve"> </w:t>
            </w:r>
            <w:r w:rsidRPr="0017640D">
              <w:rPr>
                <w:color w:val="000000" w:themeColor="text1"/>
                <w:sz w:val="19"/>
                <w:szCs w:val="19"/>
              </w:rPr>
              <w:t>if</w:t>
            </w:r>
            <w:r>
              <w:rPr>
                <w:color w:val="000000" w:themeColor="text1"/>
                <w:sz w:val="19"/>
                <w:szCs w:val="19"/>
              </w:rPr>
              <w:t xml:space="preserve"> </w:t>
            </w:r>
            <w:r w:rsidRPr="0017640D">
              <w:rPr>
                <w:color w:val="000000" w:themeColor="text1"/>
                <w:sz w:val="19"/>
                <w:szCs w:val="19"/>
              </w:rPr>
              <w:t>Insolvent-Illiquid</w:t>
            </w:r>
            <w:r>
              <w:rPr>
                <w:color w:val="000000" w:themeColor="text1"/>
                <w:sz w:val="19"/>
                <w:szCs w:val="19"/>
              </w:rPr>
              <w:t xml:space="preserve"> </w:t>
            </w:r>
            <w:r w:rsidRPr="0017640D">
              <w:rPr>
                <w:color w:val="000000" w:themeColor="text1"/>
                <w:sz w:val="19"/>
                <w:szCs w:val="19"/>
              </w:rPr>
              <w:t>in</w:t>
            </w:r>
            <w:r>
              <w:rPr>
                <w:color w:val="000000" w:themeColor="text1"/>
                <w:sz w:val="19"/>
                <w:szCs w:val="19"/>
              </w:rPr>
              <w:t xml:space="preserve"> </w:t>
            </w:r>
            <w:r w:rsidRPr="0017640D">
              <w:rPr>
                <w:i/>
                <w:color w:val="000000" w:themeColor="text1"/>
                <w:sz w:val="19"/>
                <w:szCs w:val="19"/>
              </w:rPr>
              <w:t>t-1</w:t>
            </w:r>
          </w:p>
        </w:tc>
        <w:tc>
          <w:tcPr>
            <w:tcW w:w="957" w:type="dxa"/>
            <w:tcBorders>
              <w:left w:val="single" w:sz="12" w:space="0" w:color="auto"/>
            </w:tcBorders>
            <w:vAlign w:val="center"/>
          </w:tcPr>
          <w:p w14:paraId="47E41D81" w14:textId="3E6A4F5E" w:rsidR="0025036C" w:rsidRPr="0017640D" w:rsidRDefault="0025036C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__</w:t>
            </w:r>
          </w:p>
        </w:tc>
        <w:tc>
          <w:tcPr>
            <w:tcW w:w="900" w:type="dxa"/>
            <w:gridSpan w:val="2"/>
            <w:tcBorders>
              <w:right w:val="single" w:sz="12" w:space="0" w:color="auto"/>
            </w:tcBorders>
            <w:vAlign w:val="center"/>
          </w:tcPr>
          <w:p w14:paraId="154CC903" w14:textId="0F739AAC" w:rsidR="0025036C" w:rsidRPr="0017640D" w:rsidRDefault="0025036C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__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vAlign w:val="center"/>
          </w:tcPr>
          <w:p w14:paraId="58FCB32F" w14:textId="72D4F514" w:rsidR="0025036C" w:rsidRPr="0017640D" w:rsidRDefault="0025036C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17640D">
              <w:rPr>
                <w:color w:val="000000" w:themeColor="text1"/>
                <w:sz w:val="19"/>
                <w:szCs w:val="19"/>
              </w:rPr>
              <w:t>0.</w:t>
            </w:r>
            <w:r>
              <w:rPr>
                <w:color w:val="000000" w:themeColor="text1"/>
                <w:sz w:val="19"/>
                <w:szCs w:val="19"/>
              </w:rPr>
              <w:t>300</w:t>
            </w:r>
            <w:r w:rsidRPr="0017640D">
              <w:rPr>
                <w:color w:val="000000" w:themeColor="text1"/>
                <w:sz w:val="19"/>
                <w:szCs w:val="19"/>
                <w:vertAlign w:val="superscript"/>
              </w:rPr>
              <w:t>***</w:t>
            </w:r>
          </w:p>
          <w:p w14:paraId="478639F2" w14:textId="07AACC7F" w:rsidR="0025036C" w:rsidRPr="0017640D" w:rsidRDefault="0025036C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(0.072</w:t>
            </w:r>
            <w:r w:rsidRPr="0017640D">
              <w:rPr>
                <w:color w:val="000000" w:themeColor="text1"/>
                <w:sz w:val="19"/>
                <w:szCs w:val="19"/>
              </w:rPr>
              <w:t>)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14:paraId="492A2B64" w14:textId="7EFF7F93" w:rsidR="0025036C" w:rsidRPr="0017640D" w:rsidRDefault="0025036C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-0.046</w:t>
            </w:r>
          </w:p>
          <w:p w14:paraId="0D820AE4" w14:textId="693DEC6D" w:rsidR="0025036C" w:rsidRPr="0017640D" w:rsidRDefault="0025036C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17640D">
              <w:rPr>
                <w:color w:val="000000" w:themeColor="text1"/>
                <w:sz w:val="19"/>
                <w:szCs w:val="19"/>
              </w:rPr>
              <w:t>(0.061)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vAlign w:val="center"/>
          </w:tcPr>
          <w:p w14:paraId="50E89608" w14:textId="25CB7985" w:rsidR="0025036C" w:rsidRPr="0017640D" w:rsidRDefault="0025036C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17640D">
              <w:rPr>
                <w:color w:val="000000" w:themeColor="text1"/>
                <w:sz w:val="19"/>
                <w:szCs w:val="19"/>
              </w:rPr>
              <w:t>0.3</w:t>
            </w:r>
            <w:r>
              <w:rPr>
                <w:color w:val="000000" w:themeColor="text1"/>
                <w:sz w:val="19"/>
                <w:szCs w:val="19"/>
              </w:rPr>
              <w:t>51</w:t>
            </w:r>
            <w:r w:rsidRPr="0017640D">
              <w:rPr>
                <w:color w:val="000000" w:themeColor="text1"/>
                <w:sz w:val="19"/>
                <w:szCs w:val="19"/>
                <w:vertAlign w:val="superscript"/>
              </w:rPr>
              <w:t>***</w:t>
            </w:r>
          </w:p>
          <w:p w14:paraId="05D09C82" w14:textId="4DC4CC94" w:rsidR="0025036C" w:rsidRPr="0017640D" w:rsidRDefault="0025036C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(0.076</w:t>
            </w:r>
            <w:r w:rsidRPr="0017640D">
              <w:rPr>
                <w:color w:val="000000" w:themeColor="text1"/>
                <w:sz w:val="19"/>
                <w:szCs w:val="19"/>
              </w:rPr>
              <w:t>)</w:t>
            </w:r>
          </w:p>
        </w:tc>
        <w:tc>
          <w:tcPr>
            <w:tcW w:w="900" w:type="dxa"/>
            <w:gridSpan w:val="2"/>
            <w:tcBorders>
              <w:right w:val="single" w:sz="12" w:space="0" w:color="auto"/>
            </w:tcBorders>
            <w:vAlign w:val="center"/>
          </w:tcPr>
          <w:p w14:paraId="2F10D469" w14:textId="3886B640" w:rsidR="0025036C" w:rsidRPr="0017640D" w:rsidRDefault="0025036C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-0.020</w:t>
            </w:r>
          </w:p>
          <w:p w14:paraId="33B187ED" w14:textId="448B9900" w:rsidR="0025036C" w:rsidRPr="0017640D" w:rsidRDefault="0025036C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17640D">
              <w:rPr>
                <w:color w:val="000000" w:themeColor="text1"/>
                <w:sz w:val="19"/>
                <w:szCs w:val="19"/>
              </w:rPr>
              <w:t>(0.067)</w:t>
            </w:r>
          </w:p>
        </w:tc>
      </w:tr>
      <w:tr w:rsidR="0025036C" w:rsidRPr="00DB1E85" w14:paraId="7BE702EB" w14:textId="77777777" w:rsidTr="004863D2"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AFD016" w14:textId="36202A09" w:rsidR="0025036C" w:rsidRPr="0017640D" w:rsidRDefault="0025036C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17640D">
              <w:rPr>
                <w:color w:val="000000" w:themeColor="text1"/>
                <w:sz w:val="19"/>
                <w:szCs w:val="19"/>
              </w:rPr>
              <w:t>20</w:t>
            </w:r>
          </w:p>
        </w:tc>
        <w:tc>
          <w:tcPr>
            <w:tcW w:w="336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CE9CA8" w14:textId="560B18D1" w:rsidR="0025036C" w:rsidRPr="0017640D" w:rsidRDefault="0025036C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17640D">
              <w:rPr>
                <w:color w:val="000000" w:themeColor="text1"/>
                <w:sz w:val="19"/>
                <w:szCs w:val="19"/>
              </w:rPr>
              <w:t>Percentage</w:t>
            </w:r>
            <w:r>
              <w:rPr>
                <w:color w:val="000000" w:themeColor="text1"/>
                <w:sz w:val="19"/>
                <w:szCs w:val="19"/>
              </w:rPr>
              <w:t xml:space="preserve"> </w:t>
            </w:r>
            <w:r w:rsidRPr="0017640D">
              <w:rPr>
                <w:color w:val="000000" w:themeColor="text1"/>
                <w:sz w:val="19"/>
                <w:szCs w:val="19"/>
              </w:rPr>
              <w:t>of</w:t>
            </w:r>
            <w:r>
              <w:rPr>
                <w:color w:val="000000" w:themeColor="text1"/>
                <w:sz w:val="19"/>
                <w:szCs w:val="19"/>
              </w:rPr>
              <w:t xml:space="preserve"> </w:t>
            </w:r>
            <w:r w:rsidRPr="0017640D">
              <w:rPr>
                <w:color w:val="000000" w:themeColor="text1"/>
                <w:sz w:val="19"/>
                <w:szCs w:val="19"/>
              </w:rPr>
              <w:t>Investors</w:t>
            </w:r>
            <w:r>
              <w:rPr>
                <w:color w:val="000000" w:themeColor="text1"/>
                <w:sz w:val="19"/>
                <w:szCs w:val="19"/>
              </w:rPr>
              <w:t xml:space="preserve"> </w:t>
            </w:r>
            <w:r w:rsidRPr="0017640D">
              <w:rPr>
                <w:color w:val="000000" w:themeColor="text1"/>
                <w:sz w:val="19"/>
                <w:szCs w:val="19"/>
              </w:rPr>
              <w:t>that</w:t>
            </w:r>
            <w:r>
              <w:rPr>
                <w:color w:val="000000" w:themeColor="text1"/>
                <w:sz w:val="19"/>
                <w:szCs w:val="19"/>
              </w:rPr>
              <w:t xml:space="preserve"> </w:t>
            </w:r>
            <w:r w:rsidRPr="0017640D">
              <w:rPr>
                <w:color w:val="000000" w:themeColor="text1"/>
                <w:sz w:val="19"/>
                <w:szCs w:val="19"/>
              </w:rPr>
              <w:t>Chose</w:t>
            </w:r>
            <w:r>
              <w:rPr>
                <w:color w:val="000000" w:themeColor="text1"/>
                <w:sz w:val="19"/>
                <w:szCs w:val="19"/>
              </w:rPr>
              <w:t xml:space="preserve"> </w:t>
            </w:r>
            <w:r w:rsidRPr="0017640D">
              <w:rPr>
                <w:color w:val="000000" w:themeColor="text1"/>
                <w:sz w:val="19"/>
                <w:szCs w:val="19"/>
              </w:rPr>
              <w:t>to</w:t>
            </w:r>
            <w:r>
              <w:rPr>
                <w:color w:val="000000" w:themeColor="text1"/>
                <w:sz w:val="19"/>
                <w:szCs w:val="19"/>
              </w:rPr>
              <w:t xml:space="preserve"> </w:t>
            </w:r>
          </w:p>
          <w:p w14:paraId="695CA981" w14:textId="68DC69A0" w:rsidR="0025036C" w:rsidRPr="0017640D" w:rsidRDefault="0025036C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17640D">
              <w:rPr>
                <w:color w:val="000000" w:themeColor="text1"/>
                <w:sz w:val="19"/>
                <w:szCs w:val="19"/>
              </w:rPr>
              <w:t>Invest</w:t>
            </w:r>
            <w:r>
              <w:rPr>
                <w:color w:val="000000" w:themeColor="text1"/>
                <w:sz w:val="19"/>
                <w:szCs w:val="19"/>
              </w:rPr>
              <w:t xml:space="preserve"> </w:t>
            </w:r>
            <w:r w:rsidRPr="0017640D">
              <w:rPr>
                <w:color w:val="000000" w:themeColor="text1"/>
                <w:sz w:val="19"/>
                <w:szCs w:val="19"/>
              </w:rPr>
              <w:t>in</w:t>
            </w:r>
            <w:r>
              <w:rPr>
                <w:color w:val="000000" w:themeColor="text1"/>
                <w:sz w:val="19"/>
                <w:szCs w:val="19"/>
              </w:rPr>
              <w:t xml:space="preserve"> </w:t>
            </w:r>
            <w:r w:rsidRPr="0017640D">
              <w:rPr>
                <w:color w:val="000000" w:themeColor="text1"/>
                <w:sz w:val="19"/>
                <w:szCs w:val="19"/>
              </w:rPr>
              <w:t>Bank</w:t>
            </w:r>
            <w:r>
              <w:rPr>
                <w:color w:val="000000" w:themeColor="text1"/>
                <w:sz w:val="19"/>
                <w:szCs w:val="19"/>
              </w:rPr>
              <w:t xml:space="preserve"> </w:t>
            </w:r>
            <w:r w:rsidRPr="0017640D">
              <w:rPr>
                <w:color w:val="000000" w:themeColor="text1"/>
                <w:sz w:val="19"/>
                <w:szCs w:val="19"/>
              </w:rPr>
              <w:t>not</w:t>
            </w:r>
            <w:r>
              <w:rPr>
                <w:color w:val="000000" w:themeColor="text1"/>
                <w:sz w:val="19"/>
                <w:szCs w:val="19"/>
              </w:rPr>
              <w:t xml:space="preserve"> </w:t>
            </w:r>
            <w:r w:rsidRPr="0017640D">
              <w:rPr>
                <w:color w:val="000000" w:themeColor="text1"/>
                <w:sz w:val="19"/>
                <w:szCs w:val="19"/>
              </w:rPr>
              <w:t>Detected</w:t>
            </w:r>
            <w:r>
              <w:rPr>
                <w:color w:val="000000" w:themeColor="text1"/>
                <w:sz w:val="19"/>
                <w:szCs w:val="19"/>
              </w:rPr>
              <w:t xml:space="preserve"> </w:t>
            </w:r>
            <w:r w:rsidRPr="0017640D">
              <w:rPr>
                <w:color w:val="000000" w:themeColor="text1"/>
                <w:sz w:val="19"/>
                <w:szCs w:val="19"/>
              </w:rPr>
              <w:t>at</w:t>
            </w:r>
            <w:r>
              <w:rPr>
                <w:color w:val="000000" w:themeColor="text1"/>
                <w:sz w:val="19"/>
                <w:szCs w:val="19"/>
              </w:rPr>
              <w:t xml:space="preserve"> </w:t>
            </w:r>
            <w:r w:rsidRPr="0017640D">
              <w:rPr>
                <w:color w:val="000000" w:themeColor="text1"/>
                <w:sz w:val="19"/>
                <w:szCs w:val="19"/>
              </w:rPr>
              <w:t>DW</w:t>
            </w:r>
            <w:r>
              <w:rPr>
                <w:color w:val="000000" w:themeColor="text1"/>
                <w:sz w:val="19"/>
                <w:szCs w:val="19"/>
              </w:rPr>
              <w:t xml:space="preserve"> </w:t>
            </w:r>
            <w:r w:rsidRPr="0017640D">
              <w:rPr>
                <w:color w:val="000000" w:themeColor="text1"/>
                <w:sz w:val="19"/>
                <w:szCs w:val="19"/>
              </w:rPr>
              <w:t>in</w:t>
            </w:r>
            <w:r>
              <w:rPr>
                <w:color w:val="000000" w:themeColor="text1"/>
                <w:sz w:val="19"/>
                <w:szCs w:val="19"/>
              </w:rPr>
              <w:t xml:space="preserve"> </w:t>
            </w:r>
            <w:r w:rsidRPr="0017640D">
              <w:rPr>
                <w:i/>
                <w:color w:val="000000" w:themeColor="text1"/>
                <w:sz w:val="19"/>
                <w:szCs w:val="19"/>
              </w:rPr>
              <w:t>t-1</w:t>
            </w:r>
          </w:p>
        </w:tc>
        <w:tc>
          <w:tcPr>
            <w:tcW w:w="957" w:type="dxa"/>
            <w:tcBorders>
              <w:left w:val="single" w:sz="12" w:space="0" w:color="auto"/>
            </w:tcBorders>
            <w:vAlign w:val="center"/>
          </w:tcPr>
          <w:p w14:paraId="22DF96DA" w14:textId="456F8491" w:rsidR="0025036C" w:rsidRPr="0017640D" w:rsidRDefault="0025036C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__</w:t>
            </w:r>
          </w:p>
        </w:tc>
        <w:tc>
          <w:tcPr>
            <w:tcW w:w="900" w:type="dxa"/>
            <w:gridSpan w:val="2"/>
            <w:tcBorders>
              <w:right w:val="single" w:sz="12" w:space="0" w:color="auto"/>
            </w:tcBorders>
            <w:vAlign w:val="center"/>
          </w:tcPr>
          <w:p w14:paraId="76AAECA1" w14:textId="33CE7CE6" w:rsidR="0025036C" w:rsidRPr="0017640D" w:rsidRDefault="0025036C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__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vAlign w:val="center"/>
          </w:tcPr>
          <w:p w14:paraId="1644C89D" w14:textId="54221495" w:rsidR="0025036C" w:rsidRPr="0017640D" w:rsidRDefault="0025036C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-0.052</w:t>
            </w:r>
          </w:p>
          <w:p w14:paraId="67D0E6B4" w14:textId="363582BC" w:rsidR="0025036C" w:rsidRPr="0017640D" w:rsidRDefault="0025036C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(0.076</w:t>
            </w:r>
            <w:r w:rsidRPr="0017640D">
              <w:rPr>
                <w:color w:val="000000" w:themeColor="text1"/>
                <w:sz w:val="19"/>
                <w:szCs w:val="19"/>
              </w:rPr>
              <w:t>)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14:paraId="6E328BF8" w14:textId="02710627" w:rsidR="0025036C" w:rsidRPr="0017640D" w:rsidRDefault="0025036C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-0.105</w:t>
            </w:r>
          </w:p>
          <w:p w14:paraId="3E35469B" w14:textId="7191B5EA" w:rsidR="0025036C" w:rsidRPr="0017640D" w:rsidRDefault="0025036C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(0.075</w:t>
            </w:r>
            <w:r w:rsidRPr="0017640D">
              <w:rPr>
                <w:color w:val="000000" w:themeColor="text1"/>
                <w:sz w:val="19"/>
                <w:szCs w:val="19"/>
              </w:rPr>
              <w:t>)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vAlign w:val="center"/>
          </w:tcPr>
          <w:p w14:paraId="1CE28B84" w14:textId="18BB27F7" w:rsidR="0025036C" w:rsidRPr="0017640D" w:rsidRDefault="0025036C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-0.046</w:t>
            </w:r>
          </w:p>
          <w:p w14:paraId="3A0F0D50" w14:textId="2D48D6BC" w:rsidR="0025036C" w:rsidRPr="0017640D" w:rsidRDefault="0025036C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(0.078</w:t>
            </w:r>
            <w:r w:rsidRPr="0017640D">
              <w:rPr>
                <w:color w:val="000000" w:themeColor="text1"/>
                <w:sz w:val="19"/>
                <w:szCs w:val="19"/>
              </w:rPr>
              <w:t>)</w:t>
            </w:r>
          </w:p>
        </w:tc>
        <w:tc>
          <w:tcPr>
            <w:tcW w:w="900" w:type="dxa"/>
            <w:gridSpan w:val="2"/>
            <w:tcBorders>
              <w:right w:val="single" w:sz="12" w:space="0" w:color="auto"/>
            </w:tcBorders>
            <w:vAlign w:val="center"/>
          </w:tcPr>
          <w:p w14:paraId="6E7E7F0A" w14:textId="24BF1E9B" w:rsidR="0025036C" w:rsidRPr="0017640D" w:rsidRDefault="0025036C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-0.075</w:t>
            </w:r>
          </w:p>
          <w:p w14:paraId="05DC9FB1" w14:textId="4882F73D" w:rsidR="0025036C" w:rsidRPr="0017640D" w:rsidRDefault="0025036C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17640D">
              <w:rPr>
                <w:color w:val="000000" w:themeColor="text1"/>
                <w:sz w:val="19"/>
                <w:szCs w:val="19"/>
              </w:rPr>
              <w:t>(0.</w:t>
            </w:r>
            <w:r>
              <w:rPr>
                <w:color w:val="000000" w:themeColor="text1"/>
                <w:sz w:val="19"/>
                <w:szCs w:val="19"/>
              </w:rPr>
              <w:t>078</w:t>
            </w:r>
            <w:r w:rsidRPr="0017640D">
              <w:rPr>
                <w:color w:val="000000" w:themeColor="text1"/>
                <w:sz w:val="19"/>
                <w:szCs w:val="19"/>
              </w:rPr>
              <w:t>)</w:t>
            </w:r>
          </w:p>
        </w:tc>
      </w:tr>
      <w:tr w:rsidR="0025036C" w:rsidRPr="00DB1E85" w14:paraId="5D6862D4" w14:textId="77777777" w:rsidTr="004863D2">
        <w:tc>
          <w:tcPr>
            <w:tcW w:w="54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67E55C" w14:textId="1EEC0666" w:rsidR="0025036C" w:rsidRPr="0017640D" w:rsidRDefault="0025036C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17640D">
              <w:rPr>
                <w:color w:val="000000" w:themeColor="text1"/>
                <w:sz w:val="19"/>
                <w:szCs w:val="19"/>
              </w:rPr>
              <w:t>21</w:t>
            </w:r>
          </w:p>
        </w:tc>
        <w:tc>
          <w:tcPr>
            <w:tcW w:w="3363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D6DB27" w14:textId="07A53EA1" w:rsidR="0025036C" w:rsidRPr="0017640D" w:rsidRDefault="0025036C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17640D">
              <w:rPr>
                <w:color w:val="000000" w:themeColor="text1"/>
                <w:sz w:val="19"/>
                <w:szCs w:val="19"/>
              </w:rPr>
              <w:t>Percentage</w:t>
            </w:r>
            <w:r>
              <w:rPr>
                <w:color w:val="000000" w:themeColor="text1"/>
                <w:sz w:val="19"/>
                <w:szCs w:val="19"/>
              </w:rPr>
              <w:t xml:space="preserve"> </w:t>
            </w:r>
            <w:r w:rsidRPr="0017640D">
              <w:rPr>
                <w:color w:val="000000" w:themeColor="text1"/>
                <w:sz w:val="19"/>
                <w:szCs w:val="19"/>
              </w:rPr>
              <w:t>of</w:t>
            </w:r>
            <w:r>
              <w:rPr>
                <w:color w:val="000000" w:themeColor="text1"/>
                <w:sz w:val="19"/>
                <w:szCs w:val="19"/>
              </w:rPr>
              <w:t xml:space="preserve"> </w:t>
            </w:r>
            <w:r w:rsidRPr="0017640D">
              <w:rPr>
                <w:color w:val="000000" w:themeColor="text1"/>
                <w:sz w:val="19"/>
                <w:szCs w:val="19"/>
              </w:rPr>
              <w:t>Investors</w:t>
            </w:r>
            <w:r>
              <w:rPr>
                <w:color w:val="000000" w:themeColor="text1"/>
                <w:sz w:val="19"/>
                <w:szCs w:val="19"/>
              </w:rPr>
              <w:t xml:space="preserve"> </w:t>
            </w:r>
            <w:r w:rsidRPr="0017640D">
              <w:rPr>
                <w:color w:val="000000" w:themeColor="text1"/>
                <w:sz w:val="19"/>
                <w:szCs w:val="19"/>
              </w:rPr>
              <w:t>that</w:t>
            </w:r>
            <w:r>
              <w:rPr>
                <w:color w:val="000000" w:themeColor="text1"/>
                <w:sz w:val="19"/>
                <w:szCs w:val="19"/>
              </w:rPr>
              <w:t xml:space="preserve"> </w:t>
            </w:r>
            <w:r w:rsidRPr="0017640D">
              <w:rPr>
                <w:color w:val="000000" w:themeColor="text1"/>
                <w:sz w:val="19"/>
                <w:szCs w:val="19"/>
              </w:rPr>
              <w:t>Chose</w:t>
            </w:r>
            <w:r>
              <w:rPr>
                <w:color w:val="000000" w:themeColor="text1"/>
                <w:sz w:val="19"/>
                <w:szCs w:val="19"/>
              </w:rPr>
              <w:t xml:space="preserve"> </w:t>
            </w:r>
            <w:r w:rsidRPr="0017640D">
              <w:rPr>
                <w:color w:val="000000" w:themeColor="text1"/>
                <w:sz w:val="19"/>
                <w:szCs w:val="19"/>
              </w:rPr>
              <w:t>to</w:t>
            </w:r>
            <w:r>
              <w:rPr>
                <w:color w:val="000000" w:themeColor="text1"/>
                <w:sz w:val="19"/>
                <w:szCs w:val="19"/>
              </w:rPr>
              <w:t xml:space="preserve"> </w:t>
            </w:r>
          </w:p>
          <w:p w14:paraId="71A2541C" w14:textId="2F9967D9" w:rsidR="0025036C" w:rsidRPr="0017640D" w:rsidRDefault="0025036C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17640D">
              <w:rPr>
                <w:color w:val="000000" w:themeColor="text1"/>
                <w:sz w:val="19"/>
                <w:szCs w:val="19"/>
              </w:rPr>
              <w:t>Invest</w:t>
            </w:r>
            <w:r>
              <w:rPr>
                <w:color w:val="000000" w:themeColor="text1"/>
                <w:sz w:val="19"/>
                <w:szCs w:val="19"/>
              </w:rPr>
              <w:t xml:space="preserve"> </w:t>
            </w:r>
            <w:r w:rsidRPr="0017640D">
              <w:rPr>
                <w:color w:val="000000" w:themeColor="text1"/>
                <w:sz w:val="19"/>
                <w:szCs w:val="19"/>
              </w:rPr>
              <w:t>in</w:t>
            </w:r>
            <w:r>
              <w:rPr>
                <w:color w:val="000000" w:themeColor="text1"/>
                <w:sz w:val="19"/>
                <w:szCs w:val="19"/>
              </w:rPr>
              <w:t xml:space="preserve"> </w:t>
            </w:r>
            <w:r w:rsidRPr="0017640D">
              <w:rPr>
                <w:color w:val="000000" w:themeColor="text1"/>
                <w:sz w:val="19"/>
                <w:szCs w:val="19"/>
              </w:rPr>
              <w:t>Bank</w:t>
            </w:r>
            <w:r>
              <w:rPr>
                <w:color w:val="000000" w:themeColor="text1"/>
                <w:sz w:val="19"/>
                <w:szCs w:val="19"/>
              </w:rPr>
              <w:t xml:space="preserve"> </w:t>
            </w:r>
            <w:r w:rsidRPr="0017640D">
              <w:rPr>
                <w:color w:val="000000" w:themeColor="text1"/>
                <w:sz w:val="19"/>
                <w:szCs w:val="19"/>
              </w:rPr>
              <w:t>Detected</w:t>
            </w:r>
            <w:r>
              <w:rPr>
                <w:color w:val="000000" w:themeColor="text1"/>
                <w:sz w:val="19"/>
                <w:szCs w:val="19"/>
              </w:rPr>
              <w:t xml:space="preserve"> </w:t>
            </w:r>
            <w:r w:rsidRPr="0017640D">
              <w:rPr>
                <w:color w:val="000000" w:themeColor="text1"/>
                <w:sz w:val="19"/>
                <w:szCs w:val="19"/>
              </w:rPr>
              <w:t>at</w:t>
            </w:r>
            <w:r>
              <w:rPr>
                <w:color w:val="000000" w:themeColor="text1"/>
                <w:sz w:val="19"/>
                <w:szCs w:val="19"/>
              </w:rPr>
              <w:t xml:space="preserve"> </w:t>
            </w:r>
            <w:r w:rsidRPr="0017640D">
              <w:rPr>
                <w:color w:val="000000" w:themeColor="text1"/>
                <w:sz w:val="19"/>
                <w:szCs w:val="19"/>
              </w:rPr>
              <w:t>DW</w:t>
            </w:r>
            <w:r>
              <w:rPr>
                <w:color w:val="000000" w:themeColor="text1"/>
                <w:sz w:val="19"/>
                <w:szCs w:val="19"/>
              </w:rPr>
              <w:t xml:space="preserve"> </w:t>
            </w:r>
            <w:r w:rsidRPr="0017640D">
              <w:rPr>
                <w:color w:val="000000" w:themeColor="text1"/>
                <w:sz w:val="19"/>
                <w:szCs w:val="19"/>
              </w:rPr>
              <w:t>in</w:t>
            </w:r>
            <w:r>
              <w:rPr>
                <w:color w:val="000000" w:themeColor="text1"/>
                <w:sz w:val="19"/>
                <w:szCs w:val="19"/>
              </w:rPr>
              <w:t xml:space="preserve"> </w:t>
            </w:r>
            <w:r w:rsidRPr="0017640D">
              <w:rPr>
                <w:i/>
                <w:color w:val="000000" w:themeColor="text1"/>
                <w:sz w:val="19"/>
                <w:szCs w:val="19"/>
              </w:rPr>
              <w:t>t-1</w:t>
            </w:r>
          </w:p>
        </w:tc>
        <w:tc>
          <w:tcPr>
            <w:tcW w:w="95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B81BA91" w14:textId="139A63C4" w:rsidR="0025036C" w:rsidRPr="0017640D" w:rsidRDefault="0025036C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__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ADF4B61" w14:textId="24F2125F" w:rsidR="0025036C" w:rsidRPr="0017640D" w:rsidRDefault="0025036C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__</w:t>
            </w:r>
          </w:p>
        </w:tc>
        <w:tc>
          <w:tcPr>
            <w:tcW w:w="99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35BA813" w14:textId="0F496518" w:rsidR="0025036C" w:rsidRPr="0017640D" w:rsidRDefault="0025036C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17640D">
              <w:rPr>
                <w:color w:val="000000" w:themeColor="text1"/>
                <w:sz w:val="19"/>
                <w:szCs w:val="19"/>
              </w:rPr>
              <w:t>0.</w:t>
            </w:r>
            <w:r>
              <w:rPr>
                <w:color w:val="000000" w:themeColor="text1"/>
                <w:sz w:val="19"/>
                <w:szCs w:val="19"/>
              </w:rPr>
              <w:t>203</w:t>
            </w:r>
            <w:r w:rsidRPr="0017640D">
              <w:rPr>
                <w:color w:val="000000" w:themeColor="text1"/>
                <w:sz w:val="19"/>
                <w:szCs w:val="19"/>
                <w:vertAlign w:val="superscript"/>
              </w:rPr>
              <w:t>*</w:t>
            </w:r>
            <w:r>
              <w:rPr>
                <w:color w:val="000000" w:themeColor="text1"/>
                <w:sz w:val="19"/>
                <w:szCs w:val="19"/>
                <w:vertAlign w:val="superscript"/>
              </w:rPr>
              <w:t>*</w:t>
            </w:r>
            <w:r w:rsidRPr="0017640D">
              <w:rPr>
                <w:color w:val="000000" w:themeColor="text1"/>
                <w:sz w:val="19"/>
                <w:szCs w:val="19"/>
                <w:vertAlign w:val="superscript"/>
              </w:rPr>
              <w:t>*</w:t>
            </w:r>
          </w:p>
          <w:p w14:paraId="0E4BA098" w14:textId="5D746E3A" w:rsidR="0025036C" w:rsidRPr="0017640D" w:rsidRDefault="0025036C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(0.067</w:t>
            </w:r>
            <w:r w:rsidRPr="0017640D">
              <w:rPr>
                <w:color w:val="000000" w:themeColor="text1"/>
                <w:sz w:val="19"/>
                <w:szCs w:val="19"/>
              </w:rPr>
              <w:t>)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7C16DD1" w14:textId="100EE482" w:rsidR="0025036C" w:rsidRPr="0017640D" w:rsidRDefault="0025036C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17640D">
              <w:rPr>
                <w:color w:val="000000" w:themeColor="text1"/>
                <w:sz w:val="19"/>
                <w:szCs w:val="19"/>
              </w:rPr>
              <w:t>0.2</w:t>
            </w:r>
            <w:r>
              <w:rPr>
                <w:color w:val="000000" w:themeColor="text1"/>
                <w:sz w:val="19"/>
                <w:szCs w:val="19"/>
              </w:rPr>
              <w:t>70</w:t>
            </w:r>
            <w:r w:rsidRPr="0017640D">
              <w:rPr>
                <w:color w:val="000000" w:themeColor="text1"/>
                <w:sz w:val="19"/>
                <w:szCs w:val="19"/>
                <w:vertAlign w:val="superscript"/>
              </w:rPr>
              <w:t>**</w:t>
            </w:r>
          </w:p>
          <w:p w14:paraId="2BEC1637" w14:textId="72B0F2AD" w:rsidR="0025036C" w:rsidRPr="0017640D" w:rsidRDefault="004863D2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(0.08</w:t>
            </w:r>
            <w:r w:rsidR="0025036C">
              <w:rPr>
                <w:color w:val="000000" w:themeColor="text1"/>
                <w:sz w:val="19"/>
                <w:szCs w:val="19"/>
              </w:rPr>
              <w:t>6</w:t>
            </w:r>
            <w:r w:rsidR="0025036C" w:rsidRPr="0017640D">
              <w:rPr>
                <w:color w:val="000000" w:themeColor="text1"/>
                <w:sz w:val="19"/>
                <w:szCs w:val="19"/>
              </w:rPr>
              <w:t>)</w:t>
            </w:r>
          </w:p>
        </w:tc>
        <w:tc>
          <w:tcPr>
            <w:tcW w:w="99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B1CFA8C" w14:textId="7A2CD0B1" w:rsidR="0025036C" w:rsidRPr="0017640D" w:rsidRDefault="0025036C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17640D">
              <w:rPr>
                <w:color w:val="000000" w:themeColor="text1"/>
                <w:sz w:val="19"/>
                <w:szCs w:val="19"/>
              </w:rPr>
              <w:t>0.</w:t>
            </w:r>
            <w:r>
              <w:rPr>
                <w:color w:val="000000" w:themeColor="text1"/>
                <w:sz w:val="19"/>
                <w:szCs w:val="19"/>
              </w:rPr>
              <w:t>218</w:t>
            </w:r>
            <w:r w:rsidRPr="0017640D">
              <w:rPr>
                <w:color w:val="000000" w:themeColor="text1"/>
                <w:sz w:val="19"/>
                <w:szCs w:val="19"/>
                <w:vertAlign w:val="superscript"/>
              </w:rPr>
              <w:t>*</w:t>
            </w:r>
            <w:r>
              <w:rPr>
                <w:color w:val="000000" w:themeColor="text1"/>
                <w:sz w:val="19"/>
                <w:szCs w:val="19"/>
                <w:vertAlign w:val="superscript"/>
              </w:rPr>
              <w:t>*</w:t>
            </w:r>
            <w:r w:rsidRPr="0017640D">
              <w:rPr>
                <w:color w:val="000000" w:themeColor="text1"/>
                <w:sz w:val="19"/>
                <w:szCs w:val="19"/>
                <w:vertAlign w:val="superscript"/>
              </w:rPr>
              <w:t>*</w:t>
            </w:r>
          </w:p>
          <w:p w14:paraId="41C49A09" w14:textId="3F534FE5" w:rsidR="0025036C" w:rsidRPr="0017640D" w:rsidRDefault="0025036C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(0.067</w:t>
            </w:r>
            <w:r w:rsidRPr="0017640D">
              <w:rPr>
                <w:color w:val="000000" w:themeColor="text1"/>
                <w:sz w:val="19"/>
                <w:szCs w:val="19"/>
              </w:rPr>
              <w:t>)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E56288F" w14:textId="40A29973" w:rsidR="0025036C" w:rsidRPr="0017640D" w:rsidRDefault="0025036C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17640D">
              <w:rPr>
                <w:color w:val="000000" w:themeColor="text1"/>
                <w:sz w:val="19"/>
                <w:szCs w:val="19"/>
              </w:rPr>
              <w:t>0.</w:t>
            </w:r>
            <w:r>
              <w:rPr>
                <w:color w:val="000000" w:themeColor="text1"/>
                <w:sz w:val="19"/>
                <w:szCs w:val="19"/>
              </w:rPr>
              <w:t>327</w:t>
            </w:r>
            <w:r w:rsidRPr="0017640D">
              <w:rPr>
                <w:color w:val="000000" w:themeColor="text1"/>
                <w:sz w:val="19"/>
                <w:szCs w:val="19"/>
                <w:vertAlign w:val="superscript"/>
              </w:rPr>
              <w:t>***</w:t>
            </w:r>
          </w:p>
          <w:p w14:paraId="3A5EAEE5" w14:textId="41FE860D" w:rsidR="0025036C" w:rsidRPr="0017640D" w:rsidRDefault="0025036C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(0.085</w:t>
            </w:r>
            <w:r w:rsidRPr="0017640D">
              <w:rPr>
                <w:color w:val="000000" w:themeColor="text1"/>
                <w:sz w:val="19"/>
                <w:szCs w:val="19"/>
              </w:rPr>
              <w:t>)</w:t>
            </w:r>
          </w:p>
        </w:tc>
      </w:tr>
      <w:tr w:rsidR="0025036C" w:rsidRPr="00DB1E85" w14:paraId="3F2C435A" w14:textId="77777777" w:rsidTr="004863D2">
        <w:tc>
          <w:tcPr>
            <w:tcW w:w="5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A43E7A" w14:textId="1F0AA2B7" w:rsidR="0025036C" w:rsidRPr="0017640D" w:rsidRDefault="0025036C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17640D">
              <w:rPr>
                <w:color w:val="000000" w:themeColor="text1"/>
                <w:sz w:val="19"/>
                <w:szCs w:val="19"/>
              </w:rPr>
              <w:t>22</w:t>
            </w:r>
          </w:p>
        </w:tc>
        <w:tc>
          <w:tcPr>
            <w:tcW w:w="336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FD9189" w14:textId="06FE00D4" w:rsidR="0025036C" w:rsidRPr="0017640D" w:rsidRDefault="0025036C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17640D">
              <w:rPr>
                <w:color w:val="000000" w:themeColor="text1"/>
                <w:sz w:val="19"/>
                <w:szCs w:val="19"/>
              </w:rPr>
              <w:t>Initial</w:t>
            </w:r>
            <w:r>
              <w:rPr>
                <w:color w:val="000000" w:themeColor="text1"/>
                <w:sz w:val="19"/>
                <w:szCs w:val="19"/>
              </w:rPr>
              <w:t xml:space="preserve"> </w:t>
            </w:r>
            <w:r w:rsidRPr="0017640D">
              <w:rPr>
                <w:color w:val="000000" w:themeColor="text1"/>
                <w:sz w:val="19"/>
                <w:szCs w:val="19"/>
              </w:rPr>
              <w:t>Condition</w:t>
            </w:r>
            <w:r>
              <w:rPr>
                <w:color w:val="000000" w:themeColor="text1"/>
                <w:sz w:val="19"/>
                <w:szCs w:val="19"/>
              </w:rPr>
              <w:t xml:space="preserve"> </w:t>
            </w:r>
            <w:r w:rsidRPr="0017640D">
              <w:rPr>
                <w:color w:val="000000" w:themeColor="text1"/>
                <w:sz w:val="19"/>
                <w:szCs w:val="19"/>
              </w:rPr>
              <w:t>(Percentage</w:t>
            </w:r>
            <w:r>
              <w:rPr>
                <w:color w:val="000000" w:themeColor="text1"/>
                <w:sz w:val="19"/>
                <w:szCs w:val="19"/>
              </w:rPr>
              <w:t xml:space="preserve"> </w:t>
            </w:r>
            <w:r w:rsidRPr="0017640D">
              <w:rPr>
                <w:color w:val="000000" w:themeColor="text1"/>
                <w:sz w:val="19"/>
                <w:szCs w:val="19"/>
              </w:rPr>
              <w:t>of</w:t>
            </w:r>
            <w:r>
              <w:rPr>
                <w:color w:val="000000" w:themeColor="text1"/>
                <w:sz w:val="19"/>
                <w:szCs w:val="19"/>
              </w:rPr>
              <w:t xml:space="preserve"> </w:t>
            </w:r>
            <w:r w:rsidRPr="0017640D">
              <w:rPr>
                <w:color w:val="000000" w:themeColor="text1"/>
                <w:sz w:val="19"/>
                <w:szCs w:val="19"/>
              </w:rPr>
              <w:t>Banks</w:t>
            </w:r>
          </w:p>
          <w:p w14:paraId="5DC4E59F" w14:textId="044E58B2" w:rsidR="0025036C" w:rsidRPr="0017640D" w:rsidRDefault="0025036C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 xml:space="preserve"> </w:t>
            </w:r>
            <w:r w:rsidRPr="0017640D">
              <w:rPr>
                <w:color w:val="000000" w:themeColor="text1"/>
                <w:sz w:val="19"/>
                <w:szCs w:val="19"/>
              </w:rPr>
              <w:t>that</w:t>
            </w:r>
            <w:r>
              <w:rPr>
                <w:color w:val="000000" w:themeColor="text1"/>
                <w:sz w:val="19"/>
                <w:szCs w:val="19"/>
              </w:rPr>
              <w:t xml:space="preserve"> </w:t>
            </w:r>
            <w:r w:rsidRPr="0017640D">
              <w:rPr>
                <w:color w:val="000000" w:themeColor="text1"/>
                <w:sz w:val="19"/>
                <w:szCs w:val="19"/>
              </w:rPr>
              <w:t>Borrow</w:t>
            </w:r>
            <w:r>
              <w:rPr>
                <w:color w:val="000000" w:themeColor="text1"/>
                <w:sz w:val="19"/>
                <w:szCs w:val="19"/>
              </w:rPr>
              <w:t xml:space="preserve"> </w:t>
            </w:r>
            <w:r w:rsidRPr="0017640D">
              <w:rPr>
                <w:color w:val="000000" w:themeColor="text1"/>
                <w:sz w:val="19"/>
                <w:szCs w:val="19"/>
              </w:rPr>
              <w:t>at</w:t>
            </w:r>
            <w:r>
              <w:rPr>
                <w:color w:val="000000" w:themeColor="text1"/>
                <w:sz w:val="19"/>
                <w:szCs w:val="19"/>
              </w:rPr>
              <w:t xml:space="preserve"> </w:t>
            </w:r>
            <w:r w:rsidRPr="0017640D">
              <w:rPr>
                <w:color w:val="000000" w:themeColor="text1"/>
                <w:sz w:val="19"/>
                <w:szCs w:val="19"/>
              </w:rPr>
              <w:t>DW</w:t>
            </w:r>
            <w:r>
              <w:rPr>
                <w:color w:val="000000" w:themeColor="text1"/>
                <w:sz w:val="19"/>
                <w:szCs w:val="19"/>
              </w:rPr>
              <w:t xml:space="preserve"> </w:t>
            </w:r>
            <w:r w:rsidRPr="0017640D">
              <w:rPr>
                <w:color w:val="000000" w:themeColor="text1"/>
                <w:sz w:val="19"/>
                <w:szCs w:val="19"/>
              </w:rPr>
              <w:t>in</w:t>
            </w:r>
            <w:r>
              <w:rPr>
                <w:color w:val="000000" w:themeColor="text1"/>
                <w:sz w:val="19"/>
                <w:szCs w:val="19"/>
              </w:rPr>
              <w:t xml:space="preserve"> </w:t>
            </w:r>
            <w:r w:rsidRPr="0017640D">
              <w:rPr>
                <w:color w:val="000000" w:themeColor="text1"/>
                <w:sz w:val="19"/>
                <w:szCs w:val="19"/>
              </w:rPr>
              <w:t>round</w:t>
            </w:r>
            <w:r>
              <w:rPr>
                <w:color w:val="000000" w:themeColor="text1"/>
                <w:sz w:val="19"/>
                <w:szCs w:val="19"/>
              </w:rPr>
              <w:t xml:space="preserve"> </w:t>
            </w:r>
            <w:r w:rsidRPr="0017640D">
              <w:rPr>
                <w:color w:val="000000" w:themeColor="text1"/>
                <w:sz w:val="19"/>
                <w:szCs w:val="19"/>
              </w:rPr>
              <w:t>1)</w:t>
            </w:r>
          </w:p>
        </w:tc>
        <w:tc>
          <w:tcPr>
            <w:tcW w:w="9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5A9EF15" w14:textId="75B79AE1" w:rsidR="0025036C" w:rsidRPr="0017640D" w:rsidRDefault="0025036C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__</w:t>
            </w:r>
          </w:p>
        </w:tc>
        <w:tc>
          <w:tcPr>
            <w:tcW w:w="90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345EF2A" w14:textId="1FBD97CF" w:rsidR="0025036C" w:rsidRPr="0017640D" w:rsidRDefault="0025036C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__</w:t>
            </w:r>
          </w:p>
        </w:tc>
        <w:tc>
          <w:tcPr>
            <w:tcW w:w="99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CF505BB" w14:textId="1A450956" w:rsidR="0025036C" w:rsidRPr="0017640D" w:rsidRDefault="0025036C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-0.177</w:t>
            </w:r>
          </w:p>
          <w:p w14:paraId="0EE9D138" w14:textId="06BF9CA0" w:rsidR="0025036C" w:rsidRPr="0017640D" w:rsidRDefault="0025036C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(0.233</w:t>
            </w:r>
            <w:r w:rsidRPr="0017640D">
              <w:rPr>
                <w:color w:val="000000" w:themeColor="text1"/>
                <w:sz w:val="19"/>
                <w:szCs w:val="19"/>
              </w:rPr>
              <w:t>)</w:t>
            </w:r>
          </w:p>
        </w:tc>
        <w:tc>
          <w:tcPr>
            <w:tcW w:w="90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ECF5847" w14:textId="2777C91C" w:rsidR="0025036C" w:rsidRPr="0017640D" w:rsidRDefault="0025036C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0.153</w:t>
            </w:r>
          </w:p>
          <w:p w14:paraId="59A5A0FE" w14:textId="5BDADB14" w:rsidR="0025036C" w:rsidRPr="0017640D" w:rsidRDefault="0025036C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(0.219</w:t>
            </w:r>
            <w:r w:rsidRPr="0017640D">
              <w:rPr>
                <w:color w:val="000000" w:themeColor="text1"/>
                <w:sz w:val="19"/>
                <w:szCs w:val="19"/>
              </w:rPr>
              <w:t>)</w:t>
            </w:r>
          </w:p>
        </w:tc>
        <w:tc>
          <w:tcPr>
            <w:tcW w:w="99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21E0744" w14:textId="1B11AD0C" w:rsidR="0025036C" w:rsidRPr="0017640D" w:rsidRDefault="0025036C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-0.097</w:t>
            </w:r>
          </w:p>
          <w:p w14:paraId="15099120" w14:textId="2DFA59E7" w:rsidR="0025036C" w:rsidRPr="0017640D" w:rsidRDefault="0025036C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(0.213</w:t>
            </w:r>
            <w:r w:rsidRPr="0017640D">
              <w:rPr>
                <w:color w:val="000000" w:themeColor="text1"/>
                <w:sz w:val="19"/>
                <w:szCs w:val="19"/>
              </w:rPr>
              <w:t>)</w:t>
            </w:r>
          </w:p>
        </w:tc>
        <w:tc>
          <w:tcPr>
            <w:tcW w:w="90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B112ECD" w14:textId="6DECD943" w:rsidR="0025036C" w:rsidRPr="0017640D" w:rsidRDefault="0025036C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0.210</w:t>
            </w:r>
          </w:p>
          <w:p w14:paraId="4D3D2E76" w14:textId="395CE77B" w:rsidR="0025036C" w:rsidRPr="0017640D" w:rsidRDefault="0025036C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(0.218</w:t>
            </w:r>
            <w:r w:rsidRPr="0017640D">
              <w:rPr>
                <w:color w:val="000000" w:themeColor="text1"/>
                <w:sz w:val="19"/>
                <w:szCs w:val="19"/>
              </w:rPr>
              <w:t>)</w:t>
            </w:r>
          </w:p>
        </w:tc>
      </w:tr>
      <w:tr w:rsidR="0025036C" w:rsidRPr="00DB1E85" w14:paraId="61C00B8C" w14:textId="77777777" w:rsidTr="004863D2">
        <w:tc>
          <w:tcPr>
            <w:tcW w:w="5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020AF69" w14:textId="088ACD0E" w:rsidR="0025036C" w:rsidRPr="0017640D" w:rsidRDefault="0025036C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17640D">
              <w:rPr>
                <w:color w:val="000000" w:themeColor="text1"/>
                <w:sz w:val="19"/>
                <w:szCs w:val="19"/>
              </w:rPr>
              <w:t>23</w:t>
            </w:r>
          </w:p>
        </w:tc>
        <w:tc>
          <w:tcPr>
            <w:tcW w:w="336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0F60F36" w14:textId="4F261BFB" w:rsidR="0025036C" w:rsidRPr="0017640D" w:rsidRDefault="0025036C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17640D">
              <w:rPr>
                <w:color w:val="000000" w:themeColor="text1"/>
                <w:sz w:val="19"/>
                <w:szCs w:val="19"/>
              </w:rPr>
              <w:t>Risk</w:t>
            </w:r>
            <w:r>
              <w:rPr>
                <w:color w:val="000000" w:themeColor="text1"/>
                <w:sz w:val="19"/>
                <w:szCs w:val="19"/>
              </w:rPr>
              <w:t xml:space="preserve"> </w:t>
            </w:r>
            <w:r w:rsidRPr="0017640D">
              <w:rPr>
                <w:color w:val="000000" w:themeColor="text1"/>
                <w:sz w:val="19"/>
                <w:szCs w:val="19"/>
              </w:rPr>
              <w:t>Attitude</w:t>
            </w:r>
            <w:r>
              <w:rPr>
                <w:color w:val="000000" w:themeColor="text1"/>
                <w:sz w:val="19"/>
                <w:szCs w:val="19"/>
              </w:rPr>
              <w:t xml:space="preserve"> </w:t>
            </w:r>
            <w:r w:rsidRPr="0017640D">
              <w:rPr>
                <w:color w:val="000000" w:themeColor="text1"/>
                <w:sz w:val="19"/>
                <w:szCs w:val="19"/>
              </w:rPr>
              <w:t>Measure</w:t>
            </w:r>
            <w:r>
              <w:rPr>
                <w:color w:val="000000" w:themeColor="text1"/>
                <w:sz w:val="19"/>
                <w:szCs w:val="19"/>
              </w:rPr>
              <w:t xml:space="preserve"> </w:t>
            </w:r>
            <w:r w:rsidRPr="0017640D">
              <w:rPr>
                <w:color w:val="000000" w:themeColor="text1"/>
                <w:sz w:val="19"/>
                <w:szCs w:val="19"/>
              </w:rPr>
              <w:t>(BRET)</w:t>
            </w:r>
          </w:p>
        </w:tc>
        <w:tc>
          <w:tcPr>
            <w:tcW w:w="95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AB249B6" w14:textId="4775B398" w:rsidR="0025036C" w:rsidRPr="0017640D" w:rsidRDefault="0025036C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__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4C27C58" w14:textId="0977AE6E" w:rsidR="0025036C" w:rsidRPr="0017640D" w:rsidRDefault="0025036C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__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42922C4" w14:textId="30D0A904" w:rsidR="0025036C" w:rsidRPr="0017640D" w:rsidRDefault="0025036C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__</w:t>
            </w:r>
          </w:p>
        </w:tc>
        <w:tc>
          <w:tcPr>
            <w:tcW w:w="9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927C17F" w14:textId="1C4C18A3" w:rsidR="0025036C" w:rsidRPr="0017640D" w:rsidRDefault="0025036C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__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5370E90" w14:textId="10AE3307" w:rsidR="0025036C" w:rsidRPr="0017640D" w:rsidRDefault="0025036C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17640D">
              <w:rPr>
                <w:color w:val="000000" w:themeColor="text1"/>
                <w:sz w:val="19"/>
                <w:szCs w:val="19"/>
              </w:rPr>
              <w:t>0.00</w:t>
            </w:r>
            <w:r>
              <w:rPr>
                <w:color w:val="000000" w:themeColor="text1"/>
                <w:sz w:val="19"/>
                <w:szCs w:val="19"/>
              </w:rPr>
              <w:t>5</w:t>
            </w:r>
            <w:r w:rsidRPr="0017640D">
              <w:rPr>
                <w:color w:val="000000" w:themeColor="text1"/>
                <w:sz w:val="19"/>
                <w:szCs w:val="19"/>
                <w:vertAlign w:val="superscript"/>
              </w:rPr>
              <w:t>***</w:t>
            </w:r>
          </w:p>
          <w:p w14:paraId="1C367398" w14:textId="5EDD1E1B" w:rsidR="0025036C" w:rsidRPr="0017640D" w:rsidRDefault="0025036C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17640D">
              <w:rPr>
                <w:color w:val="000000" w:themeColor="text1"/>
                <w:sz w:val="19"/>
                <w:szCs w:val="19"/>
              </w:rPr>
              <w:t>(0.001)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FFD5A6B" w14:textId="03E277AA" w:rsidR="0025036C" w:rsidRPr="0017640D" w:rsidRDefault="0025036C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17640D">
              <w:rPr>
                <w:color w:val="000000" w:themeColor="text1"/>
                <w:sz w:val="19"/>
                <w:szCs w:val="19"/>
              </w:rPr>
              <w:t>0.006</w:t>
            </w:r>
            <w:r w:rsidRPr="0017640D">
              <w:rPr>
                <w:color w:val="000000" w:themeColor="text1"/>
                <w:sz w:val="19"/>
                <w:szCs w:val="19"/>
                <w:vertAlign w:val="superscript"/>
              </w:rPr>
              <w:t>***</w:t>
            </w:r>
          </w:p>
          <w:p w14:paraId="6582B0A8" w14:textId="2766F8D6" w:rsidR="0025036C" w:rsidRPr="0017640D" w:rsidRDefault="0025036C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17640D">
              <w:rPr>
                <w:color w:val="000000" w:themeColor="text1"/>
                <w:sz w:val="19"/>
                <w:szCs w:val="19"/>
              </w:rPr>
              <w:t>(0.002)</w:t>
            </w:r>
          </w:p>
        </w:tc>
      </w:tr>
      <w:tr w:rsidR="0025036C" w:rsidRPr="00DB1E85" w14:paraId="72F1F04C" w14:textId="77777777" w:rsidTr="004863D2"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F87F6FE" w14:textId="40D4115E" w:rsidR="0025036C" w:rsidRPr="0017640D" w:rsidRDefault="0025036C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17640D">
              <w:rPr>
                <w:color w:val="000000" w:themeColor="text1"/>
                <w:sz w:val="19"/>
                <w:szCs w:val="19"/>
              </w:rPr>
              <w:t>24</w:t>
            </w:r>
          </w:p>
        </w:tc>
        <w:tc>
          <w:tcPr>
            <w:tcW w:w="336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E1B2ECA" w14:textId="77777777" w:rsidR="0025036C" w:rsidRPr="0017640D" w:rsidRDefault="0025036C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17640D">
              <w:rPr>
                <w:color w:val="000000" w:themeColor="text1"/>
                <w:sz w:val="19"/>
                <w:szCs w:val="19"/>
              </w:rPr>
              <w:t>Female</w:t>
            </w:r>
          </w:p>
        </w:tc>
        <w:tc>
          <w:tcPr>
            <w:tcW w:w="957" w:type="dxa"/>
            <w:tcBorders>
              <w:left w:val="single" w:sz="12" w:space="0" w:color="auto"/>
            </w:tcBorders>
            <w:vAlign w:val="center"/>
          </w:tcPr>
          <w:p w14:paraId="33DEBDEC" w14:textId="08D28171" w:rsidR="0025036C" w:rsidRPr="0017640D" w:rsidRDefault="0025036C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__</w:t>
            </w:r>
          </w:p>
        </w:tc>
        <w:tc>
          <w:tcPr>
            <w:tcW w:w="900" w:type="dxa"/>
            <w:gridSpan w:val="2"/>
            <w:tcBorders>
              <w:right w:val="single" w:sz="12" w:space="0" w:color="auto"/>
            </w:tcBorders>
            <w:vAlign w:val="center"/>
          </w:tcPr>
          <w:p w14:paraId="0328C59A" w14:textId="6F7D27B8" w:rsidR="0025036C" w:rsidRPr="0017640D" w:rsidRDefault="0025036C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__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vAlign w:val="center"/>
          </w:tcPr>
          <w:p w14:paraId="4E3167A2" w14:textId="2E59EC53" w:rsidR="0025036C" w:rsidRPr="0017640D" w:rsidRDefault="0025036C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__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14:paraId="58617EA7" w14:textId="4ACBEE17" w:rsidR="0025036C" w:rsidRPr="0017640D" w:rsidRDefault="0025036C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__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vAlign w:val="center"/>
          </w:tcPr>
          <w:p w14:paraId="2F44C47B" w14:textId="0FFDA8A2" w:rsidR="0025036C" w:rsidRPr="0017640D" w:rsidRDefault="0025036C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0.004</w:t>
            </w:r>
          </w:p>
          <w:p w14:paraId="7C32672A" w14:textId="16FD4A03" w:rsidR="0025036C" w:rsidRPr="0017640D" w:rsidRDefault="0025036C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(0.037</w:t>
            </w:r>
            <w:r w:rsidRPr="0017640D">
              <w:rPr>
                <w:color w:val="000000" w:themeColor="text1"/>
                <w:sz w:val="19"/>
                <w:szCs w:val="19"/>
              </w:rPr>
              <w:t>)</w:t>
            </w:r>
          </w:p>
        </w:tc>
        <w:tc>
          <w:tcPr>
            <w:tcW w:w="900" w:type="dxa"/>
            <w:gridSpan w:val="2"/>
            <w:tcBorders>
              <w:right w:val="single" w:sz="12" w:space="0" w:color="auto"/>
            </w:tcBorders>
            <w:vAlign w:val="center"/>
          </w:tcPr>
          <w:p w14:paraId="34ACB736" w14:textId="317FE6BF" w:rsidR="0025036C" w:rsidRPr="0017640D" w:rsidRDefault="0025036C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-0.026</w:t>
            </w:r>
          </w:p>
          <w:p w14:paraId="60FD5D52" w14:textId="417216B1" w:rsidR="0025036C" w:rsidRPr="0017640D" w:rsidRDefault="0025036C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17640D">
              <w:rPr>
                <w:color w:val="000000" w:themeColor="text1"/>
                <w:sz w:val="19"/>
                <w:szCs w:val="19"/>
              </w:rPr>
              <w:t>(0.040)</w:t>
            </w:r>
          </w:p>
        </w:tc>
      </w:tr>
      <w:tr w:rsidR="0025036C" w:rsidRPr="00DB1E85" w14:paraId="315A664D" w14:textId="77777777" w:rsidTr="004863D2">
        <w:tc>
          <w:tcPr>
            <w:tcW w:w="5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9C87D3" w14:textId="18F42E0D" w:rsidR="0025036C" w:rsidRPr="0017640D" w:rsidRDefault="0025036C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17640D">
              <w:rPr>
                <w:color w:val="000000" w:themeColor="text1"/>
                <w:sz w:val="19"/>
                <w:szCs w:val="19"/>
              </w:rPr>
              <w:t>25</w:t>
            </w:r>
          </w:p>
        </w:tc>
        <w:tc>
          <w:tcPr>
            <w:tcW w:w="336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1378FF" w14:textId="77777777" w:rsidR="0025036C" w:rsidRPr="0017640D" w:rsidRDefault="0025036C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17640D">
              <w:rPr>
                <w:color w:val="000000" w:themeColor="text1"/>
                <w:sz w:val="19"/>
                <w:szCs w:val="19"/>
              </w:rPr>
              <w:t>Age</w:t>
            </w:r>
          </w:p>
        </w:tc>
        <w:tc>
          <w:tcPr>
            <w:tcW w:w="9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C15DC8D" w14:textId="2F69B488" w:rsidR="0025036C" w:rsidRPr="0017640D" w:rsidRDefault="0025036C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__</w:t>
            </w:r>
          </w:p>
        </w:tc>
        <w:tc>
          <w:tcPr>
            <w:tcW w:w="90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DBAE842" w14:textId="053F9476" w:rsidR="0025036C" w:rsidRPr="0017640D" w:rsidRDefault="0025036C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__</w:t>
            </w:r>
          </w:p>
        </w:tc>
        <w:tc>
          <w:tcPr>
            <w:tcW w:w="99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66D206B" w14:textId="0C79BC34" w:rsidR="0025036C" w:rsidRPr="0017640D" w:rsidRDefault="0025036C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__</w:t>
            </w:r>
          </w:p>
        </w:tc>
        <w:tc>
          <w:tcPr>
            <w:tcW w:w="90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38166D7" w14:textId="3535D42F" w:rsidR="0025036C" w:rsidRPr="0017640D" w:rsidRDefault="0025036C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__</w:t>
            </w:r>
          </w:p>
        </w:tc>
        <w:tc>
          <w:tcPr>
            <w:tcW w:w="99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65301E6" w14:textId="42782088" w:rsidR="0025036C" w:rsidRPr="0017640D" w:rsidRDefault="0025036C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0.005</w:t>
            </w:r>
          </w:p>
          <w:p w14:paraId="297CAC73" w14:textId="45D7F71F" w:rsidR="0025036C" w:rsidRPr="0017640D" w:rsidRDefault="0025036C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17640D">
              <w:rPr>
                <w:color w:val="000000" w:themeColor="text1"/>
                <w:sz w:val="19"/>
                <w:szCs w:val="19"/>
              </w:rPr>
              <w:t>(0.007)</w:t>
            </w:r>
          </w:p>
        </w:tc>
        <w:tc>
          <w:tcPr>
            <w:tcW w:w="90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EF06DBA" w14:textId="1E9D74EC" w:rsidR="0025036C" w:rsidRPr="0017640D" w:rsidRDefault="0025036C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-0.007</w:t>
            </w:r>
          </w:p>
          <w:p w14:paraId="58AE4A04" w14:textId="465D4E35" w:rsidR="0025036C" w:rsidRPr="0017640D" w:rsidRDefault="0025036C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(0.007</w:t>
            </w:r>
            <w:r w:rsidRPr="0017640D">
              <w:rPr>
                <w:color w:val="000000" w:themeColor="text1"/>
                <w:sz w:val="19"/>
                <w:szCs w:val="19"/>
              </w:rPr>
              <w:t>)</w:t>
            </w:r>
          </w:p>
        </w:tc>
      </w:tr>
      <w:tr w:rsidR="0025036C" w:rsidRPr="00DB1E85" w14:paraId="0E8A227F" w14:textId="77777777" w:rsidTr="004863D2"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13728F" w14:textId="4DC9CA67" w:rsidR="0025036C" w:rsidRPr="0017640D" w:rsidRDefault="0025036C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17640D">
              <w:rPr>
                <w:color w:val="000000" w:themeColor="text1"/>
                <w:sz w:val="19"/>
                <w:szCs w:val="19"/>
              </w:rPr>
              <w:t>26</w:t>
            </w:r>
          </w:p>
        </w:tc>
        <w:tc>
          <w:tcPr>
            <w:tcW w:w="33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1EC8F1" w14:textId="793E4926" w:rsidR="0025036C" w:rsidRPr="0017640D" w:rsidRDefault="0025036C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19"/>
                    <w:szCs w:val="19"/>
                  </w:rPr>
                  <m:t>ρ</m:t>
                </m:r>
              </m:oMath>
            </m:oMathPara>
          </w:p>
        </w:tc>
        <w:tc>
          <w:tcPr>
            <w:tcW w:w="185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0F9C18" w14:textId="29BA2C9D" w:rsidR="0025036C" w:rsidRPr="0017640D" w:rsidRDefault="0025036C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17640D">
              <w:rPr>
                <w:color w:val="000000" w:themeColor="text1"/>
                <w:sz w:val="19"/>
                <w:szCs w:val="19"/>
              </w:rPr>
              <w:t>0.48</w:t>
            </w:r>
            <w:r>
              <w:rPr>
                <w:color w:val="000000" w:themeColor="text1"/>
                <w:sz w:val="19"/>
                <w:szCs w:val="19"/>
              </w:rPr>
              <w:t>4</w:t>
            </w:r>
            <w:r w:rsidRPr="0017640D">
              <w:rPr>
                <w:color w:val="000000" w:themeColor="text1"/>
                <w:sz w:val="19"/>
                <w:szCs w:val="19"/>
                <w:vertAlign w:val="superscript"/>
              </w:rPr>
              <w:t>***</w:t>
            </w:r>
          </w:p>
          <w:p w14:paraId="7AE416B0" w14:textId="69AE709B" w:rsidR="0025036C" w:rsidRPr="0017640D" w:rsidRDefault="0025036C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17640D">
              <w:rPr>
                <w:color w:val="000000" w:themeColor="text1"/>
                <w:sz w:val="19"/>
                <w:szCs w:val="19"/>
              </w:rPr>
              <w:t>(0.051)</w:t>
            </w:r>
          </w:p>
        </w:tc>
        <w:tc>
          <w:tcPr>
            <w:tcW w:w="18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475334" w14:textId="3DAA43B4" w:rsidR="0025036C" w:rsidRPr="0017640D" w:rsidRDefault="0025036C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17640D">
              <w:rPr>
                <w:color w:val="000000" w:themeColor="text1"/>
                <w:sz w:val="19"/>
                <w:szCs w:val="19"/>
              </w:rPr>
              <w:t>0.2</w:t>
            </w:r>
            <w:r>
              <w:rPr>
                <w:color w:val="000000" w:themeColor="text1"/>
                <w:sz w:val="19"/>
                <w:szCs w:val="19"/>
              </w:rPr>
              <w:t>66</w:t>
            </w:r>
            <w:r w:rsidRPr="0017640D">
              <w:rPr>
                <w:color w:val="000000" w:themeColor="text1"/>
                <w:sz w:val="19"/>
                <w:szCs w:val="19"/>
                <w:vertAlign w:val="superscript"/>
              </w:rPr>
              <w:t>***</w:t>
            </w:r>
          </w:p>
          <w:p w14:paraId="1A4FAFB6" w14:textId="7A0B2D60" w:rsidR="0025036C" w:rsidRPr="0017640D" w:rsidRDefault="0025036C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17640D">
              <w:rPr>
                <w:color w:val="000000" w:themeColor="text1"/>
                <w:sz w:val="19"/>
                <w:szCs w:val="19"/>
              </w:rPr>
              <w:t>(0.05</w:t>
            </w:r>
            <w:r>
              <w:rPr>
                <w:color w:val="000000" w:themeColor="text1"/>
                <w:sz w:val="19"/>
                <w:szCs w:val="19"/>
              </w:rPr>
              <w:t>3</w:t>
            </w:r>
            <w:r w:rsidRPr="0017640D">
              <w:rPr>
                <w:color w:val="000000" w:themeColor="text1"/>
                <w:sz w:val="19"/>
                <w:szCs w:val="19"/>
              </w:rPr>
              <w:t>)</w:t>
            </w:r>
          </w:p>
        </w:tc>
        <w:tc>
          <w:tcPr>
            <w:tcW w:w="18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1486F8" w14:textId="3975395D" w:rsidR="0025036C" w:rsidRPr="0017640D" w:rsidRDefault="0025036C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17640D">
              <w:rPr>
                <w:color w:val="000000" w:themeColor="text1"/>
                <w:sz w:val="19"/>
                <w:szCs w:val="19"/>
              </w:rPr>
              <w:t>0.2</w:t>
            </w:r>
            <w:r>
              <w:rPr>
                <w:color w:val="000000" w:themeColor="text1"/>
                <w:sz w:val="19"/>
                <w:szCs w:val="19"/>
              </w:rPr>
              <w:t>52</w:t>
            </w:r>
            <w:r w:rsidRPr="0017640D">
              <w:rPr>
                <w:color w:val="000000" w:themeColor="text1"/>
                <w:sz w:val="19"/>
                <w:szCs w:val="19"/>
                <w:vertAlign w:val="superscript"/>
              </w:rPr>
              <w:t>***</w:t>
            </w:r>
          </w:p>
          <w:p w14:paraId="748ADE96" w14:textId="70F36160" w:rsidR="0025036C" w:rsidRPr="0017640D" w:rsidRDefault="0025036C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17640D">
              <w:rPr>
                <w:color w:val="000000" w:themeColor="text1"/>
                <w:sz w:val="19"/>
                <w:szCs w:val="19"/>
              </w:rPr>
              <w:t>(0.054)</w:t>
            </w:r>
          </w:p>
        </w:tc>
      </w:tr>
      <w:tr w:rsidR="0025036C" w:rsidRPr="00DB1E85" w14:paraId="6710DED3" w14:textId="77777777" w:rsidTr="004863D2"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45A1B4E" w14:textId="49C7CB79" w:rsidR="0025036C" w:rsidRPr="0017640D" w:rsidRDefault="0025036C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17640D">
              <w:rPr>
                <w:color w:val="000000" w:themeColor="text1"/>
                <w:sz w:val="19"/>
                <w:szCs w:val="19"/>
              </w:rPr>
              <w:t>2</w:t>
            </w:r>
            <w:r w:rsidR="004863D2">
              <w:rPr>
                <w:color w:val="000000" w:themeColor="text1"/>
                <w:sz w:val="19"/>
                <w:szCs w:val="19"/>
              </w:rPr>
              <w:t>7</w:t>
            </w:r>
          </w:p>
        </w:tc>
        <w:tc>
          <w:tcPr>
            <w:tcW w:w="1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FD66FE0" w14:textId="657FAA81" w:rsidR="0025036C" w:rsidRPr="0017640D" w:rsidRDefault="0025036C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17640D">
              <w:rPr>
                <w:color w:val="000000" w:themeColor="text1"/>
                <w:sz w:val="19"/>
                <w:szCs w:val="19"/>
              </w:rPr>
              <w:t>Log</w:t>
            </w:r>
            <w:r>
              <w:rPr>
                <w:color w:val="000000" w:themeColor="text1"/>
                <w:sz w:val="19"/>
                <w:szCs w:val="19"/>
              </w:rPr>
              <w:t xml:space="preserve"> </w:t>
            </w:r>
            <w:r w:rsidRPr="0017640D">
              <w:rPr>
                <w:color w:val="000000" w:themeColor="text1"/>
                <w:sz w:val="19"/>
                <w:szCs w:val="19"/>
              </w:rPr>
              <w:t>Likelihood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8EDDD6" w14:textId="77777777" w:rsidR="0025036C" w:rsidRPr="0017640D" w:rsidRDefault="0025036C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17640D">
              <w:rPr>
                <w:color w:val="000000" w:themeColor="text1"/>
                <w:sz w:val="19"/>
                <w:szCs w:val="19"/>
              </w:rPr>
              <w:t>N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3E11F27" w14:textId="2A779E80" w:rsidR="0025036C" w:rsidRPr="0017640D" w:rsidRDefault="0025036C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17640D">
              <w:rPr>
                <w:color w:val="000000" w:themeColor="text1"/>
                <w:sz w:val="19"/>
                <w:szCs w:val="19"/>
              </w:rPr>
              <w:t>-4,5</w:t>
            </w:r>
            <w:r>
              <w:rPr>
                <w:color w:val="000000" w:themeColor="text1"/>
                <w:sz w:val="19"/>
                <w:szCs w:val="19"/>
              </w:rPr>
              <w:t>05</w:t>
            </w:r>
            <w:r w:rsidRPr="0017640D">
              <w:rPr>
                <w:color w:val="000000" w:themeColor="text1"/>
                <w:sz w:val="19"/>
                <w:szCs w:val="19"/>
              </w:rPr>
              <w:t>.</w:t>
            </w:r>
            <w:r>
              <w:rPr>
                <w:color w:val="000000" w:themeColor="text1"/>
                <w:sz w:val="19"/>
                <w:szCs w:val="19"/>
              </w:rPr>
              <w:t>2</w:t>
            </w:r>
          </w:p>
        </w:tc>
        <w:tc>
          <w:tcPr>
            <w:tcW w:w="7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74EEC9" w14:textId="7DF5D44A" w:rsidR="0025036C" w:rsidRPr="0017640D" w:rsidRDefault="0025036C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17640D">
              <w:rPr>
                <w:color w:val="000000" w:themeColor="text1"/>
                <w:sz w:val="19"/>
                <w:szCs w:val="19"/>
              </w:rPr>
              <w:t>3,600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6F98A21" w14:textId="27922105" w:rsidR="0025036C" w:rsidRPr="0017640D" w:rsidRDefault="0025036C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17640D">
              <w:rPr>
                <w:color w:val="000000" w:themeColor="text1"/>
                <w:sz w:val="19"/>
                <w:szCs w:val="19"/>
              </w:rPr>
              <w:t>-2,9</w:t>
            </w:r>
            <w:r>
              <w:rPr>
                <w:color w:val="000000" w:themeColor="text1"/>
                <w:sz w:val="19"/>
                <w:szCs w:val="19"/>
              </w:rPr>
              <w:t>81</w:t>
            </w:r>
            <w:r w:rsidRPr="0017640D">
              <w:rPr>
                <w:color w:val="000000" w:themeColor="text1"/>
                <w:sz w:val="19"/>
                <w:szCs w:val="19"/>
              </w:rPr>
              <w:t>.</w:t>
            </w:r>
            <w:r>
              <w:rPr>
                <w:color w:val="000000" w:themeColor="text1"/>
                <w:sz w:val="19"/>
                <w:szCs w:val="19"/>
              </w:rPr>
              <w:t>2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351099" w14:textId="53CA5887" w:rsidR="0025036C" w:rsidRPr="0017640D" w:rsidRDefault="0025036C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17640D">
              <w:rPr>
                <w:color w:val="000000" w:themeColor="text1"/>
                <w:sz w:val="19"/>
                <w:szCs w:val="19"/>
              </w:rPr>
              <w:t>3,456</w:t>
            </w:r>
          </w:p>
        </w:tc>
        <w:tc>
          <w:tcPr>
            <w:tcW w:w="11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4CA73AF" w14:textId="2E41DE06" w:rsidR="0025036C" w:rsidRPr="0017640D" w:rsidRDefault="0025036C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-2,916.7</w:t>
            </w:r>
          </w:p>
        </w:tc>
        <w:tc>
          <w:tcPr>
            <w:tcW w:w="7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C4B999" w14:textId="1FD7C5E8" w:rsidR="0025036C" w:rsidRPr="0017640D" w:rsidRDefault="0025036C" w:rsidP="008E1FDB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17640D">
              <w:rPr>
                <w:color w:val="000000" w:themeColor="text1"/>
                <w:sz w:val="19"/>
                <w:szCs w:val="19"/>
              </w:rPr>
              <w:t>3,456</w:t>
            </w:r>
          </w:p>
        </w:tc>
      </w:tr>
    </w:tbl>
    <w:p w14:paraId="0D411FFE" w14:textId="1292410C" w:rsidR="00CE5AF9" w:rsidRPr="00065DBD" w:rsidRDefault="00CE5AF9" w:rsidP="004863D2">
      <w:pPr>
        <w:ind w:left="-90" w:right="-90"/>
        <w:jc w:val="both"/>
        <w:rPr>
          <w:sz w:val="16"/>
          <w:szCs w:val="16"/>
        </w:rPr>
      </w:pPr>
      <w:r w:rsidRPr="00DB1E85">
        <w:rPr>
          <w:sz w:val="16"/>
          <w:szCs w:val="16"/>
        </w:rPr>
        <w:t>Marginal</w:t>
      </w:r>
      <w:r w:rsidR="009A0847">
        <w:rPr>
          <w:sz w:val="16"/>
          <w:szCs w:val="16"/>
        </w:rPr>
        <w:t xml:space="preserve"> </w:t>
      </w:r>
      <w:r w:rsidRPr="00DB1E85">
        <w:rPr>
          <w:sz w:val="16"/>
          <w:szCs w:val="16"/>
        </w:rPr>
        <w:t>effects</w:t>
      </w:r>
      <w:r w:rsidR="009A0847">
        <w:rPr>
          <w:sz w:val="16"/>
          <w:szCs w:val="16"/>
        </w:rPr>
        <w:t xml:space="preserve"> </w:t>
      </w:r>
      <w:r w:rsidRPr="00DB1E85">
        <w:rPr>
          <w:sz w:val="16"/>
          <w:szCs w:val="16"/>
        </w:rPr>
        <w:t>(evaluated</w:t>
      </w:r>
      <w:r w:rsidR="009A0847">
        <w:rPr>
          <w:sz w:val="16"/>
          <w:szCs w:val="16"/>
        </w:rPr>
        <w:t xml:space="preserve"> </w:t>
      </w:r>
      <w:r w:rsidRPr="00DB1E85">
        <w:rPr>
          <w:sz w:val="16"/>
          <w:szCs w:val="16"/>
        </w:rPr>
        <w:t>at</w:t>
      </w:r>
      <w:r w:rsidR="009A0847">
        <w:rPr>
          <w:sz w:val="16"/>
          <w:szCs w:val="16"/>
        </w:rPr>
        <w:t xml:space="preserve"> </w:t>
      </w:r>
      <w:r w:rsidRPr="00DB1E85">
        <w:rPr>
          <w:sz w:val="16"/>
          <w:szCs w:val="16"/>
        </w:rPr>
        <w:t>means)</w:t>
      </w:r>
      <w:r w:rsidR="009A0847">
        <w:rPr>
          <w:sz w:val="16"/>
          <w:szCs w:val="16"/>
        </w:rPr>
        <w:t xml:space="preserve"> </w:t>
      </w:r>
      <w:r w:rsidRPr="00DB1E85">
        <w:rPr>
          <w:sz w:val="16"/>
          <w:szCs w:val="16"/>
        </w:rPr>
        <w:t>are</w:t>
      </w:r>
      <w:r w:rsidR="009A0847">
        <w:rPr>
          <w:sz w:val="16"/>
          <w:szCs w:val="16"/>
        </w:rPr>
        <w:t xml:space="preserve"> </w:t>
      </w:r>
      <w:r w:rsidRPr="00DB1E85">
        <w:rPr>
          <w:sz w:val="16"/>
          <w:szCs w:val="16"/>
        </w:rPr>
        <w:t>reported.</w:t>
      </w:r>
      <w:r w:rsidR="009A0847">
        <w:rPr>
          <w:sz w:val="16"/>
          <w:szCs w:val="16"/>
        </w:rPr>
        <w:t xml:space="preserve"> </w:t>
      </w:r>
      <w:r w:rsidRPr="00DB1E85">
        <w:rPr>
          <w:sz w:val="16"/>
          <w:szCs w:val="16"/>
        </w:rPr>
        <w:t>Standard</w:t>
      </w:r>
      <w:r w:rsidR="009A0847">
        <w:rPr>
          <w:sz w:val="16"/>
          <w:szCs w:val="16"/>
        </w:rPr>
        <w:t xml:space="preserve"> </w:t>
      </w:r>
      <w:r w:rsidRPr="00DB1E85">
        <w:rPr>
          <w:sz w:val="16"/>
          <w:szCs w:val="16"/>
        </w:rPr>
        <w:t>errors</w:t>
      </w:r>
      <w:r w:rsidR="009A0847">
        <w:rPr>
          <w:sz w:val="16"/>
          <w:szCs w:val="16"/>
        </w:rPr>
        <w:t xml:space="preserve"> </w:t>
      </w:r>
      <w:r w:rsidRPr="00DB1E85">
        <w:rPr>
          <w:sz w:val="16"/>
          <w:szCs w:val="16"/>
        </w:rPr>
        <w:t>(in</w:t>
      </w:r>
      <w:r w:rsidR="009A0847">
        <w:rPr>
          <w:sz w:val="16"/>
          <w:szCs w:val="16"/>
        </w:rPr>
        <w:t xml:space="preserve"> </w:t>
      </w:r>
      <w:r w:rsidRPr="00DB1E85">
        <w:rPr>
          <w:sz w:val="16"/>
          <w:szCs w:val="16"/>
        </w:rPr>
        <w:t>parenthesis)</w:t>
      </w:r>
      <w:r w:rsidR="009A0847">
        <w:rPr>
          <w:sz w:val="16"/>
          <w:szCs w:val="16"/>
        </w:rPr>
        <w:t xml:space="preserve"> </w:t>
      </w:r>
      <w:r w:rsidRPr="00DB1E85">
        <w:rPr>
          <w:sz w:val="16"/>
          <w:szCs w:val="16"/>
        </w:rPr>
        <w:t>are</w:t>
      </w:r>
      <w:r w:rsidR="009A0847">
        <w:rPr>
          <w:sz w:val="16"/>
          <w:szCs w:val="16"/>
        </w:rPr>
        <w:t xml:space="preserve"> </w:t>
      </w:r>
      <w:r w:rsidRPr="00DB1E85">
        <w:rPr>
          <w:sz w:val="16"/>
          <w:szCs w:val="16"/>
        </w:rPr>
        <w:t>clustered</w:t>
      </w:r>
      <w:r w:rsidR="009A0847">
        <w:rPr>
          <w:sz w:val="16"/>
          <w:szCs w:val="16"/>
        </w:rPr>
        <w:t xml:space="preserve"> </w:t>
      </w:r>
      <w:r w:rsidRPr="00DB1E85">
        <w:rPr>
          <w:sz w:val="16"/>
          <w:szCs w:val="16"/>
        </w:rPr>
        <w:t>at</w:t>
      </w:r>
      <w:r w:rsidR="009A0847">
        <w:rPr>
          <w:sz w:val="16"/>
          <w:szCs w:val="16"/>
        </w:rPr>
        <w:t xml:space="preserve"> </w:t>
      </w:r>
      <w:r w:rsidRPr="00DB1E85">
        <w:rPr>
          <w:sz w:val="16"/>
          <w:szCs w:val="16"/>
        </w:rPr>
        <w:t>the</w:t>
      </w:r>
      <w:r w:rsidR="009A0847">
        <w:rPr>
          <w:sz w:val="16"/>
          <w:szCs w:val="16"/>
        </w:rPr>
        <w:t xml:space="preserve"> </w:t>
      </w:r>
      <w:r w:rsidRPr="00DB1E85">
        <w:rPr>
          <w:sz w:val="16"/>
          <w:szCs w:val="16"/>
        </w:rPr>
        <w:t>individual</w:t>
      </w:r>
      <w:r w:rsidR="009A0847">
        <w:rPr>
          <w:sz w:val="16"/>
          <w:szCs w:val="16"/>
        </w:rPr>
        <w:t xml:space="preserve"> </w:t>
      </w:r>
      <w:r w:rsidRPr="00DB1E85">
        <w:rPr>
          <w:sz w:val="16"/>
          <w:szCs w:val="16"/>
        </w:rPr>
        <w:t>level.</w:t>
      </w:r>
      <w:r w:rsidR="009A0847">
        <w:rPr>
          <w:sz w:val="16"/>
          <w:szCs w:val="16"/>
        </w:rPr>
        <w:t xml:space="preserve"> </w:t>
      </w:r>
      <w:r w:rsidRPr="00DB1E85">
        <w:rPr>
          <w:sz w:val="16"/>
          <w:szCs w:val="16"/>
        </w:rPr>
        <w:t>Specifi</w:t>
      </w:r>
      <w:r>
        <w:rPr>
          <w:sz w:val="16"/>
          <w:szCs w:val="16"/>
        </w:rPr>
        <w:t>cation</w:t>
      </w:r>
      <w:r w:rsidR="009A0847">
        <w:rPr>
          <w:sz w:val="16"/>
          <w:szCs w:val="16"/>
        </w:rPr>
        <w:t xml:space="preserve"> </w:t>
      </w:r>
      <w:r>
        <w:rPr>
          <w:sz w:val="16"/>
          <w:szCs w:val="16"/>
        </w:rPr>
        <w:t>3</w:t>
      </w:r>
      <w:r w:rsidR="009A0847">
        <w:rPr>
          <w:sz w:val="16"/>
          <w:szCs w:val="16"/>
        </w:rPr>
        <w:t xml:space="preserve"> </w:t>
      </w:r>
      <w:r>
        <w:rPr>
          <w:sz w:val="16"/>
          <w:szCs w:val="16"/>
        </w:rPr>
        <w:t>also</w:t>
      </w:r>
      <w:r w:rsidR="009A0847">
        <w:rPr>
          <w:sz w:val="16"/>
          <w:szCs w:val="16"/>
        </w:rPr>
        <w:t xml:space="preserve"> </w:t>
      </w:r>
      <w:r>
        <w:rPr>
          <w:sz w:val="16"/>
          <w:szCs w:val="16"/>
        </w:rPr>
        <w:t>controls</w:t>
      </w:r>
      <w:r w:rsidR="009A0847">
        <w:rPr>
          <w:sz w:val="16"/>
          <w:szCs w:val="16"/>
        </w:rPr>
        <w:t xml:space="preserve"> </w:t>
      </w:r>
      <w:r>
        <w:rPr>
          <w:sz w:val="16"/>
          <w:szCs w:val="16"/>
        </w:rPr>
        <w:t>for</w:t>
      </w:r>
      <w:r w:rsidR="009A0847">
        <w:rPr>
          <w:sz w:val="16"/>
          <w:szCs w:val="16"/>
        </w:rPr>
        <w:t xml:space="preserve"> </w:t>
      </w:r>
      <w:r>
        <w:rPr>
          <w:sz w:val="16"/>
          <w:szCs w:val="16"/>
        </w:rPr>
        <w:t>the</w:t>
      </w:r>
      <w:r w:rsidR="009A0847">
        <w:rPr>
          <w:sz w:val="16"/>
          <w:szCs w:val="16"/>
        </w:rPr>
        <w:t xml:space="preserve"> </w:t>
      </w:r>
      <w:r w:rsidR="005F66DE">
        <w:rPr>
          <w:sz w:val="16"/>
          <w:szCs w:val="16"/>
        </w:rPr>
        <w:t>subject</w:t>
      </w:r>
      <w:r w:rsidR="009A0847">
        <w:rPr>
          <w:sz w:val="16"/>
          <w:szCs w:val="16"/>
        </w:rPr>
        <w:t xml:space="preserve"> </w:t>
      </w:r>
      <w:r w:rsidR="005F66DE">
        <w:rPr>
          <w:sz w:val="16"/>
          <w:szCs w:val="16"/>
        </w:rPr>
        <w:t>field</w:t>
      </w:r>
      <w:r w:rsidR="009A0847">
        <w:rPr>
          <w:sz w:val="16"/>
          <w:szCs w:val="16"/>
        </w:rPr>
        <w:t xml:space="preserve"> </w:t>
      </w:r>
      <w:r w:rsidR="005F66DE">
        <w:rPr>
          <w:sz w:val="16"/>
          <w:szCs w:val="16"/>
        </w:rPr>
        <w:t>of</w:t>
      </w:r>
      <w:r w:rsidR="009A0847">
        <w:rPr>
          <w:sz w:val="16"/>
          <w:szCs w:val="16"/>
        </w:rPr>
        <w:t xml:space="preserve"> </w:t>
      </w:r>
      <w:r w:rsidR="005F66DE">
        <w:rPr>
          <w:sz w:val="16"/>
          <w:szCs w:val="16"/>
        </w:rPr>
        <w:t>studies</w:t>
      </w:r>
      <w:r w:rsidR="009A0847">
        <w:rPr>
          <w:sz w:val="16"/>
          <w:szCs w:val="16"/>
        </w:rPr>
        <w:t xml:space="preserve"> </w:t>
      </w:r>
      <w:r w:rsidR="005F66DE">
        <w:rPr>
          <w:sz w:val="16"/>
          <w:szCs w:val="16"/>
        </w:rPr>
        <w:t>(</w:t>
      </w:r>
      <w:r>
        <w:rPr>
          <w:sz w:val="16"/>
          <w:szCs w:val="16"/>
        </w:rPr>
        <w:t>economics,</w:t>
      </w:r>
      <w:r w:rsidR="009A0847">
        <w:rPr>
          <w:sz w:val="16"/>
          <w:szCs w:val="16"/>
        </w:rPr>
        <w:t xml:space="preserve"> </w:t>
      </w:r>
      <w:r>
        <w:rPr>
          <w:sz w:val="16"/>
          <w:szCs w:val="16"/>
        </w:rPr>
        <w:t>social</w:t>
      </w:r>
      <w:r w:rsidR="009A0847">
        <w:rPr>
          <w:sz w:val="16"/>
          <w:szCs w:val="16"/>
        </w:rPr>
        <w:t xml:space="preserve"> </w:t>
      </w:r>
      <w:r>
        <w:rPr>
          <w:sz w:val="16"/>
          <w:szCs w:val="16"/>
        </w:rPr>
        <w:t>science,</w:t>
      </w:r>
      <w:r w:rsidR="009A0847">
        <w:rPr>
          <w:sz w:val="16"/>
          <w:szCs w:val="16"/>
        </w:rPr>
        <w:t xml:space="preserve"> </w:t>
      </w:r>
      <w:r>
        <w:rPr>
          <w:sz w:val="16"/>
          <w:szCs w:val="16"/>
        </w:rPr>
        <w:t>hard</w:t>
      </w:r>
      <w:r w:rsidR="009A0847">
        <w:rPr>
          <w:sz w:val="16"/>
          <w:szCs w:val="16"/>
        </w:rPr>
        <w:t xml:space="preserve"> </w:t>
      </w:r>
      <w:r>
        <w:rPr>
          <w:sz w:val="16"/>
          <w:szCs w:val="16"/>
        </w:rPr>
        <w:t>science,</w:t>
      </w:r>
      <w:r w:rsidR="009A0847">
        <w:rPr>
          <w:sz w:val="16"/>
          <w:szCs w:val="16"/>
        </w:rPr>
        <w:t xml:space="preserve"> </w:t>
      </w:r>
      <w:r>
        <w:rPr>
          <w:sz w:val="16"/>
          <w:szCs w:val="16"/>
        </w:rPr>
        <w:t>literature</w:t>
      </w:r>
      <w:r w:rsidR="009A0847">
        <w:rPr>
          <w:sz w:val="16"/>
          <w:szCs w:val="16"/>
        </w:rPr>
        <w:t xml:space="preserve"> </w:t>
      </w:r>
      <w:r>
        <w:rPr>
          <w:sz w:val="16"/>
          <w:szCs w:val="16"/>
        </w:rPr>
        <w:t>or</w:t>
      </w:r>
      <w:r w:rsidR="009A0847">
        <w:rPr>
          <w:sz w:val="16"/>
          <w:szCs w:val="16"/>
        </w:rPr>
        <w:t xml:space="preserve"> </w:t>
      </w:r>
      <w:r>
        <w:rPr>
          <w:sz w:val="16"/>
          <w:szCs w:val="16"/>
        </w:rPr>
        <w:t>others).</w:t>
      </w:r>
      <w:r w:rsidR="009A0847">
        <w:rPr>
          <w:sz w:val="16"/>
          <w:szCs w:val="16"/>
        </w:rPr>
        <w:t xml:space="preserve"> </w:t>
      </w:r>
      <w:r>
        <w:rPr>
          <w:sz w:val="16"/>
          <w:szCs w:val="16"/>
        </w:rPr>
        <w:t>The</w:t>
      </w:r>
      <w:r w:rsidR="009A0847">
        <w:rPr>
          <w:sz w:val="16"/>
          <w:szCs w:val="16"/>
        </w:rPr>
        <w:t xml:space="preserve"> </w:t>
      </w:r>
      <w:r>
        <w:rPr>
          <w:sz w:val="16"/>
          <w:szCs w:val="16"/>
        </w:rPr>
        <w:t>estimates</w:t>
      </w:r>
      <w:r w:rsidR="009A0847">
        <w:rPr>
          <w:sz w:val="16"/>
          <w:szCs w:val="16"/>
        </w:rPr>
        <w:t xml:space="preserve"> </w:t>
      </w:r>
      <w:r>
        <w:rPr>
          <w:sz w:val="16"/>
          <w:szCs w:val="16"/>
        </w:rPr>
        <w:t>(not</w:t>
      </w:r>
      <w:r w:rsidR="009A0847">
        <w:rPr>
          <w:sz w:val="16"/>
          <w:szCs w:val="16"/>
        </w:rPr>
        <w:t xml:space="preserve"> </w:t>
      </w:r>
      <w:r>
        <w:rPr>
          <w:sz w:val="16"/>
          <w:szCs w:val="16"/>
        </w:rPr>
        <w:t>reported)</w:t>
      </w:r>
      <w:r w:rsidR="009A0847">
        <w:rPr>
          <w:sz w:val="16"/>
          <w:szCs w:val="16"/>
        </w:rPr>
        <w:t xml:space="preserve"> </w:t>
      </w:r>
      <w:r>
        <w:rPr>
          <w:sz w:val="16"/>
          <w:szCs w:val="16"/>
        </w:rPr>
        <w:t>reveal</w:t>
      </w:r>
      <w:r w:rsidR="009A0847">
        <w:rPr>
          <w:sz w:val="16"/>
          <w:szCs w:val="16"/>
        </w:rPr>
        <w:t xml:space="preserve"> </w:t>
      </w:r>
      <w:r>
        <w:rPr>
          <w:sz w:val="16"/>
          <w:szCs w:val="16"/>
        </w:rPr>
        <w:t>no</w:t>
      </w:r>
      <w:r w:rsidR="009A0847">
        <w:rPr>
          <w:sz w:val="16"/>
          <w:szCs w:val="16"/>
        </w:rPr>
        <w:t xml:space="preserve"> </w:t>
      </w:r>
      <w:r>
        <w:rPr>
          <w:sz w:val="16"/>
          <w:szCs w:val="16"/>
        </w:rPr>
        <w:t>significant</w:t>
      </w:r>
      <w:r w:rsidR="009A0847">
        <w:rPr>
          <w:sz w:val="16"/>
          <w:szCs w:val="16"/>
        </w:rPr>
        <w:t xml:space="preserve"> </w:t>
      </w:r>
      <w:r>
        <w:rPr>
          <w:sz w:val="16"/>
          <w:szCs w:val="16"/>
        </w:rPr>
        <w:t>effect.</w:t>
      </w:r>
    </w:p>
    <w:p w14:paraId="167516DD" w14:textId="237F187D" w:rsidR="00CE5AF9" w:rsidRPr="00A61033" w:rsidRDefault="00CE5AF9" w:rsidP="004863D2">
      <w:pPr>
        <w:ind w:left="-90" w:right="-90"/>
        <w:jc w:val="both"/>
        <w:rPr>
          <w:sz w:val="16"/>
          <w:szCs w:val="16"/>
        </w:rPr>
      </w:pPr>
      <w:r w:rsidRPr="00065DBD">
        <w:rPr>
          <w:sz w:val="16"/>
          <w:szCs w:val="16"/>
        </w:rPr>
        <w:t>The</w:t>
      </w:r>
      <w:r w:rsidR="009A0847">
        <w:rPr>
          <w:sz w:val="16"/>
          <w:szCs w:val="16"/>
        </w:rPr>
        <w:t xml:space="preserve"> </w:t>
      </w:r>
      <w:r w:rsidRPr="00065DBD">
        <w:rPr>
          <w:sz w:val="16"/>
          <w:szCs w:val="16"/>
        </w:rPr>
        <w:t>subject</w:t>
      </w:r>
      <w:r w:rsidR="009A0847">
        <w:rPr>
          <w:sz w:val="16"/>
          <w:szCs w:val="16"/>
        </w:rPr>
        <w:t xml:space="preserve"> </w:t>
      </w:r>
      <w:r w:rsidRPr="00065DBD">
        <w:rPr>
          <w:sz w:val="16"/>
          <w:szCs w:val="16"/>
        </w:rPr>
        <w:t>of</w:t>
      </w:r>
      <w:r w:rsidR="009A0847">
        <w:rPr>
          <w:sz w:val="16"/>
          <w:szCs w:val="16"/>
        </w:rPr>
        <w:t xml:space="preserve"> </w:t>
      </w:r>
      <w:r w:rsidRPr="00065DBD">
        <w:rPr>
          <w:sz w:val="16"/>
          <w:szCs w:val="16"/>
        </w:rPr>
        <w:t>reference</w:t>
      </w:r>
      <w:r w:rsidR="009A0847">
        <w:rPr>
          <w:sz w:val="16"/>
          <w:szCs w:val="16"/>
        </w:rPr>
        <w:t xml:space="preserve"> </w:t>
      </w:r>
      <w:r>
        <w:rPr>
          <w:sz w:val="16"/>
          <w:szCs w:val="16"/>
        </w:rPr>
        <w:t>in</w:t>
      </w:r>
      <w:r w:rsidR="009A0847">
        <w:rPr>
          <w:sz w:val="16"/>
          <w:szCs w:val="16"/>
        </w:rPr>
        <w:t xml:space="preserve"> </w:t>
      </w:r>
      <w:r>
        <w:rPr>
          <w:sz w:val="16"/>
          <w:szCs w:val="16"/>
        </w:rPr>
        <w:t>Specif</w:t>
      </w:r>
      <w:r w:rsidRPr="00065DBD">
        <w:rPr>
          <w:sz w:val="16"/>
          <w:szCs w:val="16"/>
        </w:rPr>
        <w:t>i</w:t>
      </w:r>
      <w:r>
        <w:rPr>
          <w:sz w:val="16"/>
          <w:szCs w:val="16"/>
        </w:rPr>
        <w:t>cation</w:t>
      </w:r>
      <w:r w:rsidR="009A0847">
        <w:rPr>
          <w:sz w:val="16"/>
          <w:szCs w:val="16"/>
        </w:rPr>
        <w:t xml:space="preserve"> </w:t>
      </w:r>
      <w:r>
        <w:rPr>
          <w:sz w:val="16"/>
          <w:szCs w:val="16"/>
        </w:rPr>
        <w:t>3</w:t>
      </w:r>
      <w:r w:rsidR="009A0847">
        <w:rPr>
          <w:sz w:val="16"/>
          <w:szCs w:val="16"/>
        </w:rPr>
        <w:t xml:space="preserve"> </w:t>
      </w:r>
      <w:r>
        <w:rPr>
          <w:sz w:val="16"/>
          <w:szCs w:val="16"/>
        </w:rPr>
        <w:t>i</w:t>
      </w:r>
      <w:r w:rsidRPr="00065DBD">
        <w:rPr>
          <w:sz w:val="16"/>
          <w:szCs w:val="16"/>
        </w:rPr>
        <w:t>s</w:t>
      </w:r>
      <w:r w:rsidR="009A0847">
        <w:rPr>
          <w:sz w:val="16"/>
          <w:szCs w:val="16"/>
        </w:rPr>
        <w:t xml:space="preserve"> </w:t>
      </w:r>
      <w:r w:rsidRPr="00065DBD">
        <w:rPr>
          <w:sz w:val="16"/>
          <w:szCs w:val="16"/>
        </w:rPr>
        <w:t>a</w:t>
      </w:r>
      <w:r w:rsidR="009A0847">
        <w:rPr>
          <w:sz w:val="16"/>
          <w:szCs w:val="16"/>
        </w:rPr>
        <w:t xml:space="preserve"> </w:t>
      </w:r>
      <w:r>
        <w:rPr>
          <w:sz w:val="16"/>
          <w:szCs w:val="16"/>
        </w:rPr>
        <w:t>man</w:t>
      </w:r>
      <w:r w:rsidR="009A0847">
        <w:rPr>
          <w:sz w:val="16"/>
          <w:szCs w:val="16"/>
        </w:rPr>
        <w:t xml:space="preserve"> </w:t>
      </w:r>
      <w:r w:rsidRPr="00065DBD">
        <w:rPr>
          <w:sz w:val="16"/>
          <w:szCs w:val="16"/>
        </w:rPr>
        <w:t>who</w:t>
      </w:r>
      <w:r w:rsidR="009A0847">
        <w:rPr>
          <w:sz w:val="16"/>
          <w:szCs w:val="16"/>
        </w:rPr>
        <w:t xml:space="preserve"> </w:t>
      </w:r>
      <w:r w:rsidRPr="00065DBD">
        <w:rPr>
          <w:sz w:val="16"/>
          <w:szCs w:val="16"/>
        </w:rPr>
        <w:t>stud</w:t>
      </w:r>
      <w:r>
        <w:rPr>
          <w:sz w:val="16"/>
          <w:szCs w:val="16"/>
        </w:rPr>
        <w:t>ied</w:t>
      </w:r>
      <w:r w:rsidR="009A0847">
        <w:rPr>
          <w:sz w:val="16"/>
          <w:szCs w:val="16"/>
        </w:rPr>
        <w:t xml:space="preserve"> </w:t>
      </w:r>
      <w:r>
        <w:rPr>
          <w:sz w:val="16"/>
          <w:szCs w:val="16"/>
        </w:rPr>
        <w:t>e</w:t>
      </w:r>
      <w:r w:rsidRPr="00065DBD">
        <w:rPr>
          <w:sz w:val="16"/>
          <w:szCs w:val="16"/>
        </w:rPr>
        <w:t>conomics</w:t>
      </w:r>
      <w:r>
        <w:rPr>
          <w:sz w:val="16"/>
          <w:szCs w:val="16"/>
        </w:rPr>
        <w:t>.</w:t>
      </w:r>
      <w:r w:rsidR="009A0847">
        <w:rPr>
          <w:sz w:val="16"/>
          <w:szCs w:val="16"/>
        </w:rPr>
        <w:t xml:space="preserve"> </w:t>
      </w:r>
      <w:r>
        <w:rPr>
          <w:sz w:val="16"/>
          <w:szCs w:val="16"/>
        </w:rPr>
        <w:t>He</w:t>
      </w:r>
      <w:r w:rsidR="009A0847">
        <w:rPr>
          <w:sz w:val="16"/>
          <w:szCs w:val="16"/>
        </w:rPr>
        <w:t xml:space="preserve"> </w:t>
      </w:r>
      <w:r>
        <w:rPr>
          <w:sz w:val="16"/>
          <w:szCs w:val="16"/>
        </w:rPr>
        <w:t>participated</w:t>
      </w:r>
      <w:r w:rsidR="009A0847">
        <w:rPr>
          <w:sz w:val="16"/>
          <w:szCs w:val="16"/>
        </w:rPr>
        <w:t xml:space="preserve"> </w:t>
      </w:r>
      <w:r w:rsidRPr="00065DBD">
        <w:rPr>
          <w:sz w:val="16"/>
          <w:szCs w:val="16"/>
        </w:rPr>
        <w:t>in</w:t>
      </w:r>
      <w:r w:rsidR="009A0847">
        <w:rPr>
          <w:sz w:val="16"/>
          <w:szCs w:val="16"/>
        </w:rPr>
        <w:t xml:space="preserve"> </w:t>
      </w:r>
      <w:r w:rsidRPr="00065DBD">
        <w:rPr>
          <w:sz w:val="16"/>
          <w:szCs w:val="16"/>
        </w:rPr>
        <w:t>the</w:t>
      </w:r>
      <w:r w:rsidR="009A0847">
        <w:rPr>
          <w:sz w:val="16"/>
          <w:szCs w:val="16"/>
        </w:rPr>
        <w:t xml:space="preserve"> </w:t>
      </w:r>
      <w:r w:rsidRPr="00065DBD">
        <w:rPr>
          <w:sz w:val="16"/>
          <w:szCs w:val="16"/>
        </w:rPr>
        <w:t>control</w:t>
      </w:r>
      <w:r w:rsidR="009A0847">
        <w:rPr>
          <w:sz w:val="16"/>
          <w:szCs w:val="16"/>
        </w:rPr>
        <w:t xml:space="preserve"> </w:t>
      </w:r>
      <w:r w:rsidRPr="00065DBD">
        <w:rPr>
          <w:sz w:val="16"/>
          <w:szCs w:val="16"/>
        </w:rPr>
        <w:t>treatment</w:t>
      </w:r>
      <w:r w:rsidR="009A0847">
        <w:rPr>
          <w:sz w:val="16"/>
          <w:szCs w:val="16"/>
        </w:rPr>
        <w:t xml:space="preserve"> </w:t>
      </w:r>
      <w:r>
        <w:rPr>
          <w:sz w:val="16"/>
          <w:szCs w:val="16"/>
        </w:rPr>
        <w:t>as</w:t>
      </w:r>
      <w:r w:rsidR="009A0847">
        <w:rPr>
          <w:sz w:val="16"/>
          <w:szCs w:val="16"/>
        </w:rPr>
        <w:t xml:space="preserve"> </w:t>
      </w:r>
      <w:r w:rsidRPr="00065DBD">
        <w:rPr>
          <w:sz w:val="16"/>
          <w:szCs w:val="16"/>
        </w:rPr>
        <w:t>a</w:t>
      </w:r>
      <w:r w:rsidR="009A0847">
        <w:rPr>
          <w:sz w:val="16"/>
          <w:szCs w:val="16"/>
        </w:rPr>
        <w:t xml:space="preserve"> </w:t>
      </w:r>
      <w:r w:rsidRPr="00065DBD">
        <w:rPr>
          <w:sz w:val="16"/>
          <w:szCs w:val="16"/>
        </w:rPr>
        <w:t>ban</w:t>
      </w:r>
      <w:r>
        <w:rPr>
          <w:sz w:val="16"/>
          <w:szCs w:val="16"/>
        </w:rPr>
        <w:t>k.</w:t>
      </w:r>
      <w:r w:rsidR="009A0847">
        <w:rPr>
          <w:sz w:val="16"/>
          <w:szCs w:val="16"/>
        </w:rPr>
        <w:t xml:space="preserve"> </w:t>
      </w:r>
      <w:r>
        <w:rPr>
          <w:sz w:val="16"/>
          <w:szCs w:val="16"/>
        </w:rPr>
        <w:t>In</w:t>
      </w:r>
      <w:r w:rsidR="009A0847">
        <w:rPr>
          <w:sz w:val="16"/>
          <w:szCs w:val="16"/>
        </w:rPr>
        <w:t xml:space="preserve"> </w:t>
      </w:r>
      <w:r>
        <w:rPr>
          <w:sz w:val="16"/>
          <w:szCs w:val="16"/>
        </w:rPr>
        <w:t>the</w:t>
      </w:r>
      <w:r w:rsidR="009A0847">
        <w:rPr>
          <w:sz w:val="16"/>
          <w:szCs w:val="16"/>
        </w:rPr>
        <w:t xml:space="preserve"> </w:t>
      </w:r>
      <w:r>
        <w:rPr>
          <w:sz w:val="16"/>
          <w:szCs w:val="16"/>
        </w:rPr>
        <w:t>previous</w:t>
      </w:r>
      <w:r w:rsidR="009A0847">
        <w:rPr>
          <w:sz w:val="16"/>
          <w:szCs w:val="16"/>
        </w:rPr>
        <w:t xml:space="preserve"> </w:t>
      </w:r>
      <w:r>
        <w:rPr>
          <w:sz w:val="16"/>
          <w:szCs w:val="16"/>
        </w:rPr>
        <w:t>round</w:t>
      </w:r>
      <w:r w:rsidR="00313676">
        <w:rPr>
          <w:sz w:val="16"/>
          <w:szCs w:val="16"/>
        </w:rPr>
        <w:t>,</w:t>
      </w:r>
      <w:r w:rsidR="009A0847">
        <w:rPr>
          <w:sz w:val="16"/>
          <w:szCs w:val="16"/>
        </w:rPr>
        <w:t xml:space="preserve"> </w:t>
      </w:r>
      <w:r>
        <w:rPr>
          <w:sz w:val="16"/>
          <w:szCs w:val="16"/>
        </w:rPr>
        <w:t>he</w:t>
      </w:r>
      <w:r w:rsidR="009A0847">
        <w:rPr>
          <w:sz w:val="16"/>
          <w:szCs w:val="16"/>
        </w:rPr>
        <w:t xml:space="preserve"> </w:t>
      </w:r>
      <w:r>
        <w:rPr>
          <w:sz w:val="16"/>
          <w:szCs w:val="16"/>
        </w:rPr>
        <w:t>was</w:t>
      </w:r>
      <w:r w:rsidR="009A0847">
        <w:rPr>
          <w:sz w:val="16"/>
          <w:szCs w:val="16"/>
        </w:rPr>
        <w:t xml:space="preserve"> </w:t>
      </w:r>
      <w:r>
        <w:rPr>
          <w:sz w:val="16"/>
          <w:szCs w:val="16"/>
        </w:rPr>
        <w:t>u</w:t>
      </w:r>
      <w:r w:rsidRPr="00065DBD">
        <w:rPr>
          <w:sz w:val="16"/>
          <w:szCs w:val="16"/>
        </w:rPr>
        <w:t>ndetectable</w:t>
      </w:r>
      <w:r w:rsidR="009A0847">
        <w:rPr>
          <w:sz w:val="16"/>
          <w:szCs w:val="16"/>
        </w:rPr>
        <w:t xml:space="preserve"> </w:t>
      </w:r>
      <w:r w:rsidRPr="00065DBD">
        <w:rPr>
          <w:sz w:val="16"/>
          <w:szCs w:val="16"/>
        </w:rPr>
        <w:t>at</w:t>
      </w:r>
      <w:r w:rsidR="009A0847">
        <w:rPr>
          <w:sz w:val="16"/>
          <w:szCs w:val="16"/>
        </w:rPr>
        <w:t xml:space="preserve"> </w:t>
      </w:r>
      <w:r>
        <w:rPr>
          <w:sz w:val="16"/>
          <w:szCs w:val="16"/>
        </w:rPr>
        <w:t>the</w:t>
      </w:r>
      <w:r w:rsidR="009A0847">
        <w:rPr>
          <w:sz w:val="16"/>
          <w:szCs w:val="16"/>
        </w:rPr>
        <w:t xml:space="preserve"> </w:t>
      </w:r>
      <w:r w:rsidRPr="00065DBD">
        <w:rPr>
          <w:sz w:val="16"/>
          <w:szCs w:val="16"/>
        </w:rPr>
        <w:t>DW</w:t>
      </w:r>
      <w:r w:rsidR="009A0847">
        <w:rPr>
          <w:sz w:val="16"/>
          <w:szCs w:val="16"/>
        </w:rPr>
        <w:t xml:space="preserve"> </w:t>
      </w:r>
      <w:r w:rsidRPr="00065DBD">
        <w:rPr>
          <w:sz w:val="16"/>
          <w:szCs w:val="16"/>
        </w:rPr>
        <w:t>(i.e.</w:t>
      </w:r>
      <w:r w:rsidR="009A0847">
        <w:rPr>
          <w:sz w:val="16"/>
          <w:szCs w:val="16"/>
        </w:rPr>
        <w:t xml:space="preserve"> </w:t>
      </w:r>
      <w:r>
        <w:rPr>
          <w:sz w:val="16"/>
          <w:szCs w:val="16"/>
        </w:rPr>
        <w:t>he</w:t>
      </w:r>
      <w:r w:rsidR="009A0847">
        <w:rPr>
          <w:sz w:val="16"/>
          <w:szCs w:val="16"/>
        </w:rPr>
        <w:t xml:space="preserve"> </w:t>
      </w:r>
      <w:r>
        <w:rPr>
          <w:sz w:val="16"/>
          <w:szCs w:val="16"/>
        </w:rPr>
        <w:t>was</w:t>
      </w:r>
      <w:r w:rsidR="009A0847">
        <w:rPr>
          <w:sz w:val="16"/>
          <w:szCs w:val="16"/>
        </w:rPr>
        <w:t xml:space="preserve"> </w:t>
      </w:r>
      <w:r>
        <w:rPr>
          <w:sz w:val="16"/>
          <w:szCs w:val="16"/>
        </w:rPr>
        <w:t>either</w:t>
      </w:r>
      <w:r w:rsidR="009A0847">
        <w:rPr>
          <w:sz w:val="16"/>
          <w:szCs w:val="16"/>
        </w:rPr>
        <w:t xml:space="preserve"> </w:t>
      </w:r>
      <w:r w:rsidR="008C120C">
        <w:rPr>
          <w:sz w:val="16"/>
          <w:szCs w:val="16"/>
        </w:rPr>
        <w:t>liquid</w:t>
      </w:r>
      <w:r w:rsidR="009A0847">
        <w:rPr>
          <w:sz w:val="16"/>
          <w:szCs w:val="16"/>
        </w:rPr>
        <w:t xml:space="preserve"> </w:t>
      </w:r>
      <w:r>
        <w:rPr>
          <w:sz w:val="16"/>
          <w:szCs w:val="16"/>
        </w:rPr>
        <w:t>or</w:t>
      </w:r>
      <w:r w:rsidR="009A0847">
        <w:rPr>
          <w:sz w:val="16"/>
          <w:szCs w:val="16"/>
        </w:rPr>
        <w:t xml:space="preserve"> </w:t>
      </w:r>
      <w:r>
        <w:rPr>
          <w:sz w:val="16"/>
          <w:szCs w:val="16"/>
        </w:rPr>
        <w:t>did</w:t>
      </w:r>
      <w:r w:rsidR="009A0847">
        <w:rPr>
          <w:sz w:val="16"/>
          <w:szCs w:val="16"/>
        </w:rPr>
        <w:t xml:space="preserve"> </w:t>
      </w:r>
      <w:r>
        <w:rPr>
          <w:sz w:val="16"/>
          <w:szCs w:val="16"/>
        </w:rPr>
        <w:t>not</w:t>
      </w:r>
      <w:r w:rsidR="009A0847">
        <w:rPr>
          <w:sz w:val="16"/>
          <w:szCs w:val="16"/>
        </w:rPr>
        <w:t xml:space="preserve"> </w:t>
      </w:r>
      <w:r>
        <w:rPr>
          <w:sz w:val="16"/>
          <w:szCs w:val="16"/>
        </w:rPr>
        <w:t>borrow</w:t>
      </w:r>
      <w:r w:rsidR="009A0847">
        <w:rPr>
          <w:sz w:val="16"/>
          <w:szCs w:val="16"/>
        </w:rPr>
        <w:t xml:space="preserve"> </w:t>
      </w:r>
      <w:r w:rsidR="00313676">
        <w:rPr>
          <w:sz w:val="16"/>
          <w:szCs w:val="16"/>
        </w:rPr>
        <w:t>at</w:t>
      </w:r>
      <w:r w:rsidR="009A0847">
        <w:rPr>
          <w:sz w:val="16"/>
          <w:szCs w:val="16"/>
        </w:rPr>
        <w:t xml:space="preserve"> </w:t>
      </w:r>
      <w:r w:rsidR="00313676">
        <w:rPr>
          <w:sz w:val="16"/>
          <w:szCs w:val="16"/>
        </w:rPr>
        <w:t>the</w:t>
      </w:r>
      <w:r w:rsidR="009A0847">
        <w:rPr>
          <w:sz w:val="16"/>
          <w:szCs w:val="16"/>
        </w:rPr>
        <w:t xml:space="preserve"> </w:t>
      </w:r>
      <w:r w:rsidR="00313676">
        <w:rPr>
          <w:sz w:val="16"/>
          <w:szCs w:val="16"/>
        </w:rPr>
        <w:t>DW</w:t>
      </w:r>
      <w:r>
        <w:rPr>
          <w:sz w:val="16"/>
          <w:szCs w:val="16"/>
        </w:rPr>
        <w:t>)</w:t>
      </w:r>
      <w:r w:rsidR="009A0847">
        <w:rPr>
          <w:sz w:val="16"/>
          <w:szCs w:val="16"/>
        </w:rPr>
        <w:t xml:space="preserve"> </w:t>
      </w:r>
      <w:r>
        <w:rPr>
          <w:sz w:val="16"/>
          <w:szCs w:val="16"/>
        </w:rPr>
        <w:t>and</w:t>
      </w:r>
      <w:r w:rsidR="009A0847">
        <w:rPr>
          <w:sz w:val="16"/>
          <w:szCs w:val="16"/>
        </w:rPr>
        <w:t xml:space="preserve"> </w:t>
      </w:r>
      <w:r>
        <w:rPr>
          <w:sz w:val="16"/>
          <w:szCs w:val="16"/>
        </w:rPr>
        <w:t>he</w:t>
      </w:r>
      <w:r w:rsidR="009A0847">
        <w:rPr>
          <w:sz w:val="16"/>
          <w:szCs w:val="16"/>
        </w:rPr>
        <w:t xml:space="preserve"> </w:t>
      </w:r>
      <w:r>
        <w:rPr>
          <w:sz w:val="16"/>
          <w:szCs w:val="16"/>
        </w:rPr>
        <w:t>was</w:t>
      </w:r>
      <w:r w:rsidR="009A0847">
        <w:rPr>
          <w:sz w:val="16"/>
          <w:szCs w:val="16"/>
        </w:rPr>
        <w:t xml:space="preserve"> </w:t>
      </w:r>
      <w:r w:rsidRPr="00065DBD">
        <w:rPr>
          <w:sz w:val="16"/>
          <w:szCs w:val="16"/>
        </w:rPr>
        <w:t>funded</w:t>
      </w:r>
      <w:r w:rsidR="009A0847">
        <w:rPr>
          <w:sz w:val="16"/>
          <w:szCs w:val="16"/>
        </w:rPr>
        <w:t xml:space="preserve"> </w:t>
      </w:r>
      <w:r>
        <w:rPr>
          <w:sz w:val="16"/>
          <w:szCs w:val="16"/>
        </w:rPr>
        <w:t>by</w:t>
      </w:r>
      <w:r w:rsidR="009A0847">
        <w:rPr>
          <w:sz w:val="16"/>
          <w:szCs w:val="16"/>
        </w:rPr>
        <w:t xml:space="preserve"> </w:t>
      </w:r>
      <w:r>
        <w:rPr>
          <w:sz w:val="16"/>
          <w:szCs w:val="16"/>
        </w:rPr>
        <w:t>the</w:t>
      </w:r>
      <w:r w:rsidR="009A0847">
        <w:rPr>
          <w:sz w:val="16"/>
          <w:szCs w:val="16"/>
        </w:rPr>
        <w:t xml:space="preserve"> </w:t>
      </w:r>
      <w:r>
        <w:rPr>
          <w:sz w:val="16"/>
          <w:szCs w:val="16"/>
        </w:rPr>
        <w:t>investor</w:t>
      </w:r>
      <w:r w:rsidRPr="00CA3D53">
        <w:rPr>
          <w:sz w:val="16"/>
          <w:szCs w:val="16"/>
        </w:rPr>
        <w:t>.</w:t>
      </w:r>
    </w:p>
    <w:p w14:paraId="24FAC99E" w14:textId="77777777" w:rsidR="00CE5AF9" w:rsidRDefault="00CE5AF9" w:rsidP="004863D2">
      <w:pPr>
        <w:ind w:left="-90" w:right="-90"/>
        <w:rPr>
          <w:u w:val="single"/>
        </w:rPr>
        <w:sectPr w:rsidR="00CE5AF9" w:rsidSect="006B7701">
          <w:pgSz w:w="12240" w:h="15840"/>
          <w:pgMar w:top="864" w:right="1440" w:bottom="576" w:left="1440" w:header="720" w:footer="720" w:gutter="0"/>
          <w:cols w:space="720"/>
          <w:titlePg/>
          <w:docGrid w:linePitch="360"/>
        </w:sectPr>
      </w:pPr>
    </w:p>
    <w:p w14:paraId="496BC9F2" w14:textId="77777777" w:rsidR="008E1FDB" w:rsidRDefault="008E1FDB" w:rsidP="008E1FDB">
      <w:pPr>
        <w:pStyle w:val="Olivier1"/>
        <w:widowControl w:val="0"/>
        <w:ind w:firstLine="360"/>
      </w:pPr>
      <w:r>
        <w:lastRenderedPageBreak/>
        <w:t xml:space="preserve">Rows 6 to 16 focus on the impact of private feedback. </w:t>
      </w:r>
      <w:r w:rsidRPr="009A058A">
        <w:t>We</w:t>
      </w:r>
      <w:r>
        <w:t xml:space="preserve"> </w:t>
      </w:r>
      <w:r w:rsidRPr="009A058A">
        <w:t>find</w:t>
      </w:r>
      <w:r>
        <w:t xml:space="preserve"> </w:t>
      </w:r>
      <w:r w:rsidRPr="009A058A">
        <w:t>that</w:t>
      </w:r>
      <w:r>
        <w:t xml:space="preserve"> </w:t>
      </w:r>
      <w:r w:rsidRPr="009A058A">
        <w:t>banks</w:t>
      </w:r>
      <w:r>
        <w:t xml:space="preserve"> </w:t>
      </w:r>
      <w:r w:rsidRPr="009A058A">
        <w:t>react</w:t>
      </w:r>
      <w:r>
        <w:t xml:space="preserve"> </w:t>
      </w:r>
      <w:r w:rsidRPr="009A058A">
        <w:t>strongly</w:t>
      </w:r>
      <w:r>
        <w:t xml:space="preserve"> </w:t>
      </w:r>
      <w:r w:rsidRPr="009A058A">
        <w:t>to</w:t>
      </w:r>
      <w:r>
        <w:t xml:space="preserve"> </w:t>
      </w:r>
      <w:r w:rsidRPr="009A058A">
        <w:t>DW</w:t>
      </w:r>
      <w:r>
        <w:t xml:space="preserve"> detection </w:t>
      </w:r>
      <w:r w:rsidRPr="009A058A">
        <w:t>(row</w:t>
      </w:r>
      <w:r>
        <w:t xml:space="preserve"> 6</w:t>
      </w:r>
      <w:r w:rsidRPr="009A058A">
        <w:t>):</w:t>
      </w:r>
      <w:r>
        <w:t xml:space="preserve"> </w:t>
      </w:r>
      <w:r w:rsidRPr="009A058A">
        <w:t>After</w:t>
      </w:r>
      <w:r>
        <w:t xml:space="preserve"> </w:t>
      </w:r>
      <w:r w:rsidRPr="009A058A">
        <w:t>being</w:t>
      </w:r>
      <w:r>
        <w:t xml:space="preserve"> </w:t>
      </w:r>
      <w:r w:rsidRPr="009A058A">
        <w:t>detected,</w:t>
      </w:r>
      <w:r>
        <w:t xml:space="preserve"> </w:t>
      </w:r>
      <w:r w:rsidRPr="009A058A">
        <w:t>a</w:t>
      </w:r>
      <w:r>
        <w:t xml:space="preserve"> </w:t>
      </w:r>
      <w:r w:rsidRPr="009A058A">
        <w:t>bank</w:t>
      </w:r>
      <w:r>
        <w:t xml:space="preserve"> </w:t>
      </w:r>
      <w:r w:rsidRPr="009A058A">
        <w:t>is</w:t>
      </w:r>
      <w:r>
        <w:t xml:space="preserve"> </w:t>
      </w:r>
      <w:r w:rsidRPr="009A058A">
        <w:t>roughly</w:t>
      </w:r>
      <w:r>
        <w:t xml:space="preserve"> </w:t>
      </w:r>
      <w:r w:rsidRPr="009A058A">
        <w:t>30%</w:t>
      </w:r>
      <w:r>
        <w:t xml:space="preserve"> </w:t>
      </w:r>
      <w:r w:rsidRPr="009A058A">
        <w:t>less</w:t>
      </w:r>
      <w:r>
        <w:t xml:space="preserve"> </w:t>
      </w:r>
      <w:r w:rsidRPr="009A058A">
        <w:t>likely</w:t>
      </w:r>
      <w:r>
        <w:t xml:space="preserve"> </w:t>
      </w:r>
      <w:r w:rsidRPr="009A058A">
        <w:t>to</w:t>
      </w:r>
      <w:r>
        <w:t xml:space="preserve"> </w:t>
      </w:r>
      <w:r w:rsidRPr="009A058A">
        <w:t>borrow</w:t>
      </w:r>
      <w:r>
        <w:t xml:space="preserve"> </w:t>
      </w:r>
      <w:r w:rsidRPr="009A058A">
        <w:t>again</w:t>
      </w:r>
      <w:r>
        <w:t xml:space="preserve"> </w:t>
      </w:r>
      <w:r w:rsidRPr="009A058A">
        <w:t>at</w:t>
      </w:r>
      <w:r>
        <w:t xml:space="preserve"> </w:t>
      </w:r>
      <w:r w:rsidRPr="009A058A">
        <w:t>the</w:t>
      </w:r>
      <w:r>
        <w:t xml:space="preserve"> </w:t>
      </w:r>
      <w:r w:rsidRPr="009A058A">
        <w:t>DW</w:t>
      </w:r>
      <w:r>
        <w:t xml:space="preserve"> </w:t>
      </w:r>
      <w:r w:rsidRPr="009A058A">
        <w:t>in</w:t>
      </w:r>
      <w:r>
        <w:t xml:space="preserve"> </w:t>
      </w:r>
      <w:r w:rsidRPr="009A058A">
        <w:t>the</w:t>
      </w:r>
      <w:r>
        <w:t xml:space="preserve"> </w:t>
      </w:r>
      <w:r w:rsidRPr="009A058A">
        <w:t>next</w:t>
      </w:r>
      <w:r>
        <w:t xml:space="preserve"> </w:t>
      </w:r>
      <w:r w:rsidRPr="009A058A">
        <w:t>round.</w:t>
      </w:r>
      <w:r>
        <w:t xml:space="preserve"> </w:t>
      </w:r>
      <w:r w:rsidRPr="009A058A">
        <w:t>Conversely,</w:t>
      </w:r>
      <w:r>
        <w:t xml:space="preserve"> </w:t>
      </w:r>
      <w:r w:rsidRPr="009A058A">
        <w:t>going</w:t>
      </w:r>
      <w:r>
        <w:t xml:space="preserve"> </w:t>
      </w:r>
      <w:r w:rsidRPr="009A058A">
        <w:t>to</w:t>
      </w:r>
      <w:r>
        <w:t xml:space="preserve"> </w:t>
      </w:r>
      <w:r w:rsidRPr="009A058A">
        <w:t>the</w:t>
      </w:r>
      <w:r>
        <w:t xml:space="preserve"> </w:t>
      </w:r>
      <w:r w:rsidRPr="009A058A">
        <w:t>DW</w:t>
      </w:r>
      <w:r>
        <w:t xml:space="preserve"> </w:t>
      </w:r>
      <w:r w:rsidRPr="009A058A">
        <w:t>without</w:t>
      </w:r>
      <w:r>
        <w:t xml:space="preserve"> </w:t>
      </w:r>
      <w:r w:rsidRPr="009A058A">
        <w:t>being</w:t>
      </w:r>
      <w:r>
        <w:t xml:space="preserve"> </w:t>
      </w:r>
      <w:r w:rsidRPr="009A058A">
        <w:t>detected</w:t>
      </w:r>
      <w:r>
        <w:t xml:space="preserve"> </w:t>
      </w:r>
      <w:r w:rsidRPr="009A058A">
        <w:t>makes</w:t>
      </w:r>
      <w:r>
        <w:t xml:space="preserve"> </w:t>
      </w:r>
      <w:r w:rsidRPr="009A058A">
        <w:t>a</w:t>
      </w:r>
      <w:r>
        <w:t xml:space="preserve"> </w:t>
      </w:r>
      <w:r w:rsidRPr="009A058A">
        <w:t>bank</w:t>
      </w:r>
      <w:r>
        <w:t xml:space="preserve"> </w:t>
      </w:r>
      <w:r w:rsidRPr="009A058A">
        <w:t>significantly</w:t>
      </w:r>
      <w:r>
        <w:t xml:space="preserve"> </w:t>
      </w:r>
      <w:r w:rsidRPr="009A058A">
        <w:t>more</w:t>
      </w:r>
      <w:r>
        <w:t xml:space="preserve"> </w:t>
      </w:r>
      <w:r w:rsidRPr="009A058A">
        <w:t>likely</w:t>
      </w:r>
      <w:r>
        <w:t xml:space="preserve"> </w:t>
      </w:r>
      <w:r w:rsidRPr="009A058A">
        <w:t>to</w:t>
      </w:r>
      <w:r>
        <w:t xml:space="preserve"> </w:t>
      </w:r>
      <w:r w:rsidRPr="009A058A">
        <w:t>return</w:t>
      </w:r>
      <w:r>
        <w:t xml:space="preserve"> </w:t>
      </w:r>
      <w:r w:rsidRPr="009A058A">
        <w:t>to</w:t>
      </w:r>
      <w:r>
        <w:t xml:space="preserve"> </w:t>
      </w:r>
      <w:r w:rsidRPr="009A058A">
        <w:t>th</w:t>
      </w:r>
      <w:r>
        <w:t xml:space="preserve">e DW (row 8). The magnitude (as well as </w:t>
      </w:r>
      <w:r w:rsidRPr="009A058A">
        <w:t>significance)</w:t>
      </w:r>
      <w:r>
        <w:t xml:space="preserve"> </w:t>
      </w:r>
      <w:r w:rsidRPr="009A058A">
        <w:t>of</w:t>
      </w:r>
      <w:r>
        <w:t xml:space="preserve"> </w:t>
      </w:r>
      <w:r w:rsidRPr="009A058A">
        <w:t>this</w:t>
      </w:r>
      <w:r>
        <w:t xml:space="preserve"> </w:t>
      </w:r>
      <w:r w:rsidRPr="009A058A">
        <w:t>effect,</w:t>
      </w:r>
      <w:r>
        <w:t xml:space="preserve"> </w:t>
      </w:r>
      <w:r w:rsidRPr="009A058A">
        <w:t>however,</w:t>
      </w:r>
      <w:r>
        <w:t xml:space="preserve"> </w:t>
      </w:r>
      <w:r w:rsidRPr="009A058A">
        <w:t>is</w:t>
      </w:r>
      <w:r>
        <w:t xml:space="preserve"> </w:t>
      </w:r>
      <w:r w:rsidRPr="009A058A">
        <w:t>substantially</w:t>
      </w:r>
      <w:r>
        <w:t xml:space="preserve"> </w:t>
      </w:r>
      <w:r w:rsidRPr="009A058A">
        <w:t>smaller</w:t>
      </w:r>
      <w:r>
        <w:t xml:space="preserve"> </w:t>
      </w:r>
      <w:r w:rsidRPr="009A058A">
        <w:t>than</w:t>
      </w:r>
      <w:r>
        <w:t xml:space="preserve"> DW detection </w:t>
      </w:r>
      <w:r w:rsidRPr="009A058A">
        <w:t>(roughly</w:t>
      </w:r>
      <w:r>
        <w:t xml:space="preserve"> </w:t>
      </w:r>
      <w:r w:rsidRPr="009A058A">
        <w:t>1</w:t>
      </w:r>
      <w:r>
        <w:t>4</w:t>
      </w:r>
      <w:r w:rsidRPr="009A058A">
        <w:t>%</w:t>
      </w:r>
      <w:r>
        <w:t xml:space="preserve"> </w:t>
      </w:r>
      <w:r w:rsidRPr="009A058A">
        <w:t>versus</w:t>
      </w:r>
      <w:r>
        <w:t xml:space="preserve"> </w:t>
      </w:r>
      <w:r w:rsidRPr="009A058A">
        <w:t>30%).</w:t>
      </w:r>
      <w:r>
        <w:t xml:space="preserve"> Interestingly, whether or not the bank is funded by the investor does not seem to influence significantly the bank’s subsequent behavior (rows 7, 9 and 10). In other words, it is DW detection (despite having no financial implication), rather than its consequence on funding that seems to drive the banks subsequent behavior. </w:t>
      </w:r>
    </w:p>
    <w:p w14:paraId="472F36FC" w14:textId="77777777" w:rsidR="008E1FDB" w:rsidRDefault="008E1FDB" w:rsidP="008E1FDB">
      <w:pPr>
        <w:pStyle w:val="Olivier1"/>
        <w:widowControl w:val="0"/>
        <w:ind w:firstLine="360"/>
      </w:pPr>
      <w:r w:rsidRPr="009A058A">
        <w:t>Rows</w:t>
      </w:r>
      <w:r>
        <w:t xml:space="preserve"> </w:t>
      </w:r>
      <w:r w:rsidRPr="009A058A">
        <w:t>1</w:t>
      </w:r>
      <w:r>
        <w:t xml:space="preserve">1 </w:t>
      </w:r>
      <w:r w:rsidRPr="009A058A">
        <w:t>to</w:t>
      </w:r>
      <w:r>
        <w:t xml:space="preserve"> </w:t>
      </w:r>
      <w:r w:rsidRPr="009A058A">
        <w:t>1</w:t>
      </w:r>
      <w:r>
        <w:t xml:space="preserve">4 measure </w:t>
      </w:r>
      <w:r w:rsidRPr="009A058A">
        <w:t>the</w:t>
      </w:r>
      <w:r>
        <w:t xml:space="preserve"> </w:t>
      </w:r>
      <w:r w:rsidRPr="009A058A">
        <w:t>impact</w:t>
      </w:r>
      <w:r>
        <w:t xml:space="preserve"> </w:t>
      </w:r>
      <w:r w:rsidRPr="009A058A">
        <w:t>of</w:t>
      </w:r>
      <w:r>
        <w:t xml:space="preserve"> random borrowing</w:t>
      </w:r>
      <w:r w:rsidRPr="009A058A">
        <w:t>.</w:t>
      </w:r>
      <w:r>
        <w:t xml:space="preserve"> A bank is more likely to borrow voluntarily at the DW when it was previously selected to borrow </w:t>
      </w:r>
      <w:r w:rsidRPr="0045635F">
        <w:rPr>
          <w:u w:val="single"/>
        </w:rPr>
        <w:t>and</w:t>
      </w:r>
      <w:r>
        <w:t xml:space="preserve"> not detected at the DW (row 13). This appears to be a major driver of behavior as it increases significantly and substantially (by 35</w:t>
      </w:r>
      <w:r w:rsidRPr="0025036C">
        <w:rPr>
          <w:color w:val="000000" w:themeColor="text1"/>
        </w:rPr>
        <w:t xml:space="preserve">%) the probability that the bank returns voluntarily to the DW in the next round. This result provides additional support for the </w:t>
      </w:r>
      <w:r w:rsidRPr="008E1FDB">
        <w:rPr>
          <w:i/>
          <w:color w:val="000000" w:themeColor="text1"/>
        </w:rPr>
        <w:t>experience</w:t>
      </w:r>
      <w:r w:rsidRPr="0025036C">
        <w:rPr>
          <w:color w:val="000000" w:themeColor="text1"/>
        </w:rPr>
        <w:t xml:space="preserve"> hypothesis discussed in the previous section, whereby subjects learn from involuntary borrowing to return to the DW voluntarily.  In contrast, we</w:t>
      </w:r>
      <w:r>
        <w:t xml:space="preserve"> find no evidence that </w:t>
      </w:r>
      <w:r w:rsidRPr="009A058A">
        <w:t>the</w:t>
      </w:r>
      <w:r>
        <w:t xml:space="preserve"> </w:t>
      </w:r>
      <w:r w:rsidRPr="009A058A">
        <w:t>bank’s</w:t>
      </w:r>
      <w:r>
        <w:t xml:space="preserve"> </w:t>
      </w:r>
      <w:r w:rsidRPr="009A058A">
        <w:t>type</w:t>
      </w:r>
      <w:r>
        <w:t xml:space="preserve"> </w:t>
      </w:r>
      <w:r w:rsidRPr="009A058A">
        <w:t>in</w:t>
      </w:r>
      <w:r>
        <w:t xml:space="preserve"> </w:t>
      </w:r>
      <w:r w:rsidRPr="009A058A">
        <w:t>the</w:t>
      </w:r>
      <w:r>
        <w:t xml:space="preserve"> </w:t>
      </w:r>
      <w:r w:rsidRPr="009A058A">
        <w:t>previous</w:t>
      </w:r>
      <w:r>
        <w:t xml:space="preserve"> </w:t>
      </w:r>
      <w:r w:rsidRPr="009A058A">
        <w:t>round</w:t>
      </w:r>
      <w:r>
        <w:t xml:space="preserve"> </w:t>
      </w:r>
      <w:r w:rsidRPr="009A058A">
        <w:t>(i.e.</w:t>
      </w:r>
      <w:r>
        <w:t xml:space="preserve"> </w:t>
      </w:r>
      <w:r w:rsidRPr="009A058A">
        <w:t>solvent</w:t>
      </w:r>
      <w:r>
        <w:t xml:space="preserve"> </w:t>
      </w:r>
      <w:r w:rsidRPr="009A058A">
        <w:t>or</w:t>
      </w:r>
      <w:r>
        <w:t xml:space="preserve"> </w:t>
      </w:r>
      <w:r w:rsidRPr="009A058A">
        <w:t>insolvent,</w:t>
      </w:r>
      <w:r>
        <w:t xml:space="preserve"> </w:t>
      </w:r>
      <w:r w:rsidRPr="009A058A">
        <w:t>liquid</w:t>
      </w:r>
      <w:r>
        <w:t xml:space="preserve"> </w:t>
      </w:r>
      <w:r w:rsidRPr="009A058A">
        <w:t>or</w:t>
      </w:r>
      <w:r>
        <w:t xml:space="preserve"> </w:t>
      </w:r>
      <w:r w:rsidRPr="009A058A">
        <w:t>illiquid)</w:t>
      </w:r>
      <w:r>
        <w:t xml:space="preserve"> </w:t>
      </w:r>
      <w:r w:rsidRPr="009A058A">
        <w:t>have</w:t>
      </w:r>
      <w:r>
        <w:t xml:space="preserve"> a significant impact </w:t>
      </w:r>
      <w:r w:rsidRPr="009A058A">
        <w:t>on</w:t>
      </w:r>
      <w:r>
        <w:t xml:space="preserve"> </w:t>
      </w:r>
      <w:r w:rsidRPr="009A058A">
        <w:t>subsequent</w:t>
      </w:r>
      <w:r>
        <w:t xml:space="preserve"> </w:t>
      </w:r>
      <w:r w:rsidRPr="009A058A">
        <w:t>behavior</w:t>
      </w:r>
      <w:r>
        <w:t xml:space="preserve"> (rows 15 and 16)</w:t>
      </w:r>
      <w:r w:rsidRPr="009A058A">
        <w:t>.</w:t>
      </w:r>
    </w:p>
    <w:p w14:paraId="795D34DD" w14:textId="77777777" w:rsidR="008E1FDB" w:rsidRPr="000A424C" w:rsidRDefault="008E1FDB" w:rsidP="008E1FDB">
      <w:pPr>
        <w:pStyle w:val="Olivier1"/>
        <w:widowControl w:val="0"/>
        <w:ind w:firstLine="360"/>
      </w:pPr>
      <w:r>
        <w:t xml:space="preserve">Next, consider </w:t>
      </w:r>
      <w:r w:rsidRPr="009A058A">
        <w:t>the</w:t>
      </w:r>
      <w:r>
        <w:t xml:space="preserve"> </w:t>
      </w:r>
      <w:r w:rsidRPr="009A058A">
        <w:t>impact</w:t>
      </w:r>
      <w:r>
        <w:t xml:space="preserve"> </w:t>
      </w:r>
      <w:r w:rsidRPr="009A058A">
        <w:t>of</w:t>
      </w:r>
      <w:r>
        <w:t xml:space="preserve"> public feedback in rows 17 </w:t>
      </w:r>
      <w:r w:rsidRPr="009A058A">
        <w:t>to</w:t>
      </w:r>
      <w:r>
        <w:t xml:space="preserve"> </w:t>
      </w:r>
      <w:r w:rsidRPr="009A058A">
        <w:t>2</w:t>
      </w:r>
      <w:r>
        <w:t>2</w:t>
      </w:r>
      <w:r w:rsidRPr="009A058A">
        <w:t>.</w:t>
      </w:r>
      <w:r>
        <w:t xml:space="preserve"> A bank’s probability of being detected at the DW in the previous round does not appear to influence banks’ behavior (row 17). </w:t>
      </w:r>
      <w:r w:rsidRPr="0025036C">
        <w:rPr>
          <w:color w:val="000000" w:themeColor="text1"/>
        </w:rPr>
        <w:t xml:space="preserve">This result provides further evidence against the </w:t>
      </w:r>
      <w:r w:rsidRPr="008E1FDB">
        <w:rPr>
          <w:i/>
          <w:color w:val="000000" w:themeColor="text1"/>
        </w:rPr>
        <w:t>detection</w:t>
      </w:r>
      <w:r w:rsidRPr="0025036C">
        <w:rPr>
          <w:color w:val="000000" w:themeColor="text1"/>
        </w:rPr>
        <w:t xml:space="preserve"> hypothesis discussed in the previous section.  Indeed, it appears that coordination on the no-stigma equilibrium in  the random borrowing treatment was </w:t>
      </w:r>
      <w:r>
        <w:rPr>
          <w:color w:val="000000" w:themeColor="text1"/>
        </w:rPr>
        <w:t>not driven by</w:t>
      </w:r>
      <w:r w:rsidRPr="0025036C">
        <w:rPr>
          <w:color w:val="000000" w:themeColor="text1"/>
        </w:rPr>
        <w:t xml:space="preserve"> the reduction in the detection probability for voluntary borrowers</w:t>
      </w:r>
      <w:r>
        <w:t>.</w:t>
      </w:r>
    </w:p>
    <w:p w14:paraId="6B7871B4" w14:textId="3E06C586" w:rsidR="00CE5AF9" w:rsidRDefault="00CE5AF9" w:rsidP="00F86E09">
      <w:pPr>
        <w:pStyle w:val="Olivier1"/>
        <w:widowControl w:val="0"/>
        <w:ind w:firstLine="360"/>
      </w:pPr>
      <w:r>
        <w:t>Rows</w:t>
      </w:r>
      <w:r w:rsidR="009A0847">
        <w:t xml:space="preserve"> </w:t>
      </w:r>
      <w:r>
        <w:t>1</w:t>
      </w:r>
      <w:r w:rsidR="0017640D">
        <w:t>8</w:t>
      </w:r>
      <w:r w:rsidR="009A0847">
        <w:t xml:space="preserve"> </w:t>
      </w:r>
      <w:r>
        <w:t>and</w:t>
      </w:r>
      <w:r w:rsidR="009A0847">
        <w:t xml:space="preserve"> </w:t>
      </w:r>
      <w:r>
        <w:t>1</w:t>
      </w:r>
      <w:r w:rsidR="0017640D">
        <w:t>9</w:t>
      </w:r>
      <w:r w:rsidR="009A0847">
        <w:t xml:space="preserve"> </w:t>
      </w:r>
      <w:r>
        <w:t>indicate</w:t>
      </w:r>
      <w:r w:rsidR="009A0847">
        <w:t xml:space="preserve"> </w:t>
      </w:r>
      <w:r>
        <w:t>a</w:t>
      </w:r>
      <w:r w:rsidR="009A0847">
        <w:t xml:space="preserve"> </w:t>
      </w:r>
      <w:r>
        <w:t>clear</w:t>
      </w:r>
      <w:r w:rsidR="009A0847">
        <w:t xml:space="preserve"> </w:t>
      </w:r>
      <w:r>
        <w:t>imitation</w:t>
      </w:r>
      <w:r w:rsidR="009A0847">
        <w:t xml:space="preserve"> </w:t>
      </w:r>
      <w:r>
        <w:t>effect:</w:t>
      </w:r>
      <w:r w:rsidR="009A0847">
        <w:t xml:space="preserve"> </w:t>
      </w:r>
      <w:r>
        <w:t>The</w:t>
      </w:r>
      <w:r w:rsidR="009A0847">
        <w:t xml:space="preserve"> </w:t>
      </w:r>
      <w:r>
        <w:t>more</w:t>
      </w:r>
      <w:r w:rsidR="009A0847">
        <w:t xml:space="preserve"> </w:t>
      </w:r>
      <w:r>
        <w:t>banks</w:t>
      </w:r>
      <w:r w:rsidR="009A0847">
        <w:t xml:space="preserve"> </w:t>
      </w:r>
      <w:r>
        <w:t>go</w:t>
      </w:r>
      <w:r w:rsidR="009A0847">
        <w:t xml:space="preserve"> </w:t>
      </w:r>
      <w:r>
        <w:t>to</w:t>
      </w:r>
      <w:r w:rsidR="009A0847">
        <w:t xml:space="preserve"> </w:t>
      </w:r>
      <w:r>
        <w:t>the</w:t>
      </w:r>
      <w:r w:rsidR="009A0847">
        <w:t xml:space="preserve"> </w:t>
      </w:r>
      <w:r>
        <w:t>DW</w:t>
      </w:r>
      <w:r w:rsidR="009A0847">
        <w:t xml:space="preserve"> </w:t>
      </w:r>
      <w:r>
        <w:t>when</w:t>
      </w:r>
      <w:r w:rsidR="009A0847">
        <w:t xml:space="preserve"> </w:t>
      </w:r>
      <w:r w:rsidR="001212A3">
        <w:t>solvent-illiquid</w:t>
      </w:r>
      <w:r w:rsidR="009A0847">
        <w:t xml:space="preserve"> </w:t>
      </w:r>
      <w:r>
        <w:t>(respectively,</w:t>
      </w:r>
      <w:r w:rsidR="009A0847">
        <w:t xml:space="preserve"> </w:t>
      </w:r>
      <w:r w:rsidR="00790803">
        <w:t>insolvent-illiquid</w:t>
      </w:r>
      <w:r>
        <w:t>),</w:t>
      </w:r>
      <w:r w:rsidR="009A0847">
        <w:t xml:space="preserve"> </w:t>
      </w:r>
      <w:r>
        <w:t>the</w:t>
      </w:r>
      <w:r w:rsidR="009A0847">
        <w:t xml:space="preserve"> </w:t>
      </w:r>
      <w:r>
        <w:t>more</w:t>
      </w:r>
      <w:r w:rsidR="009A0847">
        <w:t xml:space="preserve"> </w:t>
      </w:r>
      <w:r>
        <w:t>a</w:t>
      </w:r>
      <w:r w:rsidR="009A0847">
        <w:t xml:space="preserve"> </w:t>
      </w:r>
      <w:r>
        <w:t>subject</w:t>
      </w:r>
      <w:r w:rsidR="009A0847">
        <w:t xml:space="preserve"> </w:t>
      </w:r>
      <w:r>
        <w:t>is</w:t>
      </w:r>
      <w:r w:rsidR="009A0847">
        <w:t xml:space="preserve"> </w:t>
      </w:r>
      <w:r>
        <w:t>likely</w:t>
      </w:r>
      <w:r w:rsidR="009A0847">
        <w:t xml:space="preserve"> </w:t>
      </w:r>
      <w:r>
        <w:t>to</w:t>
      </w:r>
      <w:r w:rsidR="009A0847">
        <w:t xml:space="preserve"> </w:t>
      </w:r>
      <w:r>
        <w:t>do</w:t>
      </w:r>
      <w:r w:rsidR="009A0847">
        <w:t xml:space="preserve"> </w:t>
      </w:r>
      <w:r>
        <w:t>the</w:t>
      </w:r>
      <w:r w:rsidR="009A0847">
        <w:t xml:space="preserve"> </w:t>
      </w:r>
      <w:r>
        <w:t>same</w:t>
      </w:r>
      <w:r w:rsidR="009A0847">
        <w:t xml:space="preserve"> </w:t>
      </w:r>
      <w:r>
        <w:t>in</w:t>
      </w:r>
      <w:r w:rsidR="009A0847">
        <w:t xml:space="preserve"> </w:t>
      </w:r>
      <w:r>
        <w:t>the</w:t>
      </w:r>
      <w:r w:rsidR="009A0847">
        <w:t xml:space="preserve"> </w:t>
      </w:r>
      <w:r>
        <w:t>next</w:t>
      </w:r>
      <w:r w:rsidR="009A0847">
        <w:t xml:space="preserve"> </w:t>
      </w:r>
      <w:r>
        <w:t>round.</w:t>
      </w:r>
      <w:r w:rsidR="009A0847">
        <w:t xml:space="preserve"> </w:t>
      </w:r>
      <w:r>
        <w:t>This</w:t>
      </w:r>
      <w:r w:rsidR="009A0847">
        <w:t xml:space="preserve"> </w:t>
      </w:r>
      <w:r>
        <w:t>result</w:t>
      </w:r>
      <w:r w:rsidR="009A0847">
        <w:t xml:space="preserve"> </w:t>
      </w:r>
      <w:r>
        <w:t>is</w:t>
      </w:r>
      <w:r w:rsidR="009A0847">
        <w:t xml:space="preserve"> </w:t>
      </w:r>
      <w:r>
        <w:t>consistent</w:t>
      </w:r>
      <w:r w:rsidR="009A0847">
        <w:t xml:space="preserve"> </w:t>
      </w:r>
      <w:r>
        <w:t>with</w:t>
      </w:r>
      <w:r w:rsidR="009A0847">
        <w:t xml:space="preserve"> </w:t>
      </w:r>
      <w:r>
        <w:t>an</w:t>
      </w:r>
      <w:r w:rsidR="009A0847">
        <w:t xml:space="preserve"> </w:t>
      </w:r>
      <w:r>
        <w:t>effort</w:t>
      </w:r>
      <w:r w:rsidR="009A0847">
        <w:t xml:space="preserve"> </w:t>
      </w:r>
      <w:r>
        <w:t>to</w:t>
      </w:r>
      <w:r w:rsidR="009A0847">
        <w:t xml:space="preserve"> </w:t>
      </w:r>
      <w:r>
        <w:t>coordinate</w:t>
      </w:r>
      <w:r w:rsidR="009A0847">
        <w:t xml:space="preserve"> </w:t>
      </w:r>
      <w:r>
        <w:t>on</w:t>
      </w:r>
      <w:r w:rsidR="009A0847">
        <w:t xml:space="preserve"> </w:t>
      </w:r>
      <w:r>
        <w:t>the</w:t>
      </w:r>
      <w:r w:rsidR="009A0847">
        <w:t xml:space="preserve"> </w:t>
      </w:r>
      <w:r>
        <w:t>part</w:t>
      </w:r>
      <w:r w:rsidR="009A0847">
        <w:t xml:space="preserve"> </w:t>
      </w:r>
      <w:r>
        <w:t>of</w:t>
      </w:r>
      <w:r w:rsidR="009A0847">
        <w:t xml:space="preserve"> </w:t>
      </w:r>
      <w:r>
        <w:t>banks.</w:t>
      </w:r>
      <w:r w:rsidR="009A0847">
        <w:t xml:space="preserve"> </w:t>
      </w:r>
      <w:r w:rsidRPr="00922A42">
        <w:t>In</w:t>
      </w:r>
      <w:r>
        <w:t>terestingly,</w:t>
      </w:r>
      <w:r w:rsidR="009A0847">
        <w:t xml:space="preserve"> </w:t>
      </w:r>
      <w:r>
        <w:t>while</w:t>
      </w:r>
      <w:r w:rsidR="009A0847">
        <w:t xml:space="preserve"> </w:t>
      </w:r>
      <w:r>
        <w:t>the</w:t>
      </w:r>
      <w:r w:rsidR="009A0847">
        <w:t xml:space="preserve"> </w:t>
      </w:r>
      <w:r>
        <w:t>investor</w:t>
      </w:r>
      <w:r w:rsidRPr="00922A42">
        <w:t>s</w:t>
      </w:r>
      <w:r>
        <w:t>’</w:t>
      </w:r>
      <w:r w:rsidR="009A0847">
        <w:t xml:space="preserve"> </w:t>
      </w:r>
      <w:r w:rsidRPr="00922A42">
        <w:t>funding</w:t>
      </w:r>
      <w:r w:rsidR="009A0847">
        <w:t xml:space="preserve"> </w:t>
      </w:r>
      <w:r w:rsidRPr="00922A42">
        <w:t>decision</w:t>
      </w:r>
      <w:r>
        <w:t>s</w:t>
      </w:r>
      <w:r w:rsidR="009A0847">
        <w:t xml:space="preserve"> </w:t>
      </w:r>
      <w:r w:rsidRPr="00922A42">
        <w:t>when</w:t>
      </w:r>
      <w:r w:rsidR="009A0847">
        <w:t xml:space="preserve"> </w:t>
      </w:r>
      <w:r w:rsidRPr="00922A42">
        <w:t>a</w:t>
      </w:r>
      <w:r w:rsidR="009A0847">
        <w:t xml:space="preserve"> </w:t>
      </w:r>
      <w:r w:rsidRPr="00922A42">
        <w:t>bank</w:t>
      </w:r>
      <w:r w:rsidR="009A0847">
        <w:t xml:space="preserve"> </w:t>
      </w:r>
      <w:r w:rsidRPr="00922A42">
        <w:t>is</w:t>
      </w:r>
      <w:r w:rsidR="009A0847">
        <w:t xml:space="preserve"> </w:t>
      </w:r>
      <w:r w:rsidRPr="00922A42">
        <w:t>not</w:t>
      </w:r>
      <w:r w:rsidR="009A0847">
        <w:t xml:space="preserve"> </w:t>
      </w:r>
      <w:r w:rsidR="00AD17A9">
        <w:t>detected</w:t>
      </w:r>
      <w:r w:rsidR="009A0847">
        <w:t xml:space="preserve"> </w:t>
      </w:r>
      <w:r w:rsidRPr="00922A42">
        <w:t>appears</w:t>
      </w:r>
      <w:r w:rsidR="009A0847">
        <w:t xml:space="preserve"> </w:t>
      </w:r>
      <w:r w:rsidRPr="00922A42">
        <w:t>to</w:t>
      </w:r>
      <w:r w:rsidR="009A0847">
        <w:t xml:space="preserve"> </w:t>
      </w:r>
      <w:r w:rsidRPr="00922A42">
        <w:t>have</w:t>
      </w:r>
      <w:r w:rsidR="009A0847">
        <w:t xml:space="preserve"> </w:t>
      </w:r>
      <w:r w:rsidRPr="00922A42">
        <w:t>no</w:t>
      </w:r>
      <w:r w:rsidR="009A0847">
        <w:t xml:space="preserve"> </w:t>
      </w:r>
      <w:r w:rsidRPr="00922A42">
        <w:t>influence</w:t>
      </w:r>
      <w:r w:rsidR="009A0847">
        <w:t xml:space="preserve"> </w:t>
      </w:r>
      <w:r w:rsidRPr="00922A42">
        <w:t>on</w:t>
      </w:r>
      <w:r w:rsidR="009A0847">
        <w:t xml:space="preserve"> </w:t>
      </w:r>
      <w:r w:rsidRPr="00922A42">
        <w:t>a</w:t>
      </w:r>
      <w:r w:rsidR="009A0847">
        <w:t xml:space="preserve"> </w:t>
      </w:r>
      <w:r>
        <w:t>bank</w:t>
      </w:r>
      <w:r w:rsidR="00811E97">
        <w:t>’</w:t>
      </w:r>
      <w:r w:rsidR="0017640D">
        <w:t>s</w:t>
      </w:r>
      <w:r w:rsidR="009A0847">
        <w:t xml:space="preserve"> </w:t>
      </w:r>
      <w:r w:rsidR="0017640D">
        <w:t>behavior</w:t>
      </w:r>
      <w:r w:rsidR="009A0847">
        <w:t xml:space="preserve"> </w:t>
      </w:r>
      <w:r w:rsidR="0017640D">
        <w:t>(row</w:t>
      </w:r>
      <w:r w:rsidR="009A0847">
        <w:t xml:space="preserve"> </w:t>
      </w:r>
      <w:r w:rsidR="0017640D">
        <w:t>20</w:t>
      </w:r>
      <w:r w:rsidRPr="00922A42">
        <w:t>),</w:t>
      </w:r>
      <w:r w:rsidR="009A0847">
        <w:t xml:space="preserve"> </w:t>
      </w:r>
      <w:r w:rsidRPr="00922A42">
        <w:t>a</w:t>
      </w:r>
      <w:r w:rsidR="009A0847">
        <w:t xml:space="preserve"> </w:t>
      </w:r>
      <w:r w:rsidRPr="00922A42">
        <w:t>bank’s</w:t>
      </w:r>
      <w:r w:rsidR="009A0847">
        <w:t xml:space="preserve"> </w:t>
      </w:r>
      <w:r w:rsidRPr="00922A42">
        <w:t>willingness</w:t>
      </w:r>
      <w:r w:rsidR="009A0847">
        <w:t xml:space="preserve"> </w:t>
      </w:r>
      <w:r w:rsidRPr="00922A42">
        <w:t>to</w:t>
      </w:r>
      <w:r w:rsidR="009A0847">
        <w:t xml:space="preserve"> </w:t>
      </w:r>
      <w:r w:rsidRPr="00922A42">
        <w:t>borrow</w:t>
      </w:r>
      <w:r w:rsidR="009A0847">
        <w:t xml:space="preserve"> </w:t>
      </w:r>
      <w:r w:rsidRPr="00922A42">
        <w:t>at</w:t>
      </w:r>
      <w:r w:rsidR="009A0847">
        <w:t xml:space="preserve"> </w:t>
      </w:r>
      <w:r w:rsidRPr="00922A42">
        <w:t>the</w:t>
      </w:r>
      <w:r w:rsidR="009A0847">
        <w:t xml:space="preserve"> </w:t>
      </w:r>
      <w:r w:rsidRPr="00922A42">
        <w:t>DW</w:t>
      </w:r>
      <w:r w:rsidR="009A0847">
        <w:t xml:space="preserve"> </w:t>
      </w:r>
      <w:r w:rsidRPr="00922A42">
        <w:t>is</w:t>
      </w:r>
      <w:r w:rsidR="009A0847">
        <w:t xml:space="preserve"> </w:t>
      </w:r>
      <w:r w:rsidRPr="00922A42">
        <w:t>positively</w:t>
      </w:r>
      <w:r w:rsidR="009A0847">
        <w:t xml:space="preserve"> </w:t>
      </w:r>
      <w:r w:rsidRPr="00922A42">
        <w:t>correlated</w:t>
      </w:r>
      <w:r w:rsidR="009A0847">
        <w:t xml:space="preserve"> </w:t>
      </w:r>
      <w:r w:rsidRPr="00922A42">
        <w:t>with</w:t>
      </w:r>
      <w:r w:rsidR="009A0847">
        <w:t xml:space="preserve"> </w:t>
      </w:r>
      <w:r w:rsidRPr="00922A42">
        <w:t>the</w:t>
      </w:r>
      <w:r w:rsidR="009A0847">
        <w:t xml:space="preserve"> </w:t>
      </w:r>
      <w:r w:rsidRPr="00922A42">
        <w:t>number</w:t>
      </w:r>
      <w:r w:rsidR="009A0847">
        <w:t xml:space="preserve"> </w:t>
      </w:r>
      <w:r w:rsidRPr="00922A42">
        <w:t>of</w:t>
      </w:r>
      <w:r w:rsidR="009A0847">
        <w:t xml:space="preserve"> </w:t>
      </w:r>
      <w:r w:rsidRPr="00922A42">
        <w:t>investors</w:t>
      </w:r>
      <w:r w:rsidR="009A0847">
        <w:t xml:space="preserve"> </w:t>
      </w:r>
      <w:r w:rsidRPr="00922A42">
        <w:t>who</w:t>
      </w:r>
      <w:r w:rsidR="009A0847">
        <w:t xml:space="preserve"> </w:t>
      </w:r>
      <w:r>
        <w:t>chose</w:t>
      </w:r>
      <w:r w:rsidR="009A0847">
        <w:t xml:space="preserve"> </w:t>
      </w:r>
      <w:r>
        <w:t>to</w:t>
      </w:r>
      <w:r w:rsidR="009A0847">
        <w:t xml:space="preserve"> </w:t>
      </w:r>
      <w:r w:rsidRPr="00922A42">
        <w:t>fund</w:t>
      </w:r>
      <w:r w:rsidR="009A0847">
        <w:t xml:space="preserve"> </w:t>
      </w:r>
      <w:r w:rsidR="00313676">
        <w:t>detected</w:t>
      </w:r>
      <w:r w:rsidR="009A0847">
        <w:t xml:space="preserve"> </w:t>
      </w:r>
      <w:r w:rsidRPr="00922A42">
        <w:t>banks</w:t>
      </w:r>
      <w:r w:rsidR="009A0847">
        <w:t xml:space="preserve"> </w:t>
      </w:r>
      <w:r>
        <w:t>in</w:t>
      </w:r>
      <w:r w:rsidR="009A0847">
        <w:t xml:space="preserve"> </w:t>
      </w:r>
      <w:r>
        <w:t>the</w:t>
      </w:r>
      <w:r w:rsidR="009A0847">
        <w:t xml:space="preserve"> </w:t>
      </w:r>
      <w:r>
        <w:t>previous</w:t>
      </w:r>
      <w:r w:rsidR="009A0847">
        <w:t xml:space="preserve"> </w:t>
      </w:r>
      <w:r>
        <w:t>round</w:t>
      </w:r>
      <w:r w:rsidR="009A0847">
        <w:t xml:space="preserve"> </w:t>
      </w:r>
      <w:r w:rsidR="0017640D">
        <w:t>(row</w:t>
      </w:r>
      <w:r w:rsidR="009A0847">
        <w:t xml:space="preserve"> </w:t>
      </w:r>
      <w:r w:rsidR="0017640D">
        <w:t>21</w:t>
      </w:r>
      <w:r w:rsidRPr="00922A42">
        <w:t>).</w:t>
      </w:r>
      <w:r w:rsidR="009A0847">
        <w:t xml:space="preserve"> </w:t>
      </w:r>
      <w:r>
        <w:t>Finally,</w:t>
      </w:r>
      <w:r w:rsidR="009A0847">
        <w:t xml:space="preserve"> </w:t>
      </w:r>
      <w:r>
        <w:t>we</w:t>
      </w:r>
      <w:r w:rsidR="009A0847">
        <w:t xml:space="preserve"> </w:t>
      </w:r>
      <w:r>
        <w:t>do</w:t>
      </w:r>
      <w:r w:rsidR="009A0847">
        <w:t xml:space="preserve"> </w:t>
      </w:r>
      <w:r>
        <w:t>not</w:t>
      </w:r>
      <w:r w:rsidR="009A0847">
        <w:t xml:space="preserve"> </w:t>
      </w:r>
      <w:r>
        <w:t>find</w:t>
      </w:r>
      <w:r w:rsidR="009A0847">
        <w:t xml:space="preserve"> </w:t>
      </w:r>
      <w:r>
        <w:t>a</w:t>
      </w:r>
      <w:r w:rsidR="009A0847">
        <w:t xml:space="preserve"> </w:t>
      </w:r>
      <w:r>
        <w:t>session</w:t>
      </w:r>
      <w:r w:rsidR="009A0847">
        <w:t xml:space="preserve"> </w:t>
      </w:r>
      <w:r>
        <w:t>effect</w:t>
      </w:r>
      <w:r w:rsidR="009A0847">
        <w:t xml:space="preserve"> </w:t>
      </w:r>
      <w:r>
        <w:t>in</w:t>
      </w:r>
      <w:r w:rsidR="009A0847">
        <w:t xml:space="preserve"> </w:t>
      </w:r>
      <w:r>
        <w:t>the</w:t>
      </w:r>
      <w:r w:rsidR="009A0847">
        <w:t xml:space="preserve"> </w:t>
      </w:r>
      <w:r>
        <w:t>sense</w:t>
      </w:r>
      <w:r w:rsidR="009A0847">
        <w:t xml:space="preserve"> </w:t>
      </w:r>
      <w:r>
        <w:t>that</w:t>
      </w:r>
      <w:r w:rsidR="009A0847">
        <w:t xml:space="preserve"> </w:t>
      </w:r>
      <w:r>
        <w:t>banks’</w:t>
      </w:r>
      <w:r w:rsidR="009A0847">
        <w:t xml:space="preserve"> </w:t>
      </w:r>
      <w:r>
        <w:t>choices</w:t>
      </w:r>
      <w:r w:rsidR="009A0847">
        <w:t xml:space="preserve"> </w:t>
      </w:r>
      <w:r>
        <w:t>in</w:t>
      </w:r>
      <w:r w:rsidR="009A0847">
        <w:t xml:space="preserve"> </w:t>
      </w:r>
      <w:r>
        <w:t>the</w:t>
      </w:r>
      <w:r w:rsidR="009A0847">
        <w:t xml:space="preserve"> </w:t>
      </w:r>
      <w:r>
        <w:t>first</w:t>
      </w:r>
      <w:r w:rsidR="009A0847">
        <w:t xml:space="preserve"> </w:t>
      </w:r>
      <w:r>
        <w:t>round</w:t>
      </w:r>
      <w:r w:rsidR="009A0847">
        <w:t xml:space="preserve"> </w:t>
      </w:r>
      <w:r>
        <w:t>of</w:t>
      </w:r>
      <w:r w:rsidR="009A0847">
        <w:t xml:space="preserve"> </w:t>
      </w:r>
      <w:r>
        <w:t>a</w:t>
      </w:r>
      <w:r w:rsidR="009A0847">
        <w:t xml:space="preserve"> </w:t>
      </w:r>
      <w:r>
        <w:t>session</w:t>
      </w:r>
      <w:r w:rsidR="009A0847">
        <w:t xml:space="preserve"> </w:t>
      </w:r>
      <w:r>
        <w:t>cannot</w:t>
      </w:r>
      <w:r w:rsidR="009A0847">
        <w:t xml:space="preserve"> </w:t>
      </w:r>
      <w:r>
        <w:t>exp</w:t>
      </w:r>
      <w:r w:rsidR="0017640D">
        <w:t>lain</w:t>
      </w:r>
      <w:r w:rsidR="009A0847">
        <w:t xml:space="preserve"> </w:t>
      </w:r>
      <w:r w:rsidR="0017640D">
        <w:t>subsequent</w:t>
      </w:r>
      <w:r w:rsidR="009A0847">
        <w:t xml:space="preserve"> </w:t>
      </w:r>
      <w:r w:rsidR="0017640D">
        <w:t>behavior</w:t>
      </w:r>
      <w:r w:rsidR="009A0847">
        <w:t xml:space="preserve"> </w:t>
      </w:r>
      <w:r w:rsidR="0017640D">
        <w:t>(row</w:t>
      </w:r>
      <w:r w:rsidR="009A0847">
        <w:t xml:space="preserve"> </w:t>
      </w:r>
      <w:r w:rsidR="0017640D">
        <w:t>22</w:t>
      </w:r>
      <w:r>
        <w:t>).</w:t>
      </w:r>
      <w:r w:rsidR="009A0847">
        <w:t xml:space="preserve"> </w:t>
      </w:r>
      <w:r>
        <w:t>As</w:t>
      </w:r>
      <w:r w:rsidR="009A0847">
        <w:t xml:space="preserve"> </w:t>
      </w:r>
      <w:r>
        <w:t>a</w:t>
      </w:r>
      <w:r w:rsidR="009A0847">
        <w:t xml:space="preserve"> </w:t>
      </w:r>
      <w:r>
        <w:t>result,</w:t>
      </w:r>
      <w:r w:rsidR="009A0847">
        <w:t xml:space="preserve"> </w:t>
      </w:r>
      <w:r>
        <w:t>we</w:t>
      </w:r>
      <w:r w:rsidR="009A0847">
        <w:t xml:space="preserve"> </w:t>
      </w:r>
      <w:r>
        <w:t>find</w:t>
      </w:r>
      <w:r w:rsidR="009A0847">
        <w:t xml:space="preserve"> </w:t>
      </w:r>
      <w:r>
        <w:t>no</w:t>
      </w:r>
      <w:r w:rsidR="009A0847">
        <w:t xml:space="preserve"> </w:t>
      </w:r>
      <w:r>
        <w:t>evidence</w:t>
      </w:r>
      <w:r w:rsidR="009A0847">
        <w:t xml:space="preserve"> </w:t>
      </w:r>
      <w:r>
        <w:t>that</w:t>
      </w:r>
      <w:r w:rsidR="009A0847">
        <w:t xml:space="preserve"> </w:t>
      </w:r>
      <w:r>
        <w:t>banks</w:t>
      </w:r>
      <w:r w:rsidR="009A0847">
        <w:t xml:space="preserve"> </w:t>
      </w:r>
      <w:r>
        <w:t>are</w:t>
      </w:r>
      <w:r w:rsidR="009A0847">
        <w:t xml:space="preserve"> </w:t>
      </w:r>
      <w:r>
        <w:t>more</w:t>
      </w:r>
      <w:r w:rsidR="009A0847">
        <w:t xml:space="preserve"> </w:t>
      </w:r>
      <w:r>
        <w:t>likely</w:t>
      </w:r>
      <w:r w:rsidR="009A0847">
        <w:t xml:space="preserve"> </w:t>
      </w:r>
      <w:r>
        <w:t>to</w:t>
      </w:r>
      <w:r w:rsidR="009A0847">
        <w:t xml:space="preserve"> </w:t>
      </w:r>
      <w:r>
        <w:t>converge</w:t>
      </w:r>
      <w:r w:rsidR="009A0847">
        <w:t xml:space="preserve"> </w:t>
      </w:r>
      <w:r>
        <w:t>toward</w:t>
      </w:r>
      <w:r w:rsidR="009A0847">
        <w:t xml:space="preserve"> </w:t>
      </w:r>
      <w:r>
        <w:t>the</w:t>
      </w:r>
      <w:r w:rsidR="009A0847">
        <w:t xml:space="preserve"> </w:t>
      </w:r>
      <w:r>
        <w:t>stigma</w:t>
      </w:r>
      <w:r w:rsidR="009A0847">
        <w:t xml:space="preserve"> </w:t>
      </w:r>
      <w:r>
        <w:t>(respectively,</w:t>
      </w:r>
      <w:r w:rsidR="009A0847">
        <w:t xml:space="preserve"> </w:t>
      </w:r>
      <w:r>
        <w:t>no</w:t>
      </w:r>
      <w:r w:rsidR="009A0847">
        <w:t xml:space="preserve"> </w:t>
      </w:r>
      <w:r>
        <w:t>stigma)</w:t>
      </w:r>
      <w:r w:rsidR="009A0847">
        <w:t xml:space="preserve"> </w:t>
      </w:r>
      <w:r>
        <w:t>equilibrium</w:t>
      </w:r>
      <w:r w:rsidR="009A0847">
        <w:t xml:space="preserve"> </w:t>
      </w:r>
      <w:r>
        <w:t>in</w:t>
      </w:r>
      <w:r w:rsidR="009A0847">
        <w:t xml:space="preserve"> </w:t>
      </w:r>
      <w:r>
        <w:t>sessions</w:t>
      </w:r>
      <w:r w:rsidR="009A0847">
        <w:t xml:space="preserve"> </w:t>
      </w:r>
      <w:r>
        <w:t>where</w:t>
      </w:r>
      <w:r w:rsidR="009A0847">
        <w:t xml:space="preserve"> </w:t>
      </w:r>
      <w:r>
        <w:t>most</w:t>
      </w:r>
      <w:r w:rsidR="009A0847">
        <w:t xml:space="preserve"> </w:t>
      </w:r>
      <w:r>
        <w:t>banks</w:t>
      </w:r>
      <w:r w:rsidR="009A0847">
        <w:t xml:space="preserve"> </w:t>
      </w:r>
      <w:r>
        <w:t>did</w:t>
      </w:r>
      <w:r w:rsidR="009A0847">
        <w:t xml:space="preserve"> </w:t>
      </w:r>
      <w:r>
        <w:t>not</w:t>
      </w:r>
      <w:r w:rsidR="009A0847">
        <w:t xml:space="preserve"> </w:t>
      </w:r>
      <w:r>
        <w:t>borrow</w:t>
      </w:r>
      <w:r w:rsidR="009A0847">
        <w:t xml:space="preserve"> </w:t>
      </w:r>
      <w:r>
        <w:t>(</w:t>
      </w:r>
      <w:r w:rsidR="00682AF5">
        <w:t>respectively</w:t>
      </w:r>
      <w:r w:rsidR="009A0847">
        <w:t xml:space="preserve"> </w:t>
      </w:r>
      <w:r>
        <w:t>borrowed)</w:t>
      </w:r>
      <w:r w:rsidR="009A0847">
        <w:t xml:space="preserve"> </w:t>
      </w:r>
      <w:r>
        <w:t>at</w:t>
      </w:r>
      <w:r w:rsidR="009A0847">
        <w:t xml:space="preserve"> </w:t>
      </w:r>
      <w:r>
        <w:t>the</w:t>
      </w:r>
      <w:r w:rsidR="009A0847">
        <w:t xml:space="preserve"> </w:t>
      </w:r>
      <w:r>
        <w:t>DW</w:t>
      </w:r>
      <w:r w:rsidR="009A0847">
        <w:t xml:space="preserve"> </w:t>
      </w:r>
      <w:r>
        <w:t>in</w:t>
      </w:r>
      <w:r w:rsidR="009A0847">
        <w:t xml:space="preserve"> </w:t>
      </w:r>
      <w:r>
        <w:t>round</w:t>
      </w:r>
      <w:r w:rsidR="009A0847">
        <w:t xml:space="preserve"> </w:t>
      </w:r>
      <w:r>
        <w:t>1.</w:t>
      </w:r>
    </w:p>
    <w:p w14:paraId="7E728274" w14:textId="5C1FCF4F" w:rsidR="00CE5AF9" w:rsidRDefault="001A1F3A" w:rsidP="00F86E09">
      <w:pPr>
        <w:pStyle w:val="Olivier1"/>
        <w:widowControl w:val="0"/>
      </w:pPr>
      <w:r w:rsidRPr="005D609E">
        <w:rPr>
          <w:rStyle w:val="Heading3Char"/>
        </w:rPr>
        <w:t>Specification</w:t>
      </w:r>
      <w:r w:rsidR="009A0847">
        <w:rPr>
          <w:rStyle w:val="Heading3Char"/>
        </w:rPr>
        <w:t xml:space="preserve"> </w:t>
      </w:r>
      <w:r>
        <w:rPr>
          <w:rStyle w:val="Heading3Char"/>
        </w:rPr>
        <w:t>3</w:t>
      </w:r>
      <w:r w:rsidRPr="005D609E">
        <w:rPr>
          <w:rStyle w:val="Heading3Char"/>
        </w:rPr>
        <w:t>:</w:t>
      </w:r>
      <w:r w:rsidR="009A0847">
        <w:t xml:space="preserve"> </w:t>
      </w:r>
      <w:r>
        <w:t>The</w:t>
      </w:r>
      <w:r w:rsidR="009A0847">
        <w:t xml:space="preserve"> </w:t>
      </w:r>
      <w:r>
        <w:t>last</w:t>
      </w:r>
      <w:r w:rsidR="009A0847">
        <w:t xml:space="preserve"> </w:t>
      </w:r>
      <w:r>
        <w:t>s</w:t>
      </w:r>
      <w:r w:rsidR="00CE5AF9" w:rsidRPr="00922A42">
        <w:t>pecification</w:t>
      </w:r>
      <w:r w:rsidR="009A0847">
        <w:t xml:space="preserve"> </w:t>
      </w:r>
      <w:r w:rsidR="00AD17A9">
        <w:t>c</w:t>
      </w:r>
      <w:r w:rsidR="00CE5AF9" w:rsidRPr="00922A42">
        <w:t>ontrol</w:t>
      </w:r>
      <w:r w:rsidR="00AD17A9">
        <w:t>s</w:t>
      </w:r>
      <w:r w:rsidR="009A0847">
        <w:t xml:space="preserve"> </w:t>
      </w:r>
      <w:r w:rsidR="00CE5AF9" w:rsidRPr="00922A42">
        <w:t>for</w:t>
      </w:r>
      <w:r w:rsidR="009A0847">
        <w:t xml:space="preserve"> </w:t>
      </w:r>
      <w:r w:rsidR="00CE5AF9" w:rsidRPr="00922A42">
        <w:t>individual</w:t>
      </w:r>
      <w:r w:rsidR="009A0847">
        <w:t xml:space="preserve"> </w:t>
      </w:r>
      <w:r w:rsidR="00CE5AF9" w:rsidRPr="00922A42">
        <w:t>characteristics:</w:t>
      </w:r>
      <w:r w:rsidR="009A0847">
        <w:t xml:space="preserve"> </w:t>
      </w:r>
      <w:r w:rsidR="00CE5AF9" w:rsidRPr="00922A42">
        <w:t>risk</w:t>
      </w:r>
      <w:r w:rsidR="009A0847">
        <w:t xml:space="preserve"> </w:t>
      </w:r>
      <w:r w:rsidR="00CE5AF9" w:rsidRPr="00922A42">
        <w:t>attitude,</w:t>
      </w:r>
      <w:r w:rsidR="009A0847">
        <w:t xml:space="preserve"> </w:t>
      </w:r>
      <w:r w:rsidR="00CE5AF9" w:rsidRPr="00922A42">
        <w:t>gender,</w:t>
      </w:r>
      <w:r w:rsidR="009A0847">
        <w:t xml:space="preserve"> </w:t>
      </w:r>
      <w:r w:rsidR="00CE5AF9" w:rsidRPr="00922A42">
        <w:t>age</w:t>
      </w:r>
      <w:r w:rsidR="009A0847">
        <w:t xml:space="preserve"> </w:t>
      </w:r>
      <w:r w:rsidR="00CE5AF9" w:rsidRPr="00922A42">
        <w:t>and</w:t>
      </w:r>
      <w:r w:rsidR="009A0847">
        <w:t xml:space="preserve"> </w:t>
      </w:r>
      <w:r w:rsidR="00CE5AF9" w:rsidRPr="00922A42">
        <w:t>field</w:t>
      </w:r>
      <w:r w:rsidR="009A0847">
        <w:t xml:space="preserve"> </w:t>
      </w:r>
      <w:r w:rsidR="00CE5AF9" w:rsidRPr="00922A42">
        <w:t>of</w:t>
      </w:r>
      <w:r w:rsidR="009A0847">
        <w:t xml:space="preserve"> </w:t>
      </w:r>
      <w:r w:rsidR="00CE5AF9" w:rsidRPr="00922A42">
        <w:t>studies.</w:t>
      </w:r>
      <w:r w:rsidR="00AD17A9">
        <w:rPr>
          <w:rStyle w:val="FootnoteReference"/>
        </w:rPr>
        <w:footnoteReference w:id="29"/>
      </w:r>
      <w:r w:rsidR="009A0847">
        <w:t xml:space="preserve"> </w:t>
      </w:r>
      <w:r w:rsidR="00CE5AF9">
        <w:t>First,</w:t>
      </w:r>
      <w:r w:rsidR="009A0847">
        <w:t xml:space="preserve"> </w:t>
      </w:r>
      <w:r w:rsidR="00CE5AF9">
        <w:t>observe</w:t>
      </w:r>
      <w:r w:rsidR="009A0847">
        <w:t xml:space="preserve"> </w:t>
      </w:r>
      <w:r w:rsidR="00CE5AF9">
        <w:t>that</w:t>
      </w:r>
      <w:r w:rsidR="009A0847">
        <w:t xml:space="preserve"> </w:t>
      </w:r>
      <w:r w:rsidR="00CE5AF9">
        <w:t>the</w:t>
      </w:r>
      <w:r w:rsidR="009A0847">
        <w:t xml:space="preserve"> </w:t>
      </w:r>
      <w:r w:rsidR="00CE5AF9">
        <w:t>results</w:t>
      </w:r>
      <w:r w:rsidR="009A0847">
        <w:t xml:space="preserve"> </w:t>
      </w:r>
      <w:r w:rsidR="00CE5AF9">
        <w:t>from</w:t>
      </w:r>
      <w:r w:rsidR="009A0847">
        <w:t xml:space="preserve"> </w:t>
      </w:r>
      <w:r w:rsidR="00CE5AF9">
        <w:t>specification</w:t>
      </w:r>
      <w:r w:rsidR="009A0847">
        <w:t xml:space="preserve"> </w:t>
      </w:r>
      <w:r w:rsidR="00CE5AF9">
        <w:t>2</w:t>
      </w:r>
      <w:r w:rsidR="009A0847">
        <w:t xml:space="preserve"> </w:t>
      </w:r>
      <w:r w:rsidR="00CE5AF9">
        <w:t>are</w:t>
      </w:r>
      <w:r w:rsidR="009A0847">
        <w:t xml:space="preserve"> </w:t>
      </w:r>
      <w:r w:rsidR="00CE5AF9">
        <w:t>robust</w:t>
      </w:r>
      <w:r w:rsidR="009A0847">
        <w:t xml:space="preserve"> </w:t>
      </w:r>
      <w:r w:rsidR="00CE5AF9">
        <w:t>as</w:t>
      </w:r>
      <w:r w:rsidR="009A0847">
        <w:t xml:space="preserve"> </w:t>
      </w:r>
      <w:r w:rsidR="00CE5AF9">
        <w:t>the</w:t>
      </w:r>
      <w:r w:rsidR="009A0847">
        <w:t xml:space="preserve"> </w:t>
      </w:r>
      <w:r w:rsidR="00CE5AF9">
        <w:t>sign</w:t>
      </w:r>
      <w:r w:rsidR="009A0847">
        <w:t xml:space="preserve"> </w:t>
      </w:r>
      <w:r w:rsidR="00CE5AF9">
        <w:t>and</w:t>
      </w:r>
      <w:r w:rsidR="009A0847">
        <w:t xml:space="preserve"> </w:t>
      </w:r>
      <w:r w:rsidR="00CE5AF9">
        <w:t>magnitude</w:t>
      </w:r>
      <w:r w:rsidR="009A0847">
        <w:t xml:space="preserve"> </w:t>
      </w:r>
      <w:r w:rsidR="00CE5AF9">
        <w:t>of</w:t>
      </w:r>
      <w:r w:rsidR="009A0847">
        <w:t xml:space="preserve"> </w:t>
      </w:r>
      <w:r w:rsidR="00CE5AF9">
        <w:t>the</w:t>
      </w:r>
      <w:r w:rsidR="009A0847">
        <w:t xml:space="preserve"> </w:t>
      </w:r>
      <w:r w:rsidR="00CE5AF9">
        <w:t>parameters</w:t>
      </w:r>
      <w:r w:rsidR="009A0847">
        <w:t xml:space="preserve"> </w:t>
      </w:r>
      <w:r w:rsidR="00CE5AF9">
        <w:t>remain</w:t>
      </w:r>
      <w:r w:rsidR="009A0847">
        <w:t xml:space="preserve"> </w:t>
      </w:r>
      <w:r w:rsidR="00CE5AF9">
        <w:t>essentially</w:t>
      </w:r>
      <w:r w:rsidR="009A0847">
        <w:t xml:space="preserve"> </w:t>
      </w:r>
      <w:r w:rsidR="00CE5AF9">
        <w:t>unchanged.</w:t>
      </w:r>
      <w:r w:rsidR="009A0847">
        <w:t xml:space="preserve"> </w:t>
      </w:r>
      <w:r w:rsidR="00CE5AF9">
        <w:t>The</w:t>
      </w:r>
      <w:r w:rsidR="009A0847">
        <w:t xml:space="preserve"> </w:t>
      </w:r>
      <w:r w:rsidR="00CE5AF9">
        <w:t>only</w:t>
      </w:r>
      <w:r w:rsidR="009A0847">
        <w:t xml:space="preserve"> </w:t>
      </w:r>
      <w:r w:rsidR="00CE5AF9">
        <w:t>individual</w:t>
      </w:r>
      <w:r w:rsidR="009A0847">
        <w:t xml:space="preserve"> </w:t>
      </w:r>
      <w:r w:rsidR="00CE5AF9">
        <w:t>characteristic</w:t>
      </w:r>
      <w:r w:rsidR="009A0847">
        <w:t xml:space="preserve"> </w:t>
      </w:r>
      <w:r w:rsidR="00CE5AF9">
        <w:t>with</w:t>
      </w:r>
      <w:r w:rsidR="009A0847">
        <w:t xml:space="preserve"> </w:t>
      </w:r>
      <w:r w:rsidR="00CE5AF9">
        <w:t>explanatory</w:t>
      </w:r>
      <w:r w:rsidR="009A0847">
        <w:t xml:space="preserve"> </w:t>
      </w:r>
      <w:r w:rsidR="00CE5AF9">
        <w:t>power</w:t>
      </w:r>
      <w:r w:rsidR="009A0847">
        <w:t xml:space="preserve"> </w:t>
      </w:r>
      <w:r w:rsidR="00CE5AF9">
        <w:t>is</w:t>
      </w:r>
      <w:r w:rsidR="009A0847">
        <w:t xml:space="preserve"> </w:t>
      </w:r>
      <w:r w:rsidR="00CE5AF9">
        <w:t>the</w:t>
      </w:r>
      <w:r w:rsidR="009A0847">
        <w:t xml:space="preserve"> </w:t>
      </w:r>
      <w:r w:rsidR="0017640D">
        <w:t>measure</w:t>
      </w:r>
      <w:r w:rsidR="009A0847">
        <w:t xml:space="preserve"> </w:t>
      </w:r>
      <w:r w:rsidR="0017640D">
        <w:t>of</w:t>
      </w:r>
      <w:r w:rsidR="009A0847">
        <w:t xml:space="preserve"> </w:t>
      </w:r>
      <w:r w:rsidR="0017640D">
        <w:t>risk</w:t>
      </w:r>
      <w:r w:rsidR="009A0847">
        <w:t xml:space="preserve"> </w:t>
      </w:r>
      <w:r w:rsidR="0017640D">
        <w:t>attitude</w:t>
      </w:r>
      <w:r w:rsidR="009A0847">
        <w:t xml:space="preserve"> </w:t>
      </w:r>
      <w:r w:rsidR="0017640D">
        <w:t>(row</w:t>
      </w:r>
      <w:r w:rsidR="009A0847">
        <w:t xml:space="preserve"> </w:t>
      </w:r>
      <w:r w:rsidR="0017640D">
        <w:t>23</w:t>
      </w:r>
      <w:r w:rsidR="00CE5AF9">
        <w:t>):</w:t>
      </w:r>
      <w:r w:rsidR="009A0847">
        <w:t xml:space="preserve"> </w:t>
      </w:r>
      <w:r w:rsidR="00CE5AF9">
        <w:t>a</w:t>
      </w:r>
      <w:r w:rsidR="009A0847">
        <w:t xml:space="preserve"> </w:t>
      </w:r>
      <w:r w:rsidR="00CE5AF9">
        <w:t>subject</w:t>
      </w:r>
      <w:r w:rsidR="009A0847">
        <w:t xml:space="preserve"> </w:t>
      </w:r>
      <w:r w:rsidR="00CE5AF9">
        <w:t>with</w:t>
      </w:r>
      <w:r w:rsidR="009A0847">
        <w:t xml:space="preserve"> </w:t>
      </w:r>
      <w:r w:rsidR="00CE5AF9">
        <w:t>a</w:t>
      </w:r>
      <w:r w:rsidR="009A0847">
        <w:t xml:space="preserve"> </w:t>
      </w:r>
      <w:r w:rsidR="00811E97">
        <w:t>high</w:t>
      </w:r>
      <w:r w:rsidR="00CE5AF9">
        <w:t>er</w:t>
      </w:r>
      <w:r w:rsidR="009A0847">
        <w:t xml:space="preserve"> </w:t>
      </w:r>
      <w:r w:rsidR="00CE5AF9">
        <w:t>BRET</w:t>
      </w:r>
      <w:r w:rsidR="009A0847">
        <w:t xml:space="preserve"> </w:t>
      </w:r>
      <w:r w:rsidR="00CE5AF9">
        <w:t>score</w:t>
      </w:r>
      <w:r w:rsidR="009A0847">
        <w:t xml:space="preserve"> </w:t>
      </w:r>
      <w:r w:rsidR="00CE5AF9">
        <w:t>(reflecting</w:t>
      </w:r>
      <w:r w:rsidR="009A0847">
        <w:t xml:space="preserve"> </w:t>
      </w:r>
      <w:r w:rsidR="00811E97">
        <w:t>less</w:t>
      </w:r>
      <w:r w:rsidR="009A0847">
        <w:t xml:space="preserve"> </w:t>
      </w:r>
      <w:r w:rsidR="00CE5AF9">
        <w:t>risk</w:t>
      </w:r>
      <w:r w:rsidR="009A0847">
        <w:t xml:space="preserve"> </w:t>
      </w:r>
      <w:r w:rsidR="00CE5AF9">
        <w:t>aversion)</w:t>
      </w:r>
      <w:r w:rsidR="009A0847">
        <w:t xml:space="preserve"> </w:t>
      </w:r>
      <w:r w:rsidR="00CE5AF9">
        <w:t>of</w:t>
      </w:r>
      <w:r w:rsidR="009A0847">
        <w:t xml:space="preserve"> </w:t>
      </w:r>
      <w:r w:rsidR="00CE5AF9">
        <w:t>one</w:t>
      </w:r>
      <w:r w:rsidR="009A0847">
        <w:t xml:space="preserve"> </w:t>
      </w:r>
      <w:r w:rsidR="00CE5AF9">
        <w:t>standard</w:t>
      </w:r>
      <w:r w:rsidR="009A0847">
        <w:t xml:space="preserve"> </w:t>
      </w:r>
      <w:r w:rsidR="00CE5AF9">
        <w:t>deviation</w:t>
      </w:r>
      <w:r w:rsidR="009A0847">
        <w:t xml:space="preserve"> </w:t>
      </w:r>
      <w:r w:rsidR="00811E97">
        <w:t>(i.e.</w:t>
      </w:r>
      <w:r w:rsidR="009A0847">
        <w:t xml:space="preserve"> </w:t>
      </w:r>
      <w:r w:rsidR="0017640D" w:rsidRPr="0017640D">
        <w:t>13.5</w:t>
      </w:r>
      <w:r w:rsidR="009A0847">
        <w:t xml:space="preserve"> </w:t>
      </w:r>
      <w:r w:rsidR="00811E97" w:rsidRPr="0017640D">
        <w:t>points</w:t>
      </w:r>
      <w:r w:rsidR="00811E97">
        <w:t>)</w:t>
      </w:r>
      <w:r w:rsidR="009A0847">
        <w:t xml:space="preserve"> </w:t>
      </w:r>
      <w:r w:rsidR="0017640D">
        <w:t>is</w:t>
      </w:r>
      <w:r w:rsidR="009A0847">
        <w:t xml:space="preserve"> </w:t>
      </w:r>
      <w:r w:rsidR="0017640D">
        <w:t>roughly</w:t>
      </w:r>
      <w:r w:rsidR="009A0847">
        <w:t xml:space="preserve"> </w:t>
      </w:r>
      <w:r w:rsidR="0025036C">
        <w:t>8</w:t>
      </w:r>
      <w:r w:rsidR="00CE5AF9">
        <w:t>%</w:t>
      </w:r>
      <w:r w:rsidR="009A0847">
        <w:t xml:space="preserve"> </w:t>
      </w:r>
      <w:r w:rsidR="00811E97">
        <w:t>more</w:t>
      </w:r>
      <w:r w:rsidR="009A0847">
        <w:t xml:space="preserve"> </w:t>
      </w:r>
      <w:r w:rsidR="00CE5AF9">
        <w:t>likely</w:t>
      </w:r>
      <w:r w:rsidR="009A0847">
        <w:t xml:space="preserve"> </w:t>
      </w:r>
      <w:r w:rsidR="00CE5AF9">
        <w:lastRenderedPageBreak/>
        <w:t>to</w:t>
      </w:r>
      <w:r w:rsidR="009A0847">
        <w:t xml:space="preserve"> </w:t>
      </w:r>
      <w:r w:rsidR="00CE5AF9">
        <w:t>borrow</w:t>
      </w:r>
      <w:r w:rsidR="009A0847">
        <w:t xml:space="preserve"> </w:t>
      </w:r>
      <w:r w:rsidR="00CE5AF9">
        <w:t>at</w:t>
      </w:r>
      <w:r w:rsidR="009A0847">
        <w:t xml:space="preserve"> </w:t>
      </w:r>
      <w:r w:rsidR="00CE5AF9">
        <w:t>the</w:t>
      </w:r>
      <w:r w:rsidR="009A0847">
        <w:t xml:space="preserve"> </w:t>
      </w:r>
      <w:r w:rsidR="00CE5AF9">
        <w:t>DW.</w:t>
      </w:r>
      <w:r w:rsidR="009A0847">
        <w:t xml:space="preserve"> </w:t>
      </w:r>
      <w:r w:rsidR="004863D2">
        <w:t>The magnitude of the</w:t>
      </w:r>
      <w:r w:rsidR="0025036C">
        <w:t xml:space="preserve"> effect is modest but the direction</w:t>
      </w:r>
      <w:r w:rsidR="009A0847">
        <w:t xml:space="preserve"> </w:t>
      </w:r>
      <w:r w:rsidR="00CE5AF9">
        <w:t>is</w:t>
      </w:r>
      <w:r w:rsidR="009A0847">
        <w:t xml:space="preserve"> </w:t>
      </w:r>
      <w:r w:rsidR="00CE5AF9">
        <w:t>consistent</w:t>
      </w:r>
      <w:r w:rsidR="009A0847">
        <w:t xml:space="preserve"> </w:t>
      </w:r>
      <w:r w:rsidR="00CE5AF9">
        <w:t>with</w:t>
      </w:r>
      <w:r w:rsidR="009A0847">
        <w:t xml:space="preserve"> </w:t>
      </w:r>
      <w:r w:rsidR="00CE5AF9">
        <w:t>intuiti</w:t>
      </w:r>
      <w:r w:rsidR="0045635F">
        <w:t>on</w:t>
      </w:r>
      <w:r w:rsidR="009A0847">
        <w:t xml:space="preserve"> </w:t>
      </w:r>
      <w:r w:rsidR="0045635F">
        <w:t>as</w:t>
      </w:r>
      <w:r w:rsidR="009A0847">
        <w:t xml:space="preserve"> </w:t>
      </w:r>
      <w:r w:rsidR="0045635F">
        <w:t>borrowing</w:t>
      </w:r>
      <w:r w:rsidR="009A0847">
        <w:t xml:space="preserve"> </w:t>
      </w:r>
      <w:r w:rsidR="0045635F">
        <w:t>from</w:t>
      </w:r>
      <w:r w:rsidR="009A0847">
        <w:t xml:space="preserve"> </w:t>
      </w:r>
      <w:r w:rsidR="0045635F">
        <w:t>the</w:t>
      </w:r>
      <w:r w:rsidR="009A0847">
        <w:t xml:space="preserve"> </w:t>
      </w:r>
      <w:r w:rsidR="0045635F">
        <w:t>DW</w:t>
      </w:r>
      <w:r w:rsidR="009A0847">
        <w:t xml:space="preserve"> </w:t>
      </w:r>
      <w:r w:rsidR="0045635F">
        <w:t>is</w:t>
      </w:r>
      <w:r w:rsidR="009A0847">
        <w:t xml:space="preserve"> </w:t>
      </w:r>
      <w:r w:rsidR="00CE5AF9">
        <w:t>riskier</w:t>
      </w:r>
      <w:r w:rsidR="009A0847">
        <w:t xml:space="preserve"> </w:t>
      </w:r>
      <w:r w:rsidR="00CE5AF9">
        <w:t>because</w:t>
      </w:r>
      <w:r w:rsidR="009A0847">
        <w:t xml:space="preserve"> </w:t>
      </w:r>
      <w:r w:rsidR="00CE5AF9">
        <w:t>it</w:t>
      </w:r>
      <w:r w:rsidR="009A0847">
        <w:t xml:space="preserve"> </w:t>
      </w:r>
      <w:r w:rsidR="00CE5AF9">
        <w:t>i</w:t>
      </w:r>
      <w:r w:rsidR="00AD17A9">
        <w:t>nvolves</w:t>
      </w:r>
      <w:r w:rsidR="009A0847">
        <w:t xml:space="preserve"> </w:t>
      </w:r>
      <w:r w:rsidR="00CE5AF9" w:rsidRPr="00E77CA0">
        <w:t>a</w:t>
      </w:r>
      <w:r w:rsidR="009A0847">
        <w:t xml:space="preserve"> </w:t>
      </w:r>
      <w:r w:rsidR="00CE5AF9" w:rsidRPr="00E77CA0">
        <w:t>risk</w:t>
      </w:r>
      <w:r w:rsidR="009A0847">
        <w:t xml:space="preserve"> </w:t>
      </w:r>
      <w:r w:rsidR="00CE5AF9" w:rsidRPr="00E77CA0">
        <w:t>of</w:t>
      </w:r>
      <w:r w:rsidR="009A0847">
        <w:t xml:space="preserve"> </w:t>
      </w:r>
      <w:r w:rsidR="00CE5AF9" w:rsidRPr="00E77CA0">
        <w:t>detection.</w:t>
      </w:r>
      <w:r w:rsidR="009A0847">
        <w:t xml:space="preserve"> </w:t>
      </w:r>
    </w:p>
    <w:p w14:paraId="334A3A9D" w14:textId="4B264585" w:rsidR="00CE5AF9" w:rsidRPr="00682AF5" w:rsidRDefault="001A1F3A" w:rsidP="00F86E09">
      <w:pPr>
        <w:pStyle w:val="Olivier1"/>
        <w:widowControl w:val="0"/>
      </w:pPr>
      <w:r w:rsidRPr="005D609E">
        <w:rPr>
          <w:rStyle w:val="Heading3Char"/>
        </w:rPr>
        <w:t>S</w:t>
      </w:r>
      <w:r>
        <w:rPr>
          <w:rStyle w:val="Heading3Char"/>
        </w:rPr>
        <w:t>umming</w:t>
      </w:r>
      <w:r w:rsidR="009A0847">
        <w:rPr>
          <w:rStyle w:val="Heading3Char"/>
        </w:rPr>
        <w:t xml:space="preserve"> </w:t>
      </w:r>
      <w:r>
        <w:rPr>
          <w:rStyle w:val="Heading3Char"/>
        </w:rPr>
        <w:t>up</w:t>
      </w:r>
      <w:r w:rsidRPr="005D609E">
        <w:rPr>
          <w:rStyle w:val="Heading3Char"/>
        </w:rPr>
        <w:t>:</w:t>
      </w:r>
      <w:r w:rsidR="009A0847">
        <w:t xml:space="preserve"> </w:t>
      </w:r>
      <w:r w:rsidR="00AD17A9">
        <w:t>T</w:t>
      </w:r>
      <w:r w:rsidR="00CE5AF9">
        <w:t>he</w:t>
      </w:r>
      <w:r w:rsidR="009A0847">
        <w:t xml:space="preserve"> </w:t>
      </w:r>
      <w:r w:rsidR="00CE5AF9">
        <w:t>econometric</w:t>
      </w:r>
      <w:r w:rsidR="009A0847">
        <w:t xml:space="preserve"> </w:t>
      </w:r>
      <w:r w:rsidR="00CE5AF9">
        <w:t>estimation</w:t>
      </w:r>
      <w:r w:rsidR="004863D2">
        <w:t>s</w:t>
      </w:r>
      <w:r w:rsidR="009A0847">
        <w:t xml:space="preserve"> </w:t>
      </w:r>
      <w:r w:rsidR="00CE5AF9">
        <w:t>in</w:t>
      </w:r>
      <w:r w:rsidR="009A0847">
        <w:t xml:space="preserve"> </w:t>
      </w:r>
      <w:r w:rsidR="00CE5AF9">
        <w:t>Table</w:t>
      </w:r>
      <w:r w:rsidR="009A0847">
        <w:t xml:space="preserve"> </w:t>
      </w:r>
      <w:r w:rsidR="0017640D">
        <w:t>3</w:t>
      </w:r>
      <w:r w:rsidR="009A0847">
        <w:t xml:space="preserve"> </w:t>
      </w:r>
      <w:r w:rsidR="004863D2">
        <w:t>provide</w:t>
      </w:r>
      <w:r w:rsidR="009A0847">
        <w:t xml:space="preserve"> </w:t>
      </w:r>
      <w:r w:rsidR="0045635F">
        <w:t>evidence</w:t>
      </w:r>
      <w:r w:rsidR="009A0847">
        <w:t xml:space="preserve"> </w:t>
      </w:r>
      <w:r w:rsidR="0045635F">
        <w:t>of</w:t>
      </w:r>
      <w:r w:rsidR="009A0847">
        <w:t xml:space="preserve"> </w:t>
      </w:r>
      <w:r w:rsidR="0045635F">
        <w:t>banks’</w:t>
      </w:r>
      <w:r w:rsidR="009A0847">
        <w:t xml:space="preserve"> </w:t>
      </w:r>
      <w:r w:rsidR="0045635F">
        <w:t>coordination.</w:t>
      </w:r>
      <w:r w:rsidR="009A0847">
        <w:t xml:space="preserve"> </w:t>
      </w:r>
      <w:r w:rsidR="004863D2">
        <w:t>They</w:t>
      </w:r>
      <w:r w:rsidR="009A0847">
        <w:t xml:space="preserve"> </w:t>
      </w:r>
      <w:r w:rsidR="0045635F">
        <w:t>also</w:t>
      </w:r>
      <w:r w:rsidR="009A0847">
        <w:t xml:space="preserve"> </w:t>
      </w:r>
      <w:r w:rsidR="0045635F">
        <w:t>s</w:t>
      </w:r>
      <w:r w:rsidR="00CE5AF9">
        <w:t>uggest</w:t>
      </w:r>
      <w:r w:rsidR="009A0847">
        <w:t xml:space="preserve"> </w:t>
      </w:r>
      <w:r w:rsidR="00CE5AF9">
        <w:t>that</w:t>
      </w:r>
      <w:r w:rsidR="009A0847">
        <w:t xml:space="preserve"> </w:t>
      </w:r>
      <w:r w:rsidR="00CE5AF9" w:rsidRPr="00E77CA0">
        <w:t>the</w:t>
      </w:r>
      <w:r w:rsidR="009A0847">
        <w:t xml:space="preserve"> </w:t>
      </w:r>
      <w:r w:rsidR="00CE5AF9" w:rsidRPr="00E77CA0">
        <w:t>failure</w:t>
      </w:r>
      <w:r w:rsidR="009A0847">
        <w:t xml:space="preserve"> </w:t>
      </w:r>
      <w:r w:rsidR="00CE5AF9" w:rsidRPr="00E77CA0">
        <w:t>to</w:t>
      </w:r>
      <w:r w:rsidR="009A0847">
        <w:t xml:space="preserve"> </w:t>
      </w:r>
      <w:r w:rsidR="00CE5AF9" w:rsidRPr="00E77CA0">
        <w:t>coordinate</w:t>
      </w:r>
      <w:r w:rsidR="009A0847">
        <w:t xml:space="preserve"> </w:t>
      </w:r>
      <w:r w:rsidR="00CE5AF9" w:rsidRPr="00E77CA0">
        <w:t>on</w:t>
      </w:r>
      <w:r w:rsidR="009A0847">
        <w:t xml:space="preserve"> </w:t>
      </w:r>
      <w:r w:rsidR="00CE5AF9" w:rsidRPr="00E77CA0">
        <w:t>the</w:t>
      </w:r>
      <w:r w:rsidR="009A0847">
        <w:t xml:space="preserve"> </w:t>
      </w:r>
      <w:r w:rsidR="00AD17A9">
        <w:t>stigma-free</w:t>
      </w:r>
      <w:r w:rsidR="009A0847">
        <w:t xml:space="preserve"> </w:t>
      </w:r>
      <w:r w:rsidR="00CE5AF9" w:rsidRPr="00E77CA0">
        <w:t>equilibrium</w:t>
      </w:r>
      <w:r w:rsidR="009A0847">
        <w:t xml:space="preserve"> </w:t>
      </w:r>
      <w:r w:rsidR="00CE5AF9">
        <w:t>in</w:t>
      </w:r>
      <w:r w:rsidR="009A0847">
        <w:t xml:space="preserve"> </w:t>
      </w:r>
      <w:r w:rsidR="00CE5AF9">
        <w:t>the</w:t>
      </w:r>
      <w:r w:rsidR="009A0847">
        <w:t xml:space="preserve"> </w:t>
      </w:r>
      <w:r w:rsidR="00682AF5">
        <w:t>control</w:t>
      </w:r>
      <w:r w:rsidR="009A0847">
        <w:t xml:space="preserve"> </w:t>
      </w:r>
      <w:r w:rsidR="00CE5AF9">
        <w:t>and</w:t>
      </w:r>
      <w:r w:rsidR="009A0847">
        <w:t xml:space="preserve"> </w:t>
      </w:r>
      <w:r w:rsidR="00682AF5">
        <w:t>l</w:t>
      </w:r>
      <w:r w:rsidR="00CE5AF9">
        <w:t>ow</w:t>
      </w:r>
      <w:r w:rsidR="009A0847">
        <w:t xml:space="preserve"> </w:t>
      </w:r>
      <w:r w:rsidR="00CE5AF9">
        <w:t>DW</w:t>
      </w:r>
      <w:r w:rsidR="009A0847">
        <w:t xml:space="preserve"> </w:t>
      </w:r>
      <w:r w:rsidR="00682AF5">
        <w:t>cost</w:t>
      </w:r>
      <w:r w:rsidR="009A0847">
        <w:t xml:space="preserve"> </w:t>
      </w:r>
      <w:r w:rsidR="00CE5AF9">
        <w:t>treatments</w:t>
      </w:r>
      <w:r w:rsidR="009A0847">
        <w:t xml:space="preserve"> </w:t>
      </w:r>
      <w:r w:rsidR="00CE5AF9">
        <w:t>can</w:t>
      </w:r>
      <w:r w:rsidR="009A0847">
        <w:t xml:space="preserve"> </w:t>
      </w:r>
      <w:r w:rsidR="00CE5AF9">
        <w:t>be</w:t>
      </w:r>
      <w:r w:rsidR="009A0847">
        <w:t xml:space="preserve"> </w:t>
      </w:r>
      <w:r w:rsidR="00CE5AF9">
        <w:t>explained</w:t>
      </w:r>
      <w:r w:rsidR="009A0847">
        <w:t xml:space="preserve"> </w:t>
      </w:r>
      <w:r w:rsidR="00CE5AF9">
        <w:t>in</w:t>
      </w:r>
      <w:r w:rsidR="009A0847">
        <w:t xml:space="preserve"> </w:t>
      </w:r>
      <w:r w:rsidR="00CE5AF9">
        <w:t>large</w:t>
      </w:r>
      <w:r w:rsidR="009A0847">
        <w:t xml:space="preserve"> </w:t>
      </w:r>
      <w:r w:rsidR="00CE5AF9">
        <w:t>part</w:t>
      </w:r>
      <w:r w:rsidR="009A0847">
        <w:t xml:space="preserve"> </w:t>
      </w:r>
      <w:r w:rsidR="00CE5AF9">
        <w:t>by</w:t>
      </w:r>
      <w:r w:rsidR="009A0847">
        <w:t xml:space="preserve"> </w:t>
      </w:r>
      <w:r w:rsidR="00CE5AF9">
        <w:t>DW</w:t>
      </w:r>
      <w:r w:rsidR="009A0847">
        <w:t xml:space="preserve"> </w:t>
      </w:r>
      <w:r w:rsidR="0037096C">
        <w:t>detection</w:t>
      </w:r>
      <w:r w:rsidR="009A0847">
        <w:t xml:space="preserve"> </w:t>
      </w:r>
      <w:r w:rsidR="0037096C">
        <w:t>which</w:t>
      </w:r>
      <w:r w:rsidR="009A0847">
        <w:t xml:space="preserve"> </w:t>
      </w:r>
      <w:r w:rsidR="00CE5AF9" w:rsidRPr="00AD7ED7">
        <w:t>drive</w:t>
      </w:r>
      <w:r w:rsidR="00CE5AF9">
        <w:t>s</w:t>
      </w:r>
      <w:r w:rsidR="009A0847">
        <w:t xml:space="preserve"> </w:t>
      </w:r>
      <w:r w:rsidR="00CE5AF9" w:rsidRPr="00AD7ED7">
        <w:t>behavior</w:t>
      </w:r>
      <w:r w:rsidR="009A0847">
        <w:t xml:space="preserve"> </w:t>
      </w:r>
      <w:r w:rsidR="00CE5AF9" w:rsidRPr="00AD7ED7">
        <w:t>away</w:t>
      </w:r>
      <w:r w:rsidR="009A0847">
        <w:t xml:space="preserve"> </w:t>
      </w:r>
      <w:r w:rsidR="00CE5AF9" w:rsidRPr="00AD7ED7">
        <w:t>from</w:t>
      </w:r>
      <w:r w:rsidR="009A0847">
        <w:t xml:space="preserve"> </w:t>
      </w:r>
      <w:r w:rsidR="00682AF5">
        <w:t>DW</w:t>
      </w:r>
      <w:r w:rsidR="009A0847">
        <w:t xml:space="preserve"> </w:t>
      </w:r>
      <w:r w:rsidR="00CE5AF9" w:rsidRPr="00AD7ED7">
        <w:t>borrowing</w:t>
      </w:r>
      <w:r w:rsidR="009A0847">
        <w:t xml:space="preserve"> </w:t>
      </w:r>
      <w:r w:rsidR="0017640D">
        <w:t>(row</w:t>
      </w:r>
      <w:r w:rsidR="009A0847">
        <w:t xml:space="preserve"> </w:t>
      </w:r>
      <w:r w:rsidR="0017640D">
        <w:t>6</w:t>
      </w:r>
      <w:r w:rsidR="00CE5AF9">
        <w:t>).</w:t>
      </w:r>
      <w:r w:rsidR="009A0847">
        <w:t xml:space="preserve"> </w:t>
      </w:r>
      <w:r w:rsidR="00CE5AF9">
        <w:t>In</w:t>
      </w:r>
      <w:r w:rsidR="009A0847">
        <w:t xml:space="preserve"> </w:t>
      </w:r>
      <w:r w:rsidR="00CE5AF9">
        <w:t>contrast,</w:t>
      </w:r>
      <w:r w:rsidR="009A0847">
        <w:t xml:space="preserve"> </w:t>
      </w:r>
      <w:r w:rsidR="0017640D">
        <w:t>the</w:t>
      </w:r>
      <w:r w:rsidR="009A0847">
        <w:t xml:space="preserve"> </w:t>
      </w:r>
      <w:r w:rsidR="0017640D">
        <w:t>econometric</w:t>
      </w:r>
      <w:r w:rsidR="009A0847">
        <w:t xml:space="preserve"> </w:t>
      </w:r>
      <w:r w:rsidR="0017640D">
        <w:t>analysis</w:t>
      </w:r>
      <w:r w:rsidR="009A0847">
        <w:t xml:space="preserve"> </w:t>
      </w:r>
      <w:r w:rsidR="0017640D">
        <w:t>confirms</w:t>
      </w:r>
      <w:r w:rsidR="009A0847">
        <w:t xml:space="preserve"> </w:t>
      </w:r>
      <w:r w:rsidR="0017640D">
        <w:t>that</w:t>
      </w:r>
      <w:r w:rsidR="009A0847">
        <w:t xml:space="preserve"> </w:t>
      </w:r>
      <w:r w:rsidR="00682AF5">
        <w:t>having</w:t>
      </w:r>
      <w:r w:rsidR="009A0847">
        <w:t xml:space="preserve"> </w:t>
      </w:r>
      <w:r w:rsidR="00CE5AF9">
        <w:t>to</w:t>
      </w:r>
      <w:r w:rsidR="009A0847">
        <w:t xml:space="preserve"> </w:t>
      </w:r>
      <w:r w:rsidR="00CE5AF9">
        <w:t>experience</w:t>
      </w:r>
      <w:r w:rsidR="009A0847">
        <w:t xml:space="preserve"> </w:t>
      </w:r>
      <w:r w:rsidR="00CE5AF9">
        <w:t>DW</w:t>
      </w:r>
      <w:r w:rsidR="009A0847">
        <w:t xml:space="preserve"> </w:t>
      </w:r>
      <w:r w:rsidR="00CE5AF9">
        <w:t>borrowing</w:t>
      </w:r>
      <w:r w:rsidR="009A0847">
        <w:t xml:space="preserve"> </w:t>
      </w:r>
      <w:r w:rsidR="00C056EF">
        <w:t>without</w:t>
      </w:r>
      <w:r w:rsidR="009A0847">
        <w:t xml:space="preserve"> </w:t>
      </w:r>
      <w:r w:rsidR="00CE5AF9">
        <w:t>negative</w:t>
      </w:r>
      <w:r w:rsidR="009A0847">
        <w:t xml:space="preserve"> </w:t>
      </w:r>
      <w:r w:rsidR="00CE5AF9">
        <w:t>consequences</w:t>
      </w:r>
      <w:r w:rsidR="009A0847">
        <w:t xml:space="preserve"> </w:t>
      </w:r>
      <w:r w:rsidR="00CE5AF9">
        <w:t>(i.e.</w:t>
      </w:r>
      <w:r w:rsidR="009A0847">
        <w:t xml:space="preserve"> </w:t>
      </w:r>
      <w:r w:rsidR="00CE5AF9">
        <w:t>being</w:t>
      </w:r>
      <w:r w:rsidR="009A0847">
        <w:t xml:space="preserve"> </w:t>
      </w:r>
      <w:r w:rsidR="00AD17A9">
        <w:t>selected</w:t>
      </w:r>
      <w:r w:rsidR="009A0847">
        <w:t xml:space="preserve"> </w:t>
      </w:r>
      <w:r w:rsidR="00CE5AF9" w:rsidRPr="007475C6">
        <w:t>and</w:t>
      </w:r>
      <w:r w:rsidR="009A0847">
        <w:t xml:space="preserve"> </w:t>
      </w:r>
      <w:r w:rsidR="00CE5AF9">
        <w:t>not</w:t>
      </w:r>
      <w:r w:rsidR="009A0847">
        <w:t xml:space="preserve"> </w:t>
      </w:r>
      <w:r w:rsidR="00CE5AF9">
        <w:t>being</w:t>
      </w:r>
      <w:r w:rsidR="009A0847">
        <w:t xml:space="preserve"> </w:t>
      </w:r>
      <w:r w:rsidR="00CE5AF9">
        <w:t>detected)</w:t>
      </w:r>
      <w:r w:rsidR="009A0847">
        <w:t xml:space="preserve"> </w:t>
      </w:r>
      <w:r w:rsidR="00682AF5">
        <w:t>help</w:t>
      </w:r>
      <w:r w:rsidR="009A0847">
        <w:t xml:space="preserve"> </w:t>
      </w:r>
      <w:r w:rsidR="00CE5AF9">
        <w:t>banks</w:t>
      </w:r>
      <w:r w:rsidR="009A0847">
        <w:t xml:space="preserve"> </w:t>
      </w:r>
      <w:r w:rsidR="00CE5AF9">
        <w:t>learn</w:t>
      </w:r>
      <w:r w:rsidR="009A0847">
        <w:t xml:space="preserve"> </w:t>
      </w:r>
      <w:r w:rsidR="00CE5AF9">
        <w:t>to</w:t>
      </w:r>
      <w:r w:rsidR="009A0847">
        <w:t xml:space="preserve"> </w:t>
      </w:r>
      <w:r w:rsidR="00CE5AF9">
        <w:t>coordinate</w:t>
      </w:r>
      <w:r w:rsidR="009A0847">
        <w:t xml:space="preserve"> </w:t>
      </w:r>
      <w:r w:rsidR="00682AF5">
        <w:t>o</w:t>
      </w:r>
      <w:r w:rsidR="00CE5AF9">
        <w:t>n</w:t>
      </w:r>
      <w:r w:rsidR="009A0847">
        <w:t xml:space="preserve"> </w:t>
      </w:r>
      <w:r w:rsidR="00CE5AF9">
        <w:t>the</w:t>
      </w:r>
      <w:r w:rsidR="009A0847">
        <w:t xml:space="preserve"> </w:t>
      </w:r>
      <w:r w:rsidR="00CE5AF9">
        <w:t>good</w:t>
      </w:r>
      <w:r w:rsidR="009A0847">
        <w:t xml:space="preserve"> </w:t>
      </w:r>
      <w:r w:rsidR="00CE5AF9">
        <w:t>equilibrium</w:t>
      </w:r>
      <w:r w:rsidR="009A0847">
        <w:t xml:space="preserve"> </w:t>
      </w:r>
      <w:r w:rsidR="00CE5AF9">
        <w:t>in</w:t>
      </w:r>
      <w:r w:rsidR="009A0847">
        <w:t xml:space="preserve"> </w:t>
      </w:r>
      <w:r w:rsidR="00682AF5">
        <w:t>the</w:t>
      </w:r>
      <w:r w:rsidR="009A0847">
        <w:t xml:space="preserve"> </w:t>
      </w:r>
      <w:r w:rsidR="00C345EE">
        <w:t>random</w:t>
      </w:r>
      <w:r w:rsidR="009A0847">
        <w:t xml:space="preserve"> </w:t>
      </w:r>
      <w:r w:rsidR="00682AF5">
        <w:t>borrowing</w:t>
      </w:r>
      <w:r w:rsidR="009A0847">
        <w:t xml:space="preserve"> </w:t>
      </w:r>
      <w:r w:rsidR="00682AF5">
        <w:t>treatment</w:t>
      </w:r>
      <w:r w:rsidR="00CE5AF9">
        <w:t>.</w:t>
      </w:r>
      <w:r w:rsidR="009A0847">
        <w:t xml:space="preserve"> </w:t>
      </w:r>
      <w:r w:rsidR="0037096C">
        <w:t>Finally,</w:t>
      </w:r>
      <w:r w:rsidR="009A0847">
        <w:t xml:space="preserve"> </w:t>
      </w:r>
      <w:r w:rsidR="00C056EF">
        <w:t>somewhat</w:t>
      </w:r>
      <w:r w:rsidR="009A0847">
        <w:t xml:space="preserve"> </w:t>
      </w:r>
      <w:r w:rsidR="00C056EF">
        <w:t>surprisingly,</w:t>
      </w:r>
      <w:r w:rsidR="009A0847">
        <w:t xml:space="preserve"> </w:t>
      </w:r>
      <w:r w:rsidR="00811E97">
        <w:t>both</w:t>
      </w:r>
      <w:r w:rsidR="009A0847">
        <w:t xml:space="preserve"> </w:t>
      </w:r>
      <w:r w:rsidR="00AD17A9">
        <w:t>being</w:t>
      </w:r>
      <w:r w:rsidR="009A0847">
        <w:t xml:space="preserve"> </w:t>
      </w:r>
      <w:r w:rsidR="00AD17A9">
        <w:t>funded</w:t>
      </w:r>
      <w:r w:rsidR="009A0847">
        <w:t xml:space="preserve"> </w:t>
      </w:r>
      <w:r w:rsidR="0037096C">
        <w:t>and</w:t>
      </w:r>
      <w:r w:rsidR="009A0847">
        <w:t xml:space="preserve"> </w:t>
      </w:r>
      <w:r w:rsidR="0037096C">
        <w:t>the</w:t>
      </w:r>
      <w:r w:rsidR="009A0847">
        <w:t xml:space="preserve"> </w:t>
      </w:r>
      <w:r w:rsidR="0037096C">
        <w:t>probabilit</w:t>
      </w:r>
      <w:r w:rsidR="00811E97">
        <w:t>y</w:t>
      </w:r>
      <w:r w:rsidR="009A0847">
        <w:t xml:space="preserve"> </w:t>
      </w:r>
      <w:r w:rsidR="00811E97">
        <w:t>of</w:t>
      </w:r>
      <w:r w:rsidR="009A0847">
        <w:t xml:space="preserve"> </w:t>
      </w:r>
      <w:r w:rsidR="00811E97">
        <w:t>DW</w:t>
      </w:r>
      <w:r w:rsidR="009A0847">
        <w:t xml:space="preserve"> </w:t>
      </w:r>
      <w:r w:rsidR="00811E97">
        <w:t>detection</w:t>
      </w:r>
      <w:r w:rsidR="009A0847">
        <w:t xml:space="preserve"> </w:t>
      </w:r>
      <w:r w:rsidR="00811E97">
        <w:t>do</w:t>
      </w:r>
      <w:r w:rsidR="009A0847">
        <w:t xml:space="preserve"> </w:t>
      </w:r>
      <w:r w:rsidR="00811E97">
        <w:t>not</w:t>
      </w:r>
      <w:r w:rsidR="009A0847">
        <w:t xml:space="preserve"> </w:t>
      </w:r>
      <w:r w:rsidR="00811E97">
        <w:t>have</w:t>
      </w:r>
      <w:r w:rsidR="009A0847">
        <w:t xml:space="preserve"> </w:t>
      </w:r>
      <w:r w:rsidR="0037096C">
        <w:t>significant</w:t>
      </w:r>
      <w:r w:rsidR="009A0847">
        <w:t xml:space="preserve"> </w:t>
      </w:r>
      <w:r w:rsidR="0037096C">
        <w:t>impact</w:t>
      </w:r>
      <w:r w:rsidR="00811E97">
        <w:t>s</w:t>
      </w:r>
      <w:r w:rsidR="009A0847">
        <w:t xml:space="preserve"> </w:t>
      </w:r>
      <w:r w:rsidR="0037096C">
        <w:t>on</w:t>
      </w:r>
      <w:r w:rsidR="009A0847">
        <w:t xml:space="preserve"> </w:t>
      </w:r>
      <w:r w:rsidR="0037096C">
        <w:t>banks</w:t>
      </w:r>
      <w:r w:rsidR="00C056EF">
        <w:t>’</w:t>
      </w:r>
      <w:r w:rsidR="009A0847">
        <w:t xml:space="preserve"> </w:t>
      </w:r>
      <w:r w:rsidR="00C056EF">
        <w:t>behavior</w:t>
      </w:r>
      <w:r w:rsidR="0037096C">
        <w:t>.</w:t>
      </w:r>
      <w:r w:rsidR="009A0847">
        <w:t xml:space="preserve"> </w:t>
      </w:r>
    </w:p>
    <w:p w14:paraId="20E4D88B" w14:textId="569C4FAB" w:rsidR="00671277" w:rsidRDefault="008504BA" w:rsidP="00F86E09">
      <w:pPr>
        <w:pStyle w:val="Heading2"/>
        <w:widowControl w:val="0"/>
        <w:spacing w:line="276" w:lineRule="auto"/>
      </w:pPr>
      <w:r>
        <w:t>5.2</w:t>
      </w:r>
      <w:r w:rsidR="009A0847">
        <w:t xml:space="preserve"> </w:t>
      </w:r>
      <w:r w:rsidR="00671277">
        <w:t>Investors’</w:t>
      </w:r>
      <w:r w:rsidR="009A0847">
        <w:t xml:space="preserve"> </w:t>
      </w:r>
      <w:r w:rsidR="00671277">
        <w:t>Behavior</w:t>
      </w:r>
    </w:p>
    <w:p w14:paraId="1F4AA8C9" w14:textId="0885EAD6" w:rsidR="00682AF5" w:rsidRDefault="00CE5AF9" w:rsidP="00F86E09">
      <w:pPr>
        <w:pStyle w:val="Olivier1"/>
        <w:widowControl w:val="0"/>
      </w:pPr>
      <w:r w:rsidRPr="001A14F7">
        <w:t>To</w:t>
      </w:r>
      <w:r w:rsidR="009A0847">
        <w:t xml:space="preserve"> </w:t>
      </w:r>
      <w:r w:rsidRPr="001A14F7">
        <w:t>study</w:t>
      </w:r>
      <w:r w:rsidR="009A0847">
        <w:t xml:space="preserve"> </w:t>
      </w:r>
      <w:r w:rsidRPr="001A14F7">
        <w:t>an</w:t>
      </w:r>
      <w:r w:rsidR="009A0847">
        <w:t xml:space="preserve"> </w:t>
      </w:r>
      <w:r w:rsidRPr="001A14F7">
        <w:t>investor’s</w:t>
      </w:r>
      <w:r w:rsidR="009A0847">
        <w:t xml:space="preserve"> </w:t>
      </w:r>
      <w:r w:rsidRPr="001A14F7">
        <w:t>behavior,</w:t>
      </w:r>
      <w:r w:rsidR="009A0847">
        <w:t xml:space="preserve"> </w:t>
      </w:r>
      <w:r w:rsidRPr="001A14F7">
        <w:t>we</w:t>
      </w:r>
      <w:r w:rsidR="009A0847">
        <w:t xml:space="preserve"> </w:t>
      </w:r>
      <w:r w:rsidRPr="001A14F7">
        <w:t>estimate</w:t>
      </w:r>
      <w:r w:rsidR="009A0847">
        <w:t xml:space="preserve"> </w:t>
      </w:r>
      <w:r w:rsidRPr="001A14F7">
        <w:t>the</w:t>
      </w:r>
      <w:r w:rsidR="009A0847">
        <w:t xml:space="preserve"> </w:t>
      </w:r>
      <w:r w:rsidRPr="001A14F7">
        <w:t>joint</w:t>
      </w:r>
      <w:r w:rsidR="009A0847">
        <w:t xml:space="preserve"> </w:t>
      </w:r>
      <w:r>
        <w:t>panel</w:t>
      </w:r>
      <w:r w:rsidR="009A0847">
        <w:t xml:space="preserve"> </w:t>
      </w:r>
      <w:r w:rsidRPr="001A14F7">
        <w:t>model</w:t>
      </w:r>
      <w:r w:rsidR="009A0847">
        <w:t xml:space="preserve"> </w:t>
      </w:r>
      <w:r w:rsidRPr="001A14F7">
        <w:t>in</w:t>
      </w:r>
      <w:r w:rsidR="009A0847">
        <w:t xml:space="preserve"> </w:t>
      </w:r>
      <w:r w:rsidRPr="001A14F7">
        <w:t>equation</w:t>
      </w:r>
      <w:r w:rsidR="009A0847">
        <w:t xml:space="preserve"> </w:t>
      </w:r>
      <w:r w:rsidRPr="001A14F7">
        <w:t>(1)</w:t>
      </w:r>
      <w:r w:rsidR="009A0847">
        <w:t xml:space="preserve"> </w:t>
      </w:r>
      <w:r w:rsidRPr="001A14F7">
        <w:t>where</w:t>
      </w:r>
      <w:r w:rsidR="009A0847">
        <w:t xml:space="preserve"> </w:t>
      </w:r>
      <m:oMath>
        <m:sSubSup>
          <m:sSub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SupPr>
          <m:e>
            <m:r>
              <w:rPr>
                <w:rFonts w:ascii="Cambria Math" w:hAnsi="Cambria Math"/>
                <w:sz w:val="22"/>
                <w:szCs w:val="22"/>
              </w:rPr>
              <m:t>Y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i,t,1</m:t>
            </m:r>
          </m:sub>
          <m:sup>
            <m:r>
              <w:rPr>
                <w:rFonts w:ascii="Cambria Math" w:hAnsi="Cambria Math"/>
                <w:sz w:val="22"/>
                <w:szCs w:val="22"/>
              </w:rPr>
              <m:t>*</m:t>
            </m:r>
          </m:sup>
        </m:sSubSup>
      </m:oMath>
      <w:r w:rsidR="009A0847">
        <w:rPr>
          <w:rFonts w:ascii="Times" w:hAnsi="Times"/>
          <w:i/>
          <w:vertAlign w:val="subscript"/>
        </w:rPr>
        <w:t xml:space="preserve">  </w:t>
      </w:r>
      <w:r w:rsidR="0017640D">
        <w:rPr>
          <w:rFonts w:ascii="Times" w:hAnsi="Times"/>
        </w:rPr>
        <w:t>and</w:t>
      </w:r>
      <w:r w:rsidR="009A0847">
        <w:rPr>
          <w:rFonts w:ascii="Times" w:hAnsi="Times"/>
          <w:sz w:val="22"/>
          <w:szCs w:val="22"/>
        </w:rPr>
        <w:t xml:space="preserve"> </w:t>
      </w:r>
      <m:oMath>
        <m:sSubSup>
          <m:sSub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SupPr>
          <m:e>
            <m:r>
              <w:rPr>
                <w:rFonts w:ascii="Cambria Math" w:hAnsi="Cambria Math"/>
                <w:sz w:val="22"/>
                <w:szCs w:val="22"/>
              </w:rPr>
              <m:t>Y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i,t,2</m:t>
            </m:r>
          </m:sub>
          <m:sup>
            <m:r>
              <w:rPr>
                <w:rFonts w:ascii="Cambria Math" w:hAnsi="Cambria Math"/>
                <w:sz w:val="22"/>
                <w:szCs w:val="22"/>
              </w:rPr>
              <m:t>*</m:t>
            </m:r>
          </m:sup>
        </m:sSubSup>
      </m:oMath>
      <w:r w:rsidR="009A0847">
        <w:rPr>
          <w:rFonts w:ascii="Times" w:hAnsi="Times"/>
        </w:rPr>
        <w:t xml:space="preserve"> </w:t>
      </w:r>
      <w:r w:rsidRPr="001A14F7">
        <w:rPr>
          <w:rFonts w:ascii="Times" w:hAnsi="Times"/>
        </w:rPr>
        <w:t>are</w:t>
      </w:r>
      <w:r w:rsidR="009A0847">
        <w:rPr>
          <w:rFonts w:ascii="Times" w:hAnsi="Times"/>
        </w:rPr>
        <w:t xml:space="preserve"> </w:t>
      </w:r>
      <w:r w:rsidRPr="001A14F7">
        <w:rPr>
          <w:rFonts w:ascii="Times" w:hAnsi="Times"/>
        </w:rPr>
        <w:t>now</w:t>
      </w:r>
      <w:r w:rsidR="009A0847">
        <w:rPr>
          <w:rFonts w:ascii="Times" w:hAnsi="Times"/>
        </w:rPr>
        <w:t xml:space="preserve"> </w:t>
      </w:r>
      <w:r w:rsidRPr="001A14F7">
        <w:rPr>
          <w:rFonts w:ascii="Times" w:hAnsi="Times"/>
        </w:rPr>
        <w:t>the</w:t>
      </w:r>
      <w:r w:rsidR="009A0847">
        <w:rPr>
          <w:rFonts w:ascii="Times" w:hAnsi="Times"/>
        </w:rPr>
        <w:t xml:space="preserve"> </w:t>
      </w:r>
      <w:r w:rsidRPr="001A14F7">
        <w:rPr>
          <w:rFonts w:ascii="Times" w:hAnsi="Times"/>
        </w:rPr>
        <w:t>latent</w:t>
      </w:r>
      <w:r w:rsidR="009A0847">
        <w:rPr>
          <w:rFonts w:ascii="Times" w:hAnsi="Times"/>
        </w:rPr>
        <w:t xml:space="preserve"> </w:t>
      </w:r>
      <w:r w:rsidRPr="001A14F7">
        <w:rPr>
          <w:rFonts w:ascii="Times" w:hAnsi="Times"/>
        </w:rPr>
        <w:t>variables</w:t>
      </w:r>
      <w:r w:rsidR="009A0847">
        <w:rPr>
          <w:rFonts w:ascii="Times" w:hAnsi="Times"/>
        </w:rPr>
        <w:t xml:space="preserve"> </w:t>
      </w:r>
      <w:r w:rsidRPr="001A14F7">
        <w:rPr>
          <w:rFonts w:ascii="Times" w:hAnsi="Times"/>
        </w:rPr>
        <w:t>cor</w:t>
      </w:r>
      <w:r w:rsidR="00353ADE">
        <w:rPr>
          <w:rFonts w:ascii="Times" w:hAnsi="Times"/>
        </w:rPr>
        <w:t>responding</w:t>
      </w:r>
      <w:r w:rsidR="009A0847">
        <w:rPr>
          <w:rFonts w:ascii="Times" w:hAnsi="Times"/>
        </w:rPr>
        <w:t xml:space="preserve"> </w:t>
      </w:r>
      <w:r w:rsidR="00353ADE">
        <w:rPr>
          <w:rFonts w:ascii="Times" w:hAnsi="Times"/>
        </w:rPr>
        <w:t>to</w:t>
      </w:r>
      <w:r w:rsidR="009A0847">
        <w:rPr>
          <w:rFonts w:ascii="Times" w:hAnsi="Times"/>
        </w:rPr>
        <w:t xml:space="preserve"> </w:t>
      </w:r>
      <w:r w:rsidR="00353ADE">
        <w:rPr>
          <w:rFonts w:ascii="Times" w:hAnsi="Times"/>
        </w:rPr>
        <w:t>investor</w:t>
      </w:r>
      <w:r w:rsidR="009A0847">
        <w:rPr>
          <w:rFonts w:ascii="Times" w:hAnsi="Times"/>
        </w:rPr>
        <w:t xml:space="preserve"> </w:t>
      </w:r>
      <w:r w:rsidRPr="001A14F7">
        <w:rPr>
          <w:rFonts w:ascii="Times" w:hAnsi="Times"/>
          <w:i/>
        </w:rPr>
        <w:t>i</w:t>
      </w:r>
      <w:r w:rsidRPr="001A14F7">
        <w:rPr>
          <w:rFonts w:ascii="Times" w:hAnsi="Times"/>
        </w:rPr>
        <w:t>’s</w:t>
      </w:r>
      <w:r w:rsidR="009A0847">
        <w:rPr>
          <w:rFonts w:ascii="Times" w:hAnsi="Times"/>
        </w:rPr>
        <w:t xml:space="preserve"> </w:t>
      </w:r>
      <w:r w:rsidRPr="001A14F7">
        <w:t>decisions</w:t>
      </w:r>
      <w:r w:rsidR="009A0847">
        <w:t xml:space="preserve"> </w:t>
      </w:r>
      <w:r w:rsidRPr="001A14F7">
        <w:t>to</w:t>
      </w:r>
      <w:r w:rsidR="009A0847">
        <w:t xml:space="preserve"> </w:t>
      </w:r>
      <w:r w:rsidRPr="001A14F7">
        <w:t>fund</w:t>
      </w:r>
      <w:r w:rsidR="009A0847">
        <w:t xml:space="preserve"> </w:t>
      </w:r>
      <w:r w:rsidRPr="001A14F7">
        <w:t>a</w:t>
      </w:r>
      <w:r w:rsidR="009A0847">
        <w:t xml:space="preserve"> </w:t>
      </w:r>
      <w:r w:rsidRPr="001A14F7">
        <w:t>bank</w:t>
      </w:r>
      <w:r w:rsidR="009A0847">
        <w:t xml:space="preserve"> </w:t>
      </w:r>
      <w:r w:rsidRPr="001A14F7">
        <w:t>in</w:t>
      </w:r>
      <w:r w:rsidR="009A0847">
        <w:t xml:space="preserve"> </w:t>
      </w:r>
      <w:r w:rsidRPr="001A14F7">
        <w:t>round</w:t>
      </w:r>
      <w:r w:rsidR="009A0847">
        <w:t xml:space="preserve"> </w:t>
      </w:r>
      <w:r w:rsidRPr="001A14F7">
        <w:rPr>
          <w:i/>
        </w:rPr>
        <w:t>t</w:t>
      </w:r>
      <w:r w:rsidR="009A0847">
        <w:t xml:space="preserve"> </w:t>
      </w:r>
      <w:r w:rsidRPr="00922372">
        <w:rPr>
          <w:i/>
        </w:rPr>
        <w:t>if</w:t>
      </w:r>
      <w:r w:rsidR="009A0847">
        <w:rPr>
          <w:i/>
        </w:rPr>
        <w:t xml:space="preserve"> </w:t>
      </w:r>
      <w:r w:rsidR="00AD17A9">
        <w:rPr>
          <w:i/>
        </w:rPr>
        <w:t>detect</w:t>
      </w:r>
      <w:r w:rsidR="00811E97">
        <w:rPr>
          <w:i/>
        </w:rPr>
        <w:t>ed</w:t>
      </w:r>
      <w:r w:rsidR="009A0847">
        <w:t xml:space="preserve"> </w:t>
      </w:r>
      <w:r w:rsidRPr="001A14F7">
        <w:t>and</w:t>
      </w:r>
      <w:r w:rsidR="009A0847">
        <w:t xml:space="preserve"> </w:t>
      </w:r>
      <w:r w:rsidRPr="00922372">
        <w:rPr>
          <w:i/>
        </w:rPr>
        <w:t>if</w:t>
      </w:r>
      <w:r w:rsidR="009A0847">
        <w:rPr>
          <w:i/>
        </w:rPr>
        <w:t xml:space="preserve"> </w:t>
      </w:r>
      <w:r w:rsidRPr="00922372">
        <w:rPr>
          <w:i/>
        </w:rPr>
        <w:t>not</w:t>
      </w:r>
      <w:r w:rsidR="009A0847">
        <w:rPr>
          <w:i/>
        </w:rPr>
        <w:t xml:space="preserve"> </w:t>
      </w:r>
      <w:r w:rsidR="00AD17A9">
        <w:rPr>
          <w:i/>
        </w:rPr>
        <w:t>detected</w:t>
      </w:r>
      <w:r w:rsidR="009A0847">
        <w:t xml:space="preserve"> </w:t>
      </w:r>
      <w:r w:rsidRPr="001A14F7">
        <w:t>at</w:t>
      </w:r>
      <w:r w:rsidR="009A0847">
        <w:t xml:space="preserve"> </w:t>
      </w:r>
      <w:r w:rsidRPr="001A14F7">
        <w:t>the</w:t>
      </w:r>
      <w:r w:rsidR="009A0847">
        <w:t xml:space="preserve"> </w:t>
      </w:r>
      <w:r w:rsidRPr="001A14F7">
        <w:t>DW,</w:t>
      </w:r>
      <w:r w:rsidR="009A0847">
        <w:t xml:space="preserve"> </w:t>
      </w:r>
      <w:r w:rsidRPr="001A14F7">
        <w:t>respectively</w:t>
      </w:r>
      <w:r w:rsidRPr="001A14F7">
        <w:rPr>
          <w:rFonts w:ascii="Times" w:hAnsi="Times"/>
        </w:rPr>
        <w:t>.</w:t>
      </w:r>
      <w:r w:rsidR="009A0847">
        <w:rPr>
          <w:rFonts w:ascii="Times" w:hAnsi="Times"/>
        </w:rPr>
        <w:t xml:space="preserve"> </w:t>
      </w:r>
      <w:r w:rsidR="00811E97">
        <w:t>T</w:t>
      </w:r>
      <w:r w:rsidRPr="001A14F7">
        <w:t>he</w:t>
      </w:r>
      <w:r w:rsidR="009A0847">
        <w:t xml:space="preserve"> </w:t>
      </w:r>
      <w:r w:rsidRPr="001A14F7">
        <w:t>estimated</w:t>
      </w:r>
      <w:r w:rsidR="009A0847">
        <w:t xml:space="preserve"> </w:t>
      </w:r>
      <w:r w:rsidRPr="001A14F7">
        <w:t>marginal</w:t>
      </w:r>
      <w:r w:rsidR="009A0847">
        <w:t xml:space="preserve"> </w:t>
      </w:r>
      <w:r w:rsidRPr="001A14F7">
        <w:t>effects</w:t>
      </w:r>
      <w:r w:rsidR="009A0847">
        <w:t xml:space="preserve"> </w:t>
      </w:r>
      <w:r w:rsidRPr="001A14F7">
        <w:t>for</w:t>
      </w:r>
      <w:r w:rsidR="009A0847">
        <w:t xml:space="preserve"> </w:t>
      </w:r>
      <w:r w:rsidR="00AD17A9">
        <w:t>the</w:t>
      </w:r>
      <w:r w:rsidR="009A0847">
        <w:t xml:space="preserve"> </w:t>
      </w:r>
      <w:r w:rsidR="00AD17A9">
        <w:t>same</w:t>
      </w:r>
      <w:r w:rsidR="009A0847">
        <w:t xml:space="preserve"> </w:t>
      </w:r>
      <w:r w:rsidRPr="001A14F7">
        <w:t>three</w:t>
      </w:r>
      <w:r w:rsidR="009A0847">
        <w:t xml:space="preserve"> </w:t>
      </w:r>
      <w:r w:rsidRPr="001A14F7">
        <w:t>specifications</w:t>
      </w:r>
      <w:r w:rsidR="009A0847">
        <w:t xml:space="preserve"> </w:t>
      </w:r>
      <w:r w:rsidR="008504BA">
        <w:t>as</w:t>
      </w:r>
      <w:r w:rsidR="009A0847">
        <w:t xml:space="preserve"> </w:t>
      </w:r>
      <w:r w:rsidR="008504BA">
        <w:t>in</w:t>
      </w:r>
      <w:r w:rsidR="009A0847">
        <w:t xml:space="preserve"> </w:t>
      </w:r>
      <w:r w:rsidR="008504BA">
        <w:t>the</w:t>
      </w:r>
      <w:r w:rsidR="009A0847">
        <w:t xml:space="preserve"> </w:t>
      </w:r>
      <w:r w:rsidR="008504BA">
        <w:t>previous</w:t>
      </w:r>
      <w:r w:rsidR="009A0847">
        <w:t xml:space="preserve"> </w:t>
      </w:r>
      <w:r w:rsidR="008504BA">
        <w:t>section</w:t>
      </w:r>
      <w:r w:rsidR="009A0847">
        <w:t xml:space="preserve"> </w:t>
      </w:r>
      <w:r w:rsidR="00811E97">
        <w:t>are</w:t>
      </w:r>
      <w:r w:rsidR="009A0847">
        <w:t xml:space="preserve"> </w:t>
      </w:r>
      <w:r w:rsidR="00811E97" w:rsidRPr="001A14F7">
        <w:t>report</w:t>
      </w:r>
      <w:r w:rsidR="00811E97">
        <w:t>ed</w:t>
      </w:r>
      <w:r w:rsidR="009A0847">
        <w:t xml:space="preserve"> </w:t>
      </w:r>
      <w:r w:rsidR="00811E97" w:rsidRPr="001A14F7">
        <w:t>in</w:t>
      </w:r>
      <w:r w:rsidR="009A0847">
        <w:t xml:space="preserve"> </w:t>
      </w:r>
      <w:r w:rsidR="00811E97" w:rsidRPr="001A14F7">
        <w:t>Table</w:t>
      </w:r>
      <w:r w:rsidR="009A0847">
        <w:t xml:space="preserve"> </w:t>
      </w:r>
      <w:r w:rsidR="00811E97">
        <w:t>3</w:t>
      </w:r>
      <w:r w:rsidRPr="001A14F7">
        <w:t>.</w:t>
      </w:r>
    </w:p>
    <w:p w14:paraId="14CC6816" w14:textId="52D51D31" w:rsidR="00AD17A9" w:rsidRDefault="001A1F3A" w:rsidP="00F86E09">
      <w:pPr>
        <w:pStyle w:val="Olivier1"/>
        <w:widowControl w:val="0"/>
      </w:pPr>
      <w:r w:rsidRPr="005D609E">
        <w:rPr>
          <w:rStyle w:val="Heading3Char"/>
        </w:rPr>
        <w:t>Specification</w:t>
      </w:r>
      <w:r w:rsidR="009A0847">
        <w:rPr>
          <w:rStyle w:val="Heading3Char"/>
        </w:rPr>
        <w:t xml:space="preserve"> </w:t>
      </w:r>
      <w:r w:rsidRPr="005D609E">
        <w:rPr>
          <w:rStyle w:val="Heading3Char"/>
        </w:rPr>
        <w:t>1:</w:t>
      </w:r>
      <w:r w:rsidR="009A0847">
        <w:t xml:space="preserve"> </w:t>
      </w:r>
      <w:r w:rsidR="00AD17A9">
        <w:t>The</w:t>
      </w:r>
      <w:r w:rsidR="009A0847">
        <w:t xml:space="preserve"> </w:t>
      </w:r>
      <w:r w:rsidR="00AD17A9">
        <w:t>results</w:t>
      </w:r>
      <w:r w:rsidR="009A0847">
        <w:t xml:space="preserve"> </w:t>
      </w:r>
      <w:r w:rsidR="00AD17A9">
        <w:t>from</w:t>
      </w:r>
      <w:r w:rsidR="009A0847">
        <w:t xml:space="preserve"> </w:t>
      </w:r>
      <w:r w:rsidR="00AD17A9">
        <w:t>specification</w:t>
      </w:r>
      <w:r w:rsidR="009A0847">
        <w:t xml:space="preserve"> </w:t>
      </w:r>
      <w:r w:rsidR="00AD17A9">
        <w:t>1</w:t>
      </w:r>
      <w:r w:rsidR="009A0847">
        <w:t xml:space="preserve"> </w:t>
      </w:r>
      <w:r w:rsidR="00AD17A9" w:rsidRPr="001A14F7">
        <w:t>confirm</w:t>
      </w:r>
      <w:r w:rsidR="009A0847">
        <w:t xml:space="preserve"> </w:t>
      </w:r>
      <w:r w:rsidR="00AD17A9" w:rsidRPr="001A14F7">
        <w:t>the</w:t>
      </w:r>
      <w:r w:rsidR="009A0847">
        <w:t xml:space="preserve"> </w:t>
      </w:r>
      <w:r w:rsidR="00AD17A9" w:rsidRPr="001A14F7">
        <w:t>absence</w:t>
      </w:r>
      <w:r w:rsidR="009A0847">
        <w:t xml:space="preserve"> </w:t>
      </w:r>
      <w:r w:rsidR="00AD17A9" w:rsidRPr="001A14F7">
        <w:t>of</w:t>
      </w:r>
      <w:r w:rsidR="009A0847">
        <w:t xml:space="preserve"> </w:t>
      </w:r>
      <w:r w:rsidR="00AD17A9" w:rsidRPr="001A14F7">
        <w:t>a</w:t>
      </w:r>
      <w:r w:rsidR="008504BA">
        <w:t>ny</w:t>
      </w:r>
      <w:r w:rsidR="009A0847">
        <w:t xml:space="preserve"> </w:t>
      </w:r>
      <w:r w:rsidR="00AD17A9" w:rsidRPr="001A14F7">
        <w:t>treatment</w:t>
      </w:r>
      <w:r w:rsidR="009A0847">
        <w:t xml:space="preserve"> </w:t>
      </w:r>
      <w:r w:rsidR="00AD17A9" w:rsidRPr="001A14F7">
        <w:t>effect</w:t>
      </w:r>
      <w:r w:rsidR="009A0847">
        <w:t xml:space="preserve"> </w:t>
      </w:r>
      <w:r w:rsidR="00AD17A9">
        <w:t>on</w:t>
      </w:r>
      <w:r w:rsidR="009A0847">
        <w:t xml:space="preserve"> </w:t>
      </w:r>
      <w:r w:rsidR="00AD17A9">
        <w:t>funding</w:t>
      </w:r>
      <w:r w:rsidR="009A0847">
        <w:t xml:space="preserve"> </w:t>
      </w:r>
      <w:r w:rsidR="00AD17A9">
        <w:t>decisions</w:t>
      </w:r>
      <w:r w:rsidR="009A0847">
        <w:t xml:space="preserve"> </w:t>
      </w:r>
      <w:r w:rsidR="00AD17A9">
        <w:t>for</w:t>
      </w:r>
      <w:r w:rsidR="009A0847">
        <w:t xml:space="preserve"> </w:t>
      </w:r>
      <w:r w:rsidR="00AD17A9">
        <w:t>bank</w:t>
      </w:r>
      <w:r w:rsidR="008504BA">
        <w:t>s</w:t>
      </w:r>
      <w:r w:rsidR="009A0847">
        <w:t xml:space="preserve"> </w:t>
      </w:r>
      <w:r w:rsidR="008504BA">
        <w:t>not</w:t>
      </w:r>
      <w:r w:rsidR="009A0847">
        <w:t xml:space="preserve"> </w:t>
      </w:r>
      <w:r w:rsidR="008504BA">
        <w:t>seen</w:t>
      </w:r>
      <w:r w:rsidR="009A0847">
        <w:t xml:space="preserve"> </w:t>
      </w:r>
      <w:r w:rsidR="008504BA">
        <w:t>at</w:t>
      </w:r>
      <w:r w:rsidR="009A0847">
        <w:t xml:space="preserve"> </w:t>
      </w:r>
      <w:r w:rsidR="008504BA">
        <w:t>the</w:t>
      </w:r>
      <w:r w:rsidR="009A0847">
        <w:t xml:space="preserve"> </w:t>
      </w:r>
      <w:r w:rsidR="008504BA">
        <w:t>DW</w:t>
      </w:r>
      <w:r w:rsidR="00AD17A9" w:rsidRPr="001A14F7">
        <w:t>.</w:t>
      </w:r>
      <w:r w:rsidR="009A0847">
        <w:t xml:space="preserve"> </w:t>
      </w:r>
      <w:r w:rsidR="00AD17A9">
        <w:t>I</w:t>
      </w:r>
      <w:r w:rsidR="00AD17A9" w:rsidRPr="001A14F7">
        <w:t>n</w:t>
      </w:r>
      <w:r w:rsidR="009A0847">
        <w:t xml:space="preserve"> </w:t>
      </w:r>
      <w:r w:rsidR="00AD17A9" w:rsidRPr="001A14F7">
        <w:t>contrast,</w:t>
      </w:r>
      <w:r w:rsidR="009A0847">
        <w:t xml:space="preserve"> </w:t>
      </w:r>
      <w:r w:rsidR="00AD17A9" w:rsidRPr="001A14F7">
        <w:t>the</w:t>
      </w:r>
      <w:r w:rsidR="009A0847">
        <w:t xml:space="preserve"> </w:t>
      </w:r>
      <w:r w:rsidR="00AD17A9" w:rsidRPr="001A14F7">
        <w:t>propensity</w:t>
      </w:r>
      <w:r w:rsidR="009A0847">
        <w:t xml:space="preserve"> </w:t>
      </w:r>
      <w:r w:rsidR="00AD17A9" w:rsidRPr="001A14F7">
        <w:t>to</w:t>
      </w:r>
      <w:r w:rsidR="009A0847">
        <w:t xml:space="preserve"> </w:t>
      </w:r>
      <w:r w:rsidR="00AD17A9" w:rsidRPr="001A14F7">
        <w:t>fund</w:t>
      </w:r>
      <w:r w:rsidR="009A0847">
        <w:t xml:space="preserve"> </w:t>
      </w:r>
      <w:r w:rsidR="00AD17A9" w:rsidRPr="001A14F7">
        <w:t>a</w:t>
      </w:r>
      <w:r w:rsidR="009A0847">
        <w:t xml:space="preserve"> </w:t>
      </w:r>
      <w:r w:rsidR="00AD17A9">
        <w:t>detected</w:t>
      </w:r>
      <w:r w:rsidR="009A0847">
        <w:t xml:space="preserve"> </w:t>
      </w:r>
      <w:r w:rsidR="00AD17A9" w:rsidRPr="001A14F7">
        <w:t>bank</w:t>
      </w:r>
      <w:r w:rsidR="009A0847">
        <w:t xml:space="preserve"> </w:t>
      </w:r>
      <w:r w:rsidR="00AD17A9" w:rsidRPr="001A14F7">
        <w:t>is</w:t>
      </w:r>
      <w:r w:rsidR="009A0847">
        <w:t xml:space="preserve"> </w:t>
      </w:r>
      <w:r w:rsidR="00AD17A9" w:rsidRPr="001A14F7">
        <w:t>significantly</w:t>
      </w:r>
      <w:r w:rsidR="009A0847">
        <w:t xml:space="preserve"> </w:t>
      </w:r>
      <w:r w:rsidR="00AD17A9">
        <w:t>higher</w:t>
      </w:r>
      <w:r w:rsidR="009A0847">
        <w:t xml:space="preserve"> </w:t>
      </w:r>
      <w:r w:rsidR="00AD17A9" w:rsidRPr="001A14F7">
        <w:t>in</w:t>
      </w:r>
      <w:r w:rsidR="009A0847">
        <w:t xml:space="preserve"> </w:t>
      </w:r>
      <w:r w:rsidR="00AD17A9">
        <w:t>the</w:t>
      </w:r>
      <w:r w:rsidR="009A0847">
        <w:t xml:space="preserve"> </w:t>
      </w:r>
      <w:r w:rsidR="00C345EE">
        <w:t>random</w:t>
      </w:r>
      <w:r w:rsidR="009A0847">
        <w:t xml:space="preserve"> </w:t>
      </w:r>
      <w:r w:rsidR="00AD17A9">
        <w:t>borrowing</w:t>
      </w:r>
      <w:r w:rsidR="009A0847">
        <w:t xml:space="preserve"> </w:t>
      </w:r>
      <w:r w:rsidR="00AD17A9">
        <w:t>treatment</w:t>
      </w:r>
      <w:r w:rsidR="009A0847">
        <w:t xml:space="preserve"> </w:t>
      </w:r>
      <w:r w:rsidR="00AD17A9" w:rsidRPr="001A14F7">
        <w:t>(row</w:t>
      </w:r>
      <w:r w:rsidR="009A0847">
        <w:t xml:space="preserve"> </w:t>
      </w:r>
      <w:r w:rsidR="00AD17A9" w:rsidRPr="001A14F7">
        <w:t>2).</w:t>
      </w:r>
      <w:r w:rsidR="009A0847">
        <w:t xml:space="preserve"> </w:t>
      </w:r>
      <w:r w:rsidR="00AD17A9">
        <w:t>As</w:t>
      </w:r>
      <w:r w:rsidR="009A0847">
        <w:t xml:space="preserve"> </w:t>
      </w:r>
      <w:r w:rsidR="00AD17A9">
        <w:t>discussed</w:t>
      </w:r>
      <w:r w:rsidR="009A0847">
        <w:t xml:space="preserve"> </w:t>
      </w:r>
      <w:r w:rsidR="00AD17A9">
        <w:t>earlier,</w:t>
      </w:r>
      <w:r w:rsidR="009A0847">
        <w:t xml:space="preserve"> </w:t>
      </w:r>
      <w:r w:rsidR="00AD17A9">
        <w:t>t</w:t>
      </w:r>
      <w:r w:rsidR="00AD17A9" w:rsidRPr="001A14F7">
        <w:t>his</w:t>
      </w:r>
      <w:r w:rsidR="009A0847">
        <w:t xml:space="preserve"> </w:t>
      </w:r>
      <w:r w:rsidR="00AD17A9" w:rsidRPr="001A14F7">
        <w:t>result</w:t>
      </w:r>
      <w:r w:rsidR="009A0847">
        <w:t xml:space="preserve"> </w:t>
      </w:r>
      <w:r w:rsidR="00AD17A9" w:rsidRPr="001A14F7">
        <w:t>is</w:t>
      </w:r>
      <w:r w:rsidR="009A0847">
        <w:t xml:space="preserve"> </w:t>
      </w:r>
      <w:r w:rsidR="00AD17A9" w:rsidRPr="001A14F7">
        <w:t>not</w:t>
      </w:r>
      <w:r w:rsidR="009A0847">
        <w:t xml:space="preserve"> </w:t>
      </w:r>
      <w:r w:rsidR="00AD17A9" w:rsidRPr="001A14F7">
        <w:t>n</w:t>
      </w:r>
      <w:r w:rsidR="00AD17A9">
        <w:t>ecessarily</w:t>
      </w:r>
      <w:r w:rsidR="009A0847">
        <w:t xml:space="preserve"> </w:t>
      </w:r>
      <w:r w:rsidR="00AD17A9">
        <w:t>surprising</w:t>
      </w:r>
      <w:r w:rsidR="009A0847">
        <w:t xml:space="preserve"> </w:t>
      </w:r>
      <w:r w:rsidR="00AD17A9">
        <w:t>because</w:t>
      </w:r>
      <w:r w:rsidR="009A0847">
        <w:t xml:space="preserve"> </w:t>
      </w:r>
      <w:r w:rsidR="00C345EE">
        <w:t>random</w:t>
      </w:r>
      <w:r w:rsidR="009A0847">
        <w:t xml:space="preserve"> </w:t>
      </w:r>
      <w:r w:rsidR="00AD17A9">
        <w:t>borrowing</w:t>
      </w:r>
      <w:r w:rsidR="009A0847">
        <w:t xml:space="preserve"> </w:t>
      </w:r>
      <w:r w:rsidR="00AD17A9">
        <w:t>adds</w:t>
      </w:r>
      <w:r w:rsidR="009A0847">
        <w:t xml:space="preserve"> </w:t>
      </w:r>
      <w:r w:rsidR="00AD17A9">
        <w:t>solvent</w:t>
      </w:r>
      <w:r w:rsidR="009A0847">
        <w:t xml:space="preserve"> </w:t>
      </w:r>
      <w:r w:rsidR="00AD17A9">
        <w:t>banks</w:t>
      </w:r>
      <w:r w:rsidR="009A0847">
        <w:t xml:space="preserve"> </w:t>
      </w:r>
      <w:r w:rsidR="00AD17A9">
        <w:t>to</w:t>
      </w:r>
      <w:r w:rsidR="009A0847">
        <w:t xml:space="preserve"> </w:t>
      </w:r>
      <w:r w:rsidR="00AD17A9">
        <w:t>the</w:t>
      </w:r>
      <w:r w:rsidR="009A0847">
        <w:t xml:space="preserve"> </w:t>
      </w:r>
      <w:r w:rsidR="00AD17A9">
        <w:t>pool</w:t>
      </w:r>
      <w:r w:rsidR="009A0847">
        <w:t xml:space="preserve"> </w:t>
      </w:r>
      <w:r w:rsidR="00AD17A9">
        <w:t>of</w:t>
      </w:r>
      <w:r w:rsidR="009A0847">
        <w:t xml:space="preserve"> </w:t>
      </w:r>
      <w:r w:rsidR="00AD17A9">
        <w:t>detected</w:t>
      </w:r>
      <w:r w:rsidR="009A0847">
        <w:t xml:space="preserve"> </w:t>
      </w:r>
      <w:r w:rsidR="00AD17A9">
        <w:t>banks</w:t>
      </w:r>
      <w:r w:rsidR="00AD17A9" w:rsidRPr="001A14F7">
        <w:t>.</w:t>
      </w:r>
      <w:r w:rsidR="009A0847">
        <w:t xml:space="preserve"> </w:t>
      </w:r>
      <w:r w:rsidR="00AD17A9">
        <w:t>Finally,</w:t>
      </w:r>
      <w:r w:rsidR="009A0847">
        <w:t xml:space="preserve"> </w:t>
      </w:r>
      <w:r w:rsidR="00AD17A9">
        <w:t>w</w:t>
      </w:r>
      <w:r w:rsidR="00AD17A9" w:rsidRPr="001A14F7">
        <w:t>e</w:t>
      </w:r>
      <w:r w:rsidR="009A0847">
        <w:t xml:space="preserve"> </w:t>
      </w:r>
      <w:r w:rsidR="00AD17A9" w:rsidRPr="001A14F7">
        <w:t>find</w:t>
      </w:r>
      <w:r w:rsidR="009A0847">
        <w:t xml:space="preserve"> </w:t>
      </w:r>
      <w:r w:rsidR="00AD17A9">
        <w:t>a</w:t>
      </w:r>
      <w:r w:rsidR="009A0847">
        <w:t xml:space="preserve"> </w:t>
      </w:r>
      <w:r w:rsidR="00AD17A9">
        <w:t>negative</w:t>
      </w:r>
      <w:r w:rsidR="009A0847">
        <w:t xml:space="preserve"> </w:t>
      </w:r>
      <w:r w:rsidR="00AD17A9">
        <w:t>and</w:t>
      </w:r>
      <w:r w:rsidR="009A0847">
        <w:t xml:space="preserve"> </w:t>
      </w:r>
      <w:r w:rsidR="00AD17A9">
        <w:t>significant</w:t>
      </w:r>
      <w:r w:rsidR="009A0847">
        <w:t xml:space="preserve"> </w:t>
      </w:r>
      <w:r w:rsidR="00AD17A9" w:rsidRPr="001A14F7">
        <w:t>correlation</w:t>
      </w:r>
      <w:r w:rsidR="009A0847">
        <w:t xml:space="preserve"> </w:t>
      </w:r>
      <w:r w:rsidR="00AD17A9" w:rsidRPr="001A14F7">
        <w:t>in</w:t>
      </w:r>
      <w:r w:rsidR="009A0847">
        <w:t xml:space="preserve"> </w:t>
      </w:r>
      <w:r w:rsidR="00AD17A9" w:rsidRPr="001A14F7">
        <w:t>an</w:t>
      </w:r>
      <w:r w:rsidR="009A0847">
        <w:t xml:space="preserve"> </w:t>
      </w:r>
      <w:r w:rsidR="00AD17A9" w:rsidRPr="001A14F7">
        <w:t>investor</w:t>
      </w:r>
      <w:r w:rsidR="00811E97">
        <w:t>’s</w:t>
      </w:r>
      <w:r w:rsidR="009A0847">
        <w:t xml:space="preserve"> </w:t>
      </w:r>
      <w:r w:rsidR="00AD17A9" w:rsidRPr="001A14F7">
        <w:t>decision</w:t>
      </w:r>
      <w:r w:rsidR="00AD17A9">
        <w:t>s</w:t>
      </w:r>
      <w:r w:rsidR="009A0847">
        <w:t xml:space="preserve"> </w:t>
      </w:r>
      <w:r w:rsidR="00AD17A9" w:rsidRPr="001A14F7">
        <w:t>to</w:t>
      </w:r>
      <w:r w:rsidR="009A0847">
        <w:t xml:space="preserve"> </w:t>
      </w:r>
      <w:r w:rsidR="00AD17A9" w:rsidRPr="001A14F7">
        <w:t>fund</w:t>
      </w:r>
      <w:r w:rsidR="009A0847">
        <w:t xml:space="preserve"> </w:t>
      </w:r>
      <w:r w:rsidR="00AD17A9" w:rsidRPr="001A14F7">
        <w:t>a</w:t>
      </w:r>
      <w:r w:rsidR="009A0847">
        <w:t xml:space="preserve"> </w:t>
      </w:r>
      <w:r w:rsidR="00AD17A9" w:rsidRPr="001A14F7">
        <w:t>bank</w:t>
      </w:r>
      <w:r w:rsidR="009A0847">
        <w:t xml:space="preserve"> </w:t>
      </w:r>
      <w:r w:rsidR="00AD17A9" w:rsidRPr="001A14F7">
        <w:t>when</w:t>
      </w:r>
      <w:r w:rsidR="009A0847">
        <w:t xml:space="preserve"> </w:t>
      </w:r>
      <w:r w:rsidR="00AD17A9" w:rsidRPr="001A14F7">
        <w:t>it</w:t>
      </w:r>
      <w:r w:rsidR="009A0847">
        <w:t xml:space="preserve"> </w:t>
      </w:r>
      <w:r w:rsidR="00AD17A9" w:rsidRPr="001A14F7">
        <w:t>is</w:t>
      </w:r>
      <w:r w:rsidR="009A0847">
        <w:t xml:space="preserve"> </w:t>
      </w:r>
      <w:r w:rsidR="00AD17A9" w:rsidRPr="001A14F7">
        <w:t>detected</w:t>
      </w:r>
      <w:r w:rsidR="009A0847">
        <w:t xml:space="preserve"> </w:t>
      </w:r>
      <w:r w:rsidR="00AD17A9" w:rsidRPr="001A14F7">
        <w:t>and</w:t>
      </w:r>
      <w:r w:rsidR="009A0847">
        <w:t xml:space="preserve"> </w:t>
      </w:r>
      <w:r w:rsidR="00AD17A9" w:rsidRPr="001A14F7">
        <w:t>not</w:t>
      </w:r>
      <w:r w:rsidR="009A0847">
        <w:t xml:space="preserve"> </w:t>
      </w:r>
      <w:r w:rsidR="00AD17A9" w:rsidRPr="001A14F7">
        <w:t>detected</w:t>
      </w:r>
      <w:r w:rsidR="009A0847">
        <w:t xml:space="preserve"> </w:t>
      </w:r>
      <w:r w:rsidR="00AD17A9" w:rsidRPr="001A14F7">
        <w:t>at</w:t>
      </w:r>
      <w:r w:rsidR="009A0847">
        <w:t xml:space="preserve"> </w:t>
      </w:r>
      <w:r w:rsidR="00AD17A9" w:rsidRPr="001A14F7">
        <w:t>the</w:t>
      </w:r>
      <w:r w:rsidR="009A0847">
        <w:t xml:space="preserve"> </w:t>
      </w:r>
      <w:r w:rsidR="00AD17A9" w:rsidRPr="001A14F7">
        <w:t>DW</w:t>
      </w:r>
      <w:r w:rsidR="009A0847">
        <w:t xml:space="preserve"> </w:t>
      </w:r>
      <w:r w:rsidR="008504BA">
        <w:t>(row</w:t>
      </w:r>
      <w:r w:rsidR="009A0847">
        <w:t xml:space="preserve"> </w:t>
      </w:r>
      <w:r w:rsidR="008504BA">
        <w:t>18</w:t>
      </w:r>
      <w:r w:rsidR="00AD17A9">
        <w:t>),</w:t>
      </w:r>
      <w:r w:rsidR="009A0847">
        <w:t xml:space="preserve"> </w:t>
      </w:r>
      <w:r w:rsidR="00AD17A9">
        <w:t>thereby</w:t>
      </w:r>
      <w:r w:rsidR="009A0847">
        <w:t xml:space="preserve"> </w:t>
      </w:r>
      <w:r w:rsidR="00AD17A9">
        <w:t>providing</w:t>
      </w:r>
      <w:r w:rsidR="009A0847">
        <w:t xml:space="preserve"> </w:t>
      </w:r>
      <w:r w:rsidR="00AD17A9">
        <w:t>additional</w:t>
      </w:r>
      <w:r w:rsidR="009A0847">
        <w:t xml:space="preserve"> </w:t>
      </w:r>
      <w:r w:rsidR="00AD17A9">
        <w:t>support</w:t>
      </w:r>
      <w:r w:rsidR="009A0847">
        <w:t xml:space="preserve"> </w:t>
      </w:r>
      <w:r w:rsidR="00AD17A9">
        <w:t>for</w:t>
      </w:r>
      <w:r w:rsidR="009A0847">
        <w:t xml:space="preserve"> </w:t>
      </w:r>
      <w:r w:rsidR="00AD17A9">
        <w:t>our</w:t>
      </w:r>
      <w:r w:rsidR="009A0847">
        <w:t xml:space="preserve"> </w:t>
      </w:r>
      <w:r w:rsidR="00AD17A9">
        <w:t>joint</w:t>
      </w:r>
      <w:r w:rsidR="009A0847">
        <w:t xml:space="preserve"> </w:t>
      </w:r>
      <w:r w:rsidR="00AD17A9">
        <w:t>econometric</w:t>
      </w:r>
      <w:r w:rsidR="009A0847">
        <w:t xml:space="preserve"> </w:t>
      </w:r>
      <w:r w:rsidR="00AD17A9">
        <w:t>model</w:t>
      </w:r>
      <w:r w:rsidR="00AD17A9" w:rsidRPr="001A14F7">
        <w:t>.</w:t>
      </w:r>
      <w:r w:rsidR="009A0847">
        <w:t xml:space="preserve"> </w:t>
      </w:r>
    </w:p>
    <w:p w14:paraId="0B91875C" w14:textId="2EE068B0" w:rsidR="00CE5AF9" w:rsidRDefault="001A1F3A" w:rsidP="00F86E09">
      <w:pPr>
        <w:pStyle w:val="Olivier1"/>
        <w:widowControl w:val="0"/>
      </w:pPr>
      <w:r w:rsidRPr="005D609E">
        <w:rPr>
          <w:rStyle w:val="Heading3Char"/>
        </w:rPr>
        <w:t>Specification</w:t>
      </w:r>
      <w:r w:rsidR="009A0847">
        <w:rPr>
          <w:rStyle w:val="Heading3Char"/>
        </w:rPr>
        <w:t xml:space="preserve"> </w:t>
      </w:r>
      <w:r>
        <w:rPr>
          <w:rStyle w:val="Heading3Char"/>
        </w:rPr>
        <w:t>2</w:t>
      </w:r>
      <w:r w:rsidRPr="005D609E">
        <w:rPr>
          <w:rStyle w:val="Heading3Char"/>
        </w:rPr>
        <w:t>:</w:t>
      </w:r>
      <w:r w:rsidR="009A0847">
        <w:t xml:space="preserve"> </w:t>
      </w:r>
      <w:r w:rsidR="00811E97">
        <w:t>Next,</w:t>
      </w:r>
      <w:r w:rsidR="009A0847">
        <w:t xml:space="preserve"> </w:t>
      </w:r>
      <w:r w:rsidR="00811E97">
        <w:t>we</w:t>
      </w:r>
      <w:r w:rsidR="009A0847">
        <w:t xml:space="preserve"> </w:t>
      </w:r>
      <w:r w:rsidR="00811E97">
        <w:t>add</w:t>
      </w:r>
      <w:r w:rsidR="009A0847">
        <w:t xml:space="preserve"> </w:t>
      </w:r>
      <w:r w:rsidR="00811E97">
        <w:t>controls</w:t>
      </w:r>
      <w:r w:rsidR="009A0847">
        <w:t xml:space="preserve"> </w:t>
      </w:r>
      <w:r w:rsidR="00CE5AF9" w:rsidRPr="00761FC9">
        <w:t>for</w:t>
      </w:r>
      <w:r w:rsidR="009A0847">
        <w:t xml:space="preserve"> </w:t>
      </w:r>
      <w:r w:rsidR="00CE5AF9">
        <w:t>private</w:t>
      </w:r>
      <w:r w:rsidR="009A0847">
        <w:t xml:space="preserve"> </w:t>
      </w:r>
      <w:r w:rsidR="00CE5AF9">
        <w:t>and</w:t>
      </w:r>
      <w:r w:rsidR="009A0847">
        <w:t xml:space="preserve"> </w:t>
      </w:r>
      <w:r w:rsidR="00CE5AF9" w:rsidRPr="00761FC9">
        <w:t>public</w:t>
      </w:r>
      <w:r w:rsidR="009A0847">
        <w:t xml:space="preserve"> </w:t>
      </w:r>
      <w:r w:rsidR="00CE5AF9">
        <w:t>feedback</w:t>
      </w:r>
      <w:r w:rsidR="00CE5AF9" w:rsidRPr="00761FC9">
        <w:t>.</w:t>
      </w:r>
      <w:r w:rsidR="009A0847">
        <w:t xml:space="preserve"> </w:t>
      </w:r>
      <w:r w:rsidR="00CE5AF9">
        <w:t>F</w:t>
      </w:r>
      <w:r w:rsidR="00CE5AF9" w:rsidRPr="00761FC9">
        <w:t>irst,</w:t>
      </w:r>
      <w:r w:rsidR="009A0847">
        <w:t xml:space="preserve"> </w:t>
      </w:r>
      <w:r w:rsidR="00CE5AF9" w:rsidRPr="00761FC9">
        <w:t>observe</w:t>
      </w:r>
      <w:r w:rsidR="009A0847">
        <w:t xml:space="preserve"> </w:t>
      </w:r>
      <w:r w:rsidR="00CE5AF9">
        <w:t>the</w:t>
      </w:r>
      <w:r w:rsidR="009A0847">
        <w:t xml:space="preserve"> </w:t>
      </w:r>
      <w:r w:rsidR="00CE5AF9">
        <w:t>absence</w:t>
      </w:r>
      <w:r w:rsidR="009A0847">
        <w:t xml:space="preserve"> </w:t>
      </w:r>
      <w:r w:rsidR="00CE5AF9">
        <w:t>of</w:t>
      </w:r>
      <w:r w:rsidR="009A0847">
        <w:t xml:space="preserve"> </w:t>
      </w:r>
      <w:r w:rsidR="008504BA">
        <w:t>any</w:t>
      </w:r>
      <w:r w:rsidR="009A0847">
        <w:t xml:space="preserve"> </w:t>
      </w:r>
      <w:r w:rsidR="00CE5AF9">
        <w:t>treatment</w:t>
      </w:r>
      <w:r w:rsidR="009A0847">
        <w:t xml:space="preserve"> </w:t>
      </w:r>
      <w:r w:rsidR="00CE5AF9">
        <w:t>effect</w:t>
      </w:r>
      <w:r w:rsidR="00CE5AF9" w:rsidRPr="00761FC9">
        <w:t>.</w:t>
      </w:r>
      <w:r w:rsidR="009A0847">
        <w:t xml:space="preserve"> </w:t>
      </w:r>
      <w:r w:rsidR="00CE5AF9" w:rsidRPr="00761FC9">
        <w:t>Thus,</w:t>
      </w:r>
      <w:r w:rsidR="009A0847">
        <w:t xml:space="preserve"> </w:t>
      </w:r>
      <w:r w:rsidR="00AD17A9">
        <w:t>similar</w:t>
      </w:r>
      <w:r w:rsidR="009A0847">
        <w:t xml:space="preserve"> </w:t>
      </w:r>
      <w:r w:rsidR="00AD17A9">
        <w:t>to</w:t>
      </w:r>
      <w:r w:rsidR="009A0847">
        <w:t xml:space="preserve"> </w:t>
      </w:r>
      <w:r w:rsidR="00AD17A9">
        <w:t>the</w:t>
      </w:r>
      <w:r w:rsidR="009A0847">
        <w:t xml:space="preserve"> </w:t>
      </w:r>
      <w:r w:rsidR="00AD17A9">
        <w:t>banks’</w:t>
      </w:r>
      <w:r w:rsidR="009A0847">
        <w:t xml:space="preserve"> </w:t>
      </w:r>
      <w:r w:rsidR="00AD17A9">
        <w:t>regressions,</w:t>
      </w:r>
      <w:r w:rsidR="009A0847">
        <w:t xml:space="preserve"> </w:t>
      </w:r>
      <w:r w:rsidR="00CE5AF9" w:rsidRPr="00761FC9">
        <w:t>the</w:t>
      </w:r>
      <w:r w:rsidR="009A0847">
        <w:t xml:space="preserve"> </w:t>
      </w:r>
      <w:r w:rsidR="00CE5AF9" w:rsidRPr="00761FC9">
        <w:t>treatment</w:t>
      </w:r>
      <w:r w:rsidR="009A0847">
        <w:t xml:space="preserve"> </w:t>
      </w:r>
      <w:r w:rsidR="00CE5AF9" w:rsidRPr="00761FC9">
        <w:t>effect</w:t>
      </w:r>
      <w:r w:rsidR="009A0847">
        <w:t xml:space="preserve"> </w:t>
      </w:r>
      <w:r w:rsidR="00CE5AF9" w:rsidRPr="00761FC9">
        <w:t>we</w:t>
      </w:r>
      <w:r w:rsidR="009A0847">
        <w:t xml:space="preserve"> </w:t>
      </w:r>
      <w:r w:rsidR="00CE5AF9" w:rsidRPr="00761FC9">
        <w:t>identified</w:t>
      </w:r>
      <w:r w:rsidR="009A0847">
        <w:t xml:space="preserve"> </w:t>
      </w:r>
      <w:r w:rsidR="00CE5AF9" w:rsidRPr="00761FC9">
        <w:t>with</w:t>
      </w:r>
      <w:r w:rsidR="009A0847">
        <w:t xml:space="preserve"> </w:t>
      </w:r>
      <w:r w:rsidR="00CE5AF9" w:rsidRPr="00761FC9">
        <w:t>specification</w:t>
      </w:r>
      <w:r w:rsidR="009A0847">
        <w:t xml:space="preserve"> </w:t>
      </w:r>
      <w:r w:rsidR="00CE5AF9" w:rsidRPr="00761FC9">
        <w:t>1</w:t>
      </w:r>
      <w:r w:rsidR="009A0847">
        <w:t xml:space="preserve"> </w:t>
      </w:r>
      <w:r w:rsidR="00CE5AF9" w:rsidRPr="00761FC9">
        <w:t>can</w:t>
      </w:r>
      <w:r w:rsidR="009A0847">
        <w:t xml:space="preserve"> </w:t>
      </w:r>
      <w:r w:rsidR="00CE5AF9" w:rsidRPr="00761FC9">
        <w:t>be</w:t>
      </w:r>
      <w:r w:rsidR="009A0847">
        <w:t xml:space="preserve"> </w:t>
      </w:r>
      <w:r w:rsidR="00CE5AF9" w:rsidRPr="00761FC9">
        <w:t>explained</w:t>
      </w:r>
      <w:r w:rsidR="009A0847">
        <w:t xml:space="preserve"> </w:t>
      </w:r>
      <w:r w:rsidR="00CE5AF9" w:rsidRPr="00761FC9">
        <w:t>by</w:t>
      </w:r>
      <w:r w:rsidR="009A0847">
        <w:t xml:space="preserve"> </w:t>
      </w:r>
      <w:r w:rsidR="00CE5AF9">
        <w:t>investors’</w:t>
      </w:r>
      <w:r w:rsidR="009A0847">
        <w:t xml:space="preserve"> </w:t>
      </w:r>
      <w:r w:rsidR="00CE5AF9" w:rsidRPr="00761FC9">
        <w:t>adjustments</w:t>
      </w:r>
      <w:r w:rsidR="009A0847">
        <w:t xml:space="preserve"> </w:t>
      </w:r>
      <w:r w:rsidR="00CE5AF9" w:rsidRPr="00761FC9">
        <w:t>bas</w:t>
      </w:r>
      <w:r w:rsidR="00CE5AF9">
        <w:t>ed</w:t>
      </w:r>
      <w:r w:rsidR="009A0847">
        <w:t xml:space="preserve"> </w:t>
      </w:r>
      <w:r w:rsidR="00CE5AF9">
        <w:t>on</w:t>
      </w:r>
      <w:r w:rsidR="009A0847">
        <w:t xml:space="preserve"> </w:t>
      </w:r>
      <w:r w:rsidR="00CE5AF9">
        <w:t>the</w:t>
      </w:r>
      <w:r w:rsidR="009A0847">
        <w:t xml:space="preserve"> </w:t>
      </w:r>
      <w:r w:rsidR="00CE5AF9">
        <w:t>feedback</w:t>
      </w:r>
      <w:r w:rsidR="009A0847">
        <w:t xml:space="preserve"> </w:t>
      </w:r>
      <w:r w:rsidR="00CE5AF9">
        <w:t>they</w:t>
      </w:r>
      <w:r w:rsidR="009A0847">
        <w:t xml:space="preserve"> </w:t>
      </w:r>
      <w:r w:rsidR="00CE5AF9">
        <w:t>receive</w:t>
      </w:r>
      <w:r w:rsidR="00CE5AF9" w:rsidRPr="00761FC9">
        <w:t>.</w:t>
      </w:r>
      <w:r w:rsidR="009A0847">
        <w:t xml:space="preserve"> </w:t>
      </w:r>
      <w:r w:rsidR="00CE5AF9">
        <w:t>S</w:t>
      </w:r>
      <w:r w:rsidR="00CE5AF9" w:rsidRPr="001F02E1">
        <w:t>imilar</w:t>
      </w:r>
      <w:r w:rsidR="009A0847">
        <w:t xml:space="preserve"> </w:t>
      </w:r>
      <w:r w:rsidR="00CE5AF9" w:rsidRPr="001F02E1">
        <w:t>to</w:t>
      </w:r>
      <w:r w:rsidR="009A0847">
        <w:t xml:space="preserve"> </w:t>
      </w:r>
      <w:r w:rsidR="00CE5AF9" w:rsidRPr="001F02E1">
        <w:t>the</w:t>
      </w:r>
      <w:r w:rsidR="009A0847">
        <w:t xml:space="preserve"> </w:t>
      </w:r>
      <w:r w:rsidR="00CE5AF9" w:rsidRPr="001F02E1">
        <w:t>banks’</w:t>
      </w:r>
      <w:r w:rsidR="009A0847">
        <w:t xml:space="preserve"> </w:t>
      </w:r>
      <w:r w:rsidR="00CE5AF9" w:rsidRPr="001F02E1">
        <w:t>behavior,</w:t>
      </w:r>
      <w:r w:rsidR="009A0847">
        <w:t xml:space="preserve"> </w:t>
      </w:r>
      <w:r w:rsidR="00885863">
        <w:t>we</w:t>
      </w:r>
      <w:r w:rsidR="009A0847">
        <w:t xml:space="preserve"> </w:t>
      </w:r>
      <w:r w:rsidR="00AD17A9">
        <w:t>also</w:t>
      </w:r>
      <w:r w:rsidR="009A0847">
        <w:t xml:space="preserve"> </w:t>
      </w:r>
      <w:r w:rsidR="00885863">
        <w:t>find</w:t>
      </w:r>
      <w:r w:rsidR="009A0847">
        <w:t xml:space="preserve"> </w:t>
      </w:r>
      <w:r w:rsidR="00CE5AF9" w:rsidRPr="001F02E1">
        <w:t>the</w:t>
      </w:r>
      <w:r w:rsidR="009A0847">
        <w:t xml:space="preserve"> </w:t>
      </w:r>
      <w:r w:rsidR="00CE5AF9" w:rsidRPr="001F02E1">
        <w:t>investors’</w:t>
      </w:r>
      <w:r w:rsidR="009A0847">
        <w:t xml:space="preserve"> </w:t>
      </w:r>
      <w:r w:rsidR="00CE5AF9" w:rsidRPr="001F02E1">
        <w:t>behavior</w:t>
      </w:r>
      <w:r w:rsidR="009A0847">
        <w:t xml:space="preserve"> </w:t>
      </w:r>
      <w:r w:rsidR="00885863">
        <w:t>to</w:t>
      </w:r>
      <w:r w:rsidR="009A0847">
        <w:t xml:space="preserve"> </w:t>
      </w:r>
      <w:r w:rsidR="00CE5AF9" w:rsidRPr="001F02E1">
        <w:t>exhibit</w:t>
      </w:r>
      <w:r w:rsidR="009A0847">
        <w:t xml:space="preserve"> </w:t>
      </w:r>
      <w:r w:rsidR="00CE5AF9" w:rsidRPr="001F02E1">
        <w:t>inertia</w:t>
      </w:r>
      <w:r w:rsidR="009A0847">
        <w:t xml:space="preserve"> </w:t>
      </w:r>
      <w:r w:rsidR="00CE5AF9">
        <w:t>(rows</w:t>
      </w:r>
      <w:r w:rsidR="009A0847">
        <w:t xml:space="preserve"> </w:t>
      </w:r>
      <w:r w:rsidR="008504BA">
        <w:t>4</w:t>
      </w:r>
      <w:r w:rsidR="009A0847">
        <w:t xml:space="preserve"> </w:t>
      </w:r>
      <w:r w:rsidR="00CE5AF9">
        <w:t>and</w:t>
      </w:r>
      <w:r w:rsidR="009A0847">
        <w:t xml:space="preserve"> </w:t>
      </w:r>
      <w:r w:rsidR="008504BA">
        <w:t>5</w:t>
      </w:r>
      <w:r w:rsidR="00CE5AF9">
        <w:t>)</w:t>
      </w:r>
      <w:r w:rsidR="00CE5AF9" w:rsidRPr="001F02E1">
        <w:t>:</w:t>
      </w:r>
      <w:r w:rsidR="009A0847">
        <w:t xml:space="preserve"> </w:t>
      </w:r>
      <w:r w:rsidR="00CE5AF9" w:rsidRPr="001F02E1">
        <w:t>An</w:t>
      </w:r>
      <w:r w:rsidR="009A0847">
        <w:t xml:space="preserve"> </w:t>
      </w:r>
      <w:r w:rsidR="00CE5AF9" w:rsidRPr="001F02E1">
        <w:t>investor</w:t>
      </w:r>
      <w:r w:rsidR="009A0847">
        <w:t xml:space="preserve"> </w:t>
      </w:r>
      <w:r w:rsidR="00CE5AF9">
        <w:t>who</w:t>
      </w:r>
      <w:r w:rsidR="009A0847">
        <w:t xml:space="preserve"> </w:t>
      </w:r>
      <w:r w:rsidR="00CE5AF9" w:rsidRPr="001F02E1">
        <w:t>funds</w:t>
      </w:r>
      <w:r w:rsidR="009A0847">
        <w:t xml:space="preserve"> </w:t>
      </w:r>
      <w:r w:rsidR="00CE5AF9" w:rsidRPr="001F02E1">
        <w:t>a</w:t>
      </w:r>
      <w:r w:rsidR="009A0847">
        <w:t xml:space="preserve"> </w:t>
      </w:r>
      <w:r w:rsidR="00CE5AF9" w:rsidRPr="001F02E1">
        <w:t>bank</w:t>
      </w:r>
      <w:r w:rsidR="009A0847">
        <w:t xml:space="preserve"> </w:t>
      </w:r>
      <w:r w:rsidR="00CE5AF9" w:rsidRPr="001F02E1">
        <w:t>detected</w:t>
      </w:r>
      <w:r w:rsidR="009A0847">
        <w:t xml:space="preserve"> </w:t>
      </w:r>
      <w:r w:rsidR="00CE5AF9" w:rsidRPr="001F02E1">
        <w:t>(</w:t>
      </w:r>
      <w:r w:rsidR="00CE5AF9">
        <w:t>respectively,</w:t>
      </w:r>
      <w:r w:rsidR="009A0847">
        <w:t xml:space="preserve"> </w:t>
      </w:r>
      <w:r w:rsidR="00CE5AF9" w:rsidRPr="001F02E1">
        <w:t>not</w:t>
      </w:r>
      <w:r w:rsidR="009A0847">
        <w:t xml:space="preserve"> </w:t>
      </w:r>
      <w:r w:rsidR="00CE5AF9" w:rsidRPr="001F02E1">
        <w:t>detected)</w:t>
      </w:r>
      <w:r w:rsidR="009A0847">
        <w:t xml:space="preserve"> </w:t>
      </w:r>
      <w:r w:rsidR="00CE5AF9" w:rsidRPr="001F02E1">
        <w:t>at</w:t>
      </w:r>
      <w:r w:rsidR="009A0847">
        <w:t xml:space="preserve"> </w:t>
      </w:r>
      <w:r w:rsidR="00CE5AF9" w:rsidRPr="001F02E1">
        <w:t>the</w:t>
      </w:r>
      <w:r w:rsidR="009A0847">
        <w:t xml:space="preserve"> </w:t>
      </w:r>
      <w:r w:rsidR="00CE5AF9" w:rsidRPr="001F02E1">
        <w:t>DW</w:t>
      </w:r>
      <w:r w:rsidR="009A0847">
        <w:t xml:space="preserve"> </w:t>
      </w:r>
      <w:r w:rsidR="00CE5AF9" w:rsidRPr="001F02E1">
        <w:t>is</w:t>
      </w:r>
      <w:r w:rsidR="009A0847">
        <w:t xml:space="preserve"> </w:t>
      </w:r>
      <w:r w:rsidR="00D8625E">
        <w:t>30</w:t>
      </w:r>
      <w:r w:rsidR="00CE5AF9" w:rsidRPr="001F02E1">
        <w:t>%</w:t>
      </w:r>
      <w:r w:rsidR="009A0847">
        <w:t xml:space="preserve"> </w:t>
      </w:r>
      <w:r w:rsidR="00CE5AF9" w:rsidRPr="001F02E1">
        <w:t>(</w:t>
      </w:r>
      <w:r w:rsidR="00CE5AF9">
        <w:t>respectively,</w:t>
      </w:r>
      <w:r w:rsidR="009A0847">
        <w:t xml:space="preserve"> </w:t>
      </w:r>
      <w:r w:rsidR="0025036C">
        <w:t>22</w:t>
      </w:r>
      <w:r w:rsidR="00CE5AF9" w:rsidRPr="001F02E1">
        <w:t>%)</w:t>
      </w:r>
      <w:r w:rsidR="009A0847">
        <w:t xml:space="preserve"> </w:t>
      </w:r>
      <w:r w:rsidR="00CE5AF9" w:rsidRPr="001F02E1">
        <w:t>more</w:t>
      </w:r>
      <w:r w:rsidR="009A0847">
        <w:t xml:space="preserve"> </w:t>
      </w:r>
      <w:r w:rsidR="00CE5AF9" w:rsidRPr="001F02E1">
        <w:t>likely</w:t>
      </w:r>
      <w:r w:rsidR="009A0847">
        <w:t xml:space="preserve"> </w:t>
      </w:r>
      <w:r w:rsidR="00CE5AF9" w:rsidRPr="001F02E1">
        <w:t>to</w:t>
      </w:r>
      <w:r w:rsidR="009A0847">
        <w:t xml:space="preserve"> </w:t>
      </w:r>
      <w:r w:rsidR="00CE5AF9" w:rsidRPr="001F02E1">
        <w:t>do</w:t>
      </w:r>
      <w:r w:rsidR="009A0847">
        <w:t xml:space="preserve"> </w:t>
      </w:r>
      <w:r w:rsidR="00CE5AF9" w:rsidRPr="001F02E1">
        <w:t>so</w:t>
      </w:r>
      <w:r w:rsidR="009A0847">
        <w:t xml:space="preserve"> </w:t>
      </w:r>
      <w:r w:rsidR="00CE5AF9" w:rsidRPr="001F02E1">
        <w:t>again</w:t>
      </w:r>
      <w:r w:rsidR="009A0847">
        <w:t xml:space="preserve"> </w:t>
      </w:r>
      <w:r w:rsidR="00CE5AF9" w:rsidRPr="001F02E1">
        <w:t>in</w:t>
      </w:r>
      <w:r w:rsidR="009A0847">
        <w:t xml:space="preserve"> </w:t>
      </w:r>
      <w:r w:rsidR="00CE5AF9" w:rsidRPr="001F02E1">
        <w:t>the</w:t>
      </w:r>
      <w:r w:rsidR="009A0847">
        <w:t xml:space="preserve"> </w:t>
      </w:r>
      <w:r w:rsidR="00CE5AF9" w:rsidRPr="001F02E1">
        <w:t>next</w:t>
      </w:r>
      <w:r w:rsidR="009A0847">
        <w:t xml:space="preserve"> </w:t>
      </w:r>
      <w:r w:rsidR="00CE5AF9" w:rsidRPr="001F02E1">
        <w:t>round.</w:t>
      </w:r>
    </w:p>
    <w:p w14:paraId="44903859" w14:textId="280601BC" w:rsidR="00AF2CC9" w:rsidRDefault="008504BA" w:rsidP="00F86E09">
      <w:pPr>
        <w:pStyle w:val="Olivier1"/>
        <w:widowControl w:val="0"/>
        <w:ind w:firstLine="360"/>
      </w:pPr>
      <w:r>
        <w:t>Rows</w:t>
      </w:r>
      <w:r w:rsidR="009A0847">
        <w:t xml:space="preserve"> </w:t>
      </w:r>
      <w:r>
        <w:t>6</w:t>
      </w:r>
      <w:r w:rsidR="009A0847">
        <w:t xml:space="preserve"> </w:t>
      </w:r>
      <w:r w:rsidR="00CE5AF9" w:rsidRPr="00A34AFC">
        <w:t>to</w:t>
      </w:r>
      <w:r w:rsidR="009A0847">
        <w:t xml:space="preserve"> </w:t>
      </w:r>
      <w:r>
        <w:t>9</w:t>
      </w:r>
      <w:r w:rsidR="009A0847">
        <w:t xml:space="preserve"> </w:t>
      </w:r>
      <w:r w:rsidR="00811E97">
        <w:t>relate</w:t>
      </w:r>
      <w:r w:rsidR="009A0847">
        <w:t xml:space="preserve"> </w:t>
      </w:r>
      <w:r w:rsidR="00811E97">
        <w:t>to</w:t>
      </w:r>
      <w:r w:rsidR="009A0847">
        <w:t xml:space="preserve"> </w:t>
      </w:r>
      <w:r w:rsidR="00CE5AF9" w:rsidRPr="00A34AFC">
        <w:t>the</w:t>
      </w:r>
      <w:r w:rsidR="009A0847">
        <w:t xml:space="preserve"> </w:t>
      </w:r>
      <w:r w:rsidR="00CE5AF9" w:rsidRPr="00A34AFC">
        <w:t>impact</w:t>
      </w:r>
      <w:r w:rsidR="009A0847">
        <w:t xml:space="preserve"> </w:t>
      </w:r>
      <w:r w:rsidR="00CE5AF9" w:rsidRPr="00A34AFC">
        <w:t>of</w:t>
      </w:r>
      <w:r w:rsidR="009A0847">
        <w:t xml:space="preserve"> </w:t>
      </w:r>
      <w:r w:rsidR="00CE5AF9" w:rsidRPr="00A34AFC">
        <w:t>private</w:t>
      </w:r>
      <w:r w:rsidR="009A0847">
        <w:t xml:space="preserve"> </w:t>
      </w:r>
      <w:r w:rsidR="00CE5AF9" w:rsidRPr="00A34AFC">
        <w:t>feedback.</w:t>
      </w:r>
      <w:r w:rsidR="009A0847">
        <w:t xml:space="preserve"> </w:t>
      </w:r>
      <w:r w:rsidR="00CE5AF9">
        <w:t>We</w:t>
      </w:r>
      <w:r w:rsidR="009A0847">
        <w:t xml:space="preserve"> </w:t>
      </w:r>
      <w:r w:rsidR="00CE5AF9">
        <w:t>find</w:t>
      </w:r>
      <w:r w:rsidR="009A0847">
        <w:t xml:space="preserve"> </w:t>
      </w:r>
      <w:r w:rsidR="00CE5AF9">
        <w:t>that</w:t>
      </w:r>
      <w:r w:rsidR="009A0847">
        <w:t xml:space="preserve"> </w:t>
      </w:r>
      <w:r w:rsidR="00CE5AF9" w:rsidRPr="00A34AFC">
        <w:t>investor</w:t>
      </w:r>
      <w:r w:rsidR="00AD17A9">
        <w:t>s</w:t>
      </w:r>
      <w:r w:rsidR="009A0847">
        <w:t xml:space="preserve"> </w:t>
      </w:r>
      <w:r w:rsidR="00CE5AF9">
        <w:t>react</w:t>
      </w:r>
      <w:r w:rsidR="009A0847">
        <w:t xml:space="preserve"> </w:t>
      </w:r>
      <w:r w:rsidR="00CE5AF9">
        <w:t>negatively</w:t>
      </w:r>
      <w:r w:rsidR="009A0847">
        <w:t xml:space="preserve"> </w:t>
      </w:r>
      <w:r w:rsidR="008C120C">
        <w:t>after</w:t>
      </w:r>
      <w:r w:rsidR="009A0847">
        <w:t xml:space="preserve"> </w:t>
      </w:r>
      <w:r w:rsidR="008C120C">
        <w:t>being</w:t>
      </w:r>
      <w:r w:rsidR="009A0847">
        <w:t xml:space="preserve"> </w:t>
      </w:r>
      <w:r w:rsidR="00CE5AF9">
        <w:t>matche</w:t>
      </w:r>
      <w:r>
        <w:t>d</w:t>
      </w:r>
      <w:r w:rsidR="009A0847">
        <w:t xml:space="preserve"> </w:t>
      </w:r>
      <w:r>
        <w:t>with</w:t>
      </w:r>
      <w:r w:rsidR="009A0847">
        <w:t xml:space="preserve"> </w:t>
      </w:r>
      <w:r>
        <w:t>an</w:t>
      </w:r>
      <w:r w:rsidR="009A0847">
        <w:t xml:space="preserve"> </w:t>
      </w:r>
      <w:r>
        <w:t>insolvent</w:t>
      </w:r>
      <w:r w:rsidR="009A0847">
        <w:t xml:space="preserve"> </w:t>
      </w:r>
      <w:r>
        <w:t>bank</w:t>
      </w:r>
      <w:r w:rsidR="009A0847">
        <w:t xml:space="preserve"> </w:t>
      </w:r>
      <w:r>
        <w:t>(rows</w:t>
      </w:r>
      <w:r w:rsidR="009A0847">
        <w:t xml:space="preserve"> </w:t>
      </w:r>
      <w:r>
        <w:t>7</w:t>
      </w:r>
      <w:r w:rsidR="009A0847">
        <w:t xml:space="preserve"> </w:t>
      </w:r>
      <w:r>
        <w:t>and</w:t>
      </w:r>
      <w:r w:rsidR="009A0847">
        <w:t xml:space="preserve"> </w:t>
      </w:r>
      <w:r>
        <w:t>9</w:t>
      </w:r>
      <w:r w:rsidR="00CE5AF9">
        <w:t>).</w:t>
      </w:r>
      <w:r w:rsidR="009A0847">
        <w:t xml:space="preserve"> </w:t>
      </w:r>
      <w:r w:rsidR="00CE5AF9">
        <w:t>Namely,</w:t>
      </w:r>
      <w:r w:rsidR="009A0847">
        <w:t xml:space="preserve"> </w:t>
      </w:r>
      <w:r w:rsidR="00CE5AF9">
        <w:t>when</w:t>
      </w:r>
      <w:r w:rsidR="009A0847">
        <w:t xml:space="preserve"> </w:t>
      </w:r>
      <w:r w:rsidR="00CE5AF9">
        <w:t>an</w:t>
      </w:r>
      <w:r w:rsidR="009A0847">
        <w:t xml:space="preserve"> </w:t>
      </w:r>
      <w:r w:rsidR="00CE5AF9">
        <w:t>investor</w:t>
      </w:r>
      <w:r w:rsidR="009A0847">
        <w:t xml:space="preserve"> </w:t>
      </w:r>
      <w:r w:rsidR="00CE5AF9">
        <w:t>funds</w:t>
      </w:r>
      <w:r w:rsidR="009A0847">
        <w:t xml:space="preserve"> </w:t>
      </w:r>
      <w:r w:rsidR="00CE5AF9" w:rsidRPr="00A34AFC">
        <w:t>a</w:t>
      </w:r>
      <w:r w:rsidR="009A0847">
        <w:t xml:space="preserve"> </w:t>
      </w:r>
      <w:r>
        <w:t>detected</w:t>
      </w:r>
      <w:r w:rsidR="009A0847">
        <w:t xml:space="preserve"> </w:t>
      </w:r>
      <w:r>
        <w:t>(respectively,</w:t>
      </w:r>
      <w:r w:rsidR="009A0847">
        <w:t xml:space="preserve"> </w:t>
      </w:r>
      <w:r>
        <w:t>un</w:t>
      </w:r>
      <w:r w:rsidR="00CE5AF9">
        <w:t>detected)</w:t>
      </w:r>
      <w:r w:rsidR="009A0847">
        <w:t xml:space="preserve"> </w:t>
      </w:r>
      <w:r w:rsidR="00CE5AF9" w:rsidRPr="00A34AFC">
        <w:t>bank</w:t>
      </w:r>
      <w:r w:rsidR="009A0847">
        <w:t xml:space="preserve"> </w:t>
      </w:r>
      <w:r w:rsidR="00D8625E">
        <w:t>which</w:t>
      </w:r>
      <w:r w:rsidR="009A0847">
        <w:t xml:space="preserve"> </w:t>
      </w:r>
      <w:r w:rsidR="00CE5AF9" w:rsidRPr="00A34AFC">
        <w:t>turns</w:t>
      </w:r>
      <w:r w:rsidR="009A0847">
        <w:t xml:space="preserve"> </w:t>
      </w:r>
      <w:r w:rsidR="00CE5AF9" w:rsidRPr="00A34AFC">
        <w:t>out</w:t>
      </w:r>
      <w:r w:rsidR="009A0847">
        <w:t xml:space="preserve"> </w:t>
      </w:r>
      <w:r w:rsidR="00CE5AF9" w:rsidRPr="00A34AFC">
        <w:t>to</w:t>
      </w:r>
      <w:r w:rsidR="009A0847">
        <w:t xml:space="preserve"> </w:t>
      </w:r>
      <w:r w:rsidR="00CE5AF9" w:rsidRPr="00A34AFC">
        <w:t>be</w:t>
      </w:r>
      <w:r w:rsidR="009A0847">
        <w:t xml:space="preserve"> </w:t>
      </w:r>
      <w:r w:rsidR="00CE5AF9" w:rsidRPr="00A34AFC">
        <w:t>insolvent,</w:t>
      </w:r>
      <w:r w:rsidR="009A0847">
        <w:t xml:space="preserve"> </w:t>
      </w:r>
      <w:r w:rsidR="00CE5AF9" w:rsidRPr="00A34AFC">
        <w:t>the</w:t>
      </w:r>
      <w:r w:rsidR="009A0847">
        <w:t xml:space="preserve"> </w:t>
      </w:r>
      <w:r w:rsidR="00CE5AF9" w:rsidRPr="00A34AFC">
        <w:t>investor</w:t>
      </w:r>
      <w:r w:rsidR="009A0847">
        <w:t xml:space="preserve"> </w:t>
      </w:r>
      <w:r w:rsidR="00CE5AF9" w:rsidRPr="00A34AFC">
        <w:t>is</w:t>
      </w:r>
      <w:r w:rsidR="009A0847">
        <w:t xml:space="preserve"> </w:t>
      </w:r>
      <w:r w:rsidR="0025036C">
        <w:t>27</w:t>
      </w:r>
      <w:r w:rsidR="00CE5AF9" w:rsidRPr="00A34AFC">
        <w:t>%</w:t>
      </w:r>
      <w:r w:rsidR="009A0847">
        <w:t xml:space="preserve"> </w:t>
      </w:r>
      <w:r w:rsidR="00CE5AF9" w:rsidRPr="00A34AFC">
        <w:t>(</w:t>
      </w:r>
      <w:r w:rsidR="00CE5AF9">
        <w:t>respectively,</w:t>
      </w:r>
      <w:r w:rsidR="009A0847">
        <w:t xml:space="preserve"> </w:t>
      </w:r>
      <w:r w:rsidR="00CE5AF9">
        <w:t>3</w:t>
      </w:r>
      <w:r w:rsidR="0025036C">
        <w:t>5</w:t>
      </w:r>
      <w:r w:rsidR="00CE5AF9">
        <w:t>%</w:t>
      </w:r>
      <w:r w:rsidR="00CE5AF9" w:rsidRPr="00A34AFC">
        <w:t>)</w:t>
      </w:r>
      <w:r w:rsidR="009A0847">
        <w:t xml:space="preserve"> </w:t>
      </w:r>
      <w:r w:rsidR="00CE5AF9">
        <w:t>less</w:t>
      </w:r>
      <w:r w:rsidR="009A0847">
        <w:t xml:space="preserve"> </w:t>
      </w:r>
      <w:r w:rsidR="00CE5AF9" w:rsidRPr="00A34AFC">
        <w:t>likely</w:t>
      </w:r>
      <w:r w:rsidR="009A0847">
        <w:t xml:space="preserve"> </w:t>
      </w:r>
      <w:r w:rsidR="00CE5AF9">
        <w:t>to</w:t>
      </w:r>
      <w:r w:rsidR="009A0847">
        <w:t xml:space="preserve"> </w:t>
      </w:r>
      <w:r w:rsidR="00CE5AF9">
        <w:t>do</w:t>
      </w:r>
      <w:r w:rsidR="009A0847">
        <w:t xml:space="preserve"> </w:t>
      </w:r>
      <w:r w:rsidR="00CE5AF9">
        <w:t>so</w:t>
      </w:r>
      <w:r w:rsidR="009A0847">
        <w:t xml:space="preserve"> </w:t>
      </w:r>
      <w:r w:rsidR="00CE5AF9">
        <w:t>again</w:t>
      </w:r>
      <w:r w:rsidR="009A0847">
        <w:t xml:space="preserve"> </w:t>
      </w:r>
      <w:r w:rsidR="00CE5AF9" w:rsidRPr="00A34AFC">
        <w:t>in</w:t>
      </w:r>
      <w:r w:rsidR="009A0847">
        <w:t xml:space="preserve"> </w:t>
      </w:r>
      <w:r w:rsidR="00CE5AF9" w:rsidRPr="00A34AFC">
        <w:t>the</w:t>
      </w:r>
      <w:r w:rsidR="009A0847">
        <w:t xml:space="preserve"> </w:t>
      </w:r>
      <w:r w:rsidR="00CE5AF9" w:rsidRPr="00A34AFC">
        <w:t>next</w:t>
      </w:r>
      <w:r w:rsidR="009A0847">
        <w:t xml:space="preserve"> </w:t>
      </w:r>
      <w:r w:rsidR="00CE5AF9" w:rsidRPr="00A34AFC">
        <w:t>round</w:t>
      </w:r>
      <w:r w:rsidR="00CE5AF9">
        <w:t>.</w:t>
      </w:r>
      <w:r w:rsidR="009A0847">
        <w:t xml:space="preserve"> </w:t>
      </w:r>
      <w:r w:rsidR="00CE5AF9">
        <w:t>Further,</w:t>
      </w:r>
      <w:r w:rsidR="009A0847">
        <w:t xml:space="preserve"> </w:t>
      </w:r>
      <w:r w:rsidR="00CE5AF9">
        <w:t>funding</w:t>
      </w:r>
      <w:r w:rsidR="009A0847">
        <w:t xml:space="preserve"> </w:t>
      </w:r>
      <w:r w:rsidR="00CE5AF9">
        <w:t>detected</w:t>
      </w:r>
      <w:r w:rsidR="009A0847">
        <w:t xml:space="preserve"> </w:t>
      </w:r>
      <w:r w:rsidR="00CE5AF9">
        <w:t>banks</w:t>
      </w:r>
      <w:r w:rsidR="009A0847">
        <w:t xml:space="preserve"> </w:t>
      </w:r>
      <w:r w:rsidR="00CE5AF9">
        <w:t>that</w:t>
      </w:r>
      <w:r w:rsidR="009A0847">
        <w:t xml:space="preserve"> </w:t>
      </w:r>
      <w:r w:rsidR="00CE5AF9">
        <w:t>turn</w:t>
      </w:r>
      <w:r w:rsidR="009A0847">
        <w:t xml:space="preserve"> </w:t>
      </w:r>
      <w:r w:rsidR="00CE5AF9">
        <w:t>out</w:t>
      </w:r>
      <w:r w:rsidR="009A0847">
        <w:t xml:space="preserve"> </w:t>
      </w:r>
      <w:r w:rsidR="00CE5AF9">
        <w:t>to</w:t>
      </w:r>
      <w:r w:rsidR="009A0847">
        <w:t xml:space="preserve"> </w:t>
      </w:r>
      <w:r w:rsidR="00CE5AF9">
        <w:t>be</w:t>
      </w:r>
      <w:r w:rsidR="009A0847">
        <w:t xml:space="preserve"> </w:t>
      </w:r>
      <w:r w:rsidR="00CE5AF9">
        <w:t>solvent</w:t>
      </w:r>
      <w:r w:rsidR="009A0847">
        <w:t xml:space="preserve"> </w:t>
      </w:r>
      <w:r w:rsidR="00CE5AF9">
        <w:t>promotes</w:t>
      </w:r>
      <w:r w:rsidR="009A0847">
        <w:t xml:space="preserve"> </w:t>
      </w:r>
      <w:r w:rsidR="00CE5AF9">
        <w:t>future</w:t>
      </w:r>
      <w:r w:rsidR="009A0847">
        <w:t xml:space="preserve"> </w:t>
      </w:r>
      <w:r w:rsidR="00CE5AF9">
        <w:t>funding</w:t>
      </w:r>
      <w:r w:rsidR="009A0847">
        <w:t xml:space="preserve"> </w:t>
      </w:r>
      <w:r w:rsidR="00CE5AF9">
        <w:t>of</w:t>
      </w:r>
      <w:r w:rsidR="009A0847">
        <w:t xml:space="preserve"> </w:t>
      </w:r>
      <w:r w:rsidR="00CE5AF9">
        <w:t>detected</w:t>
      </w:r>
      <w:r w:rsidR="009A0847">
        <w:t xml:space="preserve"> </w:t>
      </w:r>
      <w:r w:rsidR="00CE5AF9">
        <w:t>banks</w:t>
      </w:r>
      <w:r w:rsidR="009A0847">
        <w:t xml:space="preserve"> </w:t>
      </w:r>
      <w:r w:rsidR="00CE5AF9">
        <w:t>(row</w:t>
      </w:r>
      <w:r w:rsidR="009A0847">
        <w:t xml:space="preserve"> </w:t>
      </w:r>
      <w:r>
        <w:t>6</w:t>
      </w:r>
      <w:r w:rsidR="00CE5AF9">
        <w:t>).</w:t>
      </w:r>
      <w:r w:rsidR="009A0847">
        <w:t xml:space="preserve"> </w:t>
      </w:r>
      <w:r w:rsidR="00CE5AF9">
        <w:t>This</w:t>
      </w:r>
      <w:r w:rsidR="009A0847">
        <w:t xml:space="preserve"> </w:t>
      </w:r>
      <w:r w:rsidR="00CE5AF9">
        <w:t>result</w:t>
      </w:r>
      <w:r w:rsidR="009A0847">
        <w:t xml:space="preserve"> </w:t>
      </w:r>
      <w:r w:rsidR="00CE5AF9">
        <w:t>explains</w:t>
      </w:r>
      <w:r w:rsidR="009A0847">
        <w:t xml:space="preserve"> </w:t>
      </w:r>
      <w:r w:rsidR="00CE5AF9">
        <w:t>why</w:t>
      </w:r>
      <w:r w:rsidR="009A0847">
        <w:t xml:space="preserve"> </w:t>
      </w:r>
      <w:r w:rsidR="00CE5AF9">
        <w:t>investors</w:t>
      </w:r>
      <w:r w:rsidR="009A0847">
        <w:t xml:space="preserve"> </w:t>
      </w:r>
      <w:r w:rsidR="00CE5AF9">
        <w:t>are</w:t>
      </w:r>
      <w:r w:rsidR="009A0847">
        <w:t xml:space="preserve"> </w:t>
      </w:r>
      <w:r w:rsidR="00CE5AF9">
        <w:t>more</w:t>
      </w:r>
      <w:r w:rsidR="009A0847">
        <w:t xml:space="preserve"> </w:t>
      </w:r>
      <w:r w:rsidR="00CE5AF9">
        <w:t>prone</w:t>
      </w:r>
      <w:r w:rsidR="009A0847">
        <w:t xml:space="preserve"> </w:t>
      </w:r>
      <w:r w:rsidR="00CE5AF9">
        <w:t>to</w:t>
      </w:r>
      <w:r w:rsidR="009A0847">
        <w:t xml:space="preserve"> </w:t>
      </w:r>
      <w:r w:rsidR="00CE5AF9">
        <w:t>fund</w:t>
      </w:r>
      <w:r w:rsidR="009A0847">
        <w:t xml:space="preserve"> </w:t>
      </w:r>
      <w:r w:rsidR="00CE5AF9">
        <w:t>detected</w:t>
      </w:r>
      <w:r w:rsidR="009A0847">
        <w:t xml:space="preserve"> </w:t>
      </w:r>
      <w:r w:rsidR="00CE5AF9">
        <w:t>banks</w:t>
      </w:r>
      <w:r w:rsidR="009A0847">
        <w:t xml:space="preserve"> </w:t>
      </w:r>
      <w:r w:rsidR="00CE5AF9">
        <w:t>in</w:t>
      </w:r>
      <w:r w:rsidR="009A0847">
        <w:t xml:space="preserve"> </w:t>
      </w:r>
      <w:r w:rsidR="008C120C">
        <w:t>the</w:t>
      </w:r>
      <w:r w:rsidR="009A0847">
        <w:t xml:space="preserve"> </w:t>
      </w:r>
      <w:r w:rsidR="00C345EE">
        <w:t>random</w:t>
      </w:r>
      <w:r w:rsidR="009A0847">
        <w:t xml:space="preserve"> </w:t>
      </w:r>
      <w:r w:rsidR="008C120C">
        <w:t>borrowing</w:t>
      </w:r>
      <w:r w:rsidR="009A0847">
        <w:t xml:space="preserve"> </w:t>
      </w:r>
      <w:r w:rsidR="008C120C">
        <w:t>treatment</w:t>
      </w:r>
      <w:r w:rsidR="009A0847">
        <w:t xml:space="preserve"> </w:t>
      </w:r>
      <w:r w:rsidR="00CE5AF9">
        <w:t>(see</w:t>
      </w:r>
      <w:r w:rsidR="009A0847">
        <w:t xml:space="preserve"> </w:t>
      </w:r>
      <w:r w:rsidR="00CE5AF9">
        <w:t>Figure</w:t>
      </w:r>
      <w:r w:rsidR="009A0847">
        <w:t xml:space="preserve"> </w:t>
      </w:r>
      <w:r w:rsidR="008C120C">
        <w:t>3</w:t>
      </w:r>
      <w:r w:rsidR="00CE5AF9">
        <w:t>).</w:t>
      </w:r>
      <w:r w:rsidR="009A0847">
        <w:t xml:space="preserve"> </w:t>
      </w:r>
      <w:r w:rsidR="00CE5AF9">
        <w:t>Indeed,</w:t>
      </w:r>
      <w:r w:rsidR="009A0847">
        <w:t xml:space="preserve"> </w:t>
      </w:r>
      <w:r w:rsidR="00D8625E">
        <w:t xml:space="preserve">the random </w:t>
      </w:r>
      <w:r w:rsidR="00F30690">
        <w:t>selecti</w:t>
      </w:r>
      <w:r w:rsidR="00D8625E">
        <w:t>o</w:t>
      </w:r>
      <w:r w:rsidR="00F30690">
        <w:t>n</w:t>
      </w:r>
      <w:r w:rsidR="00D8625E">
        <w:t xml:space="preserve"> process</w:t>
      </w:r>
      <w:r w:rsidR="009A0847">
        <w:t xml:space="preserve"> </w:t>
      </w:r>
      <w:r w:rsidR="00F30690">
        <w:t>makes</w:t>
      </w:r>
      <w:r w:rsidR="009A0847">
        <w:t xml:space="preserve"> </w:t>
      </w:r>
      <w:r w:rsidR="00F30690">
        <w:t>it</w:t>
      </w:r>
      <w:r w:rsidR="009A0847">
        <w:t xml:space="preserve"> </w:t>
      </w:r>
      <w:r w:rsidR="00F30690">
        <w:t>more</w:t>
      </w:r>
      <w:r w:rsidR="009A0847">
        <w:t xml:space="preserve"> </w:t>
      </w:r>
      <w:r w:rsidR="00F30690">
        <w:t>likely</w:t>
      </w:r>
      <w:r w:rsidR="009A0847">
        <w:t xml:space="preserve"> </w:t>
      </w:r>
      <w:r w:rsidR="00F30690">
        <w:t>that</w:t>
      </w:r>
      <w:r w:rsidR="009A0847">
        <w:t xml:space="preserve"> </w:t>
      </w:r>
      <w:r w:rsidR="00CE5AF9">
        <w:t>detected</w:t>
      </w:r>
      <w:r w:rsidR="009A0847">
        <w:t xml:space="preserve"> </w:t>
      </w:r>
      <w:r w:rsidR="00CE5AF9">
        <w:t>banks</w:t>
      </w:r>
      <w:r w:rsidR="009A0847">
        <w:t xml:space="preserve"> </w:t>
      </w:r>
      <w:r w:rsidR="00F30690">
        <w:t>are</w:t>
      </w:r>
      <w:r w:rsidR="009A0847">
        <w:t xml:space="preserve"> </w:t>
      </w:r>
      <w:r w:rsidR="00CE5AF9">
        <w:t>solvent.</w:t>
      </w:r>
      <w:r w:rsidR="009A0847">
        <w:t xml:space="preserve"> </w:t>
      </w:r>
    </w:p>
    <w:p w14:paraId="3F2B0B00" w14:textId="494C6303" w:rsidR="00CE5AF9" w:rsidRDefault="00811E97" w:rsidP="004863D2">
      <w:pPr>
        <w:pStyle w:val="Olivier1"/>
        <w:widowControl w:val="0"/>
        <w:spacing w:after="0"/>
        <w:ind w:firstLine="360"/>
      </w:pPr>
      <w:r>
        <w:t>T</w:t>
      </w:r>
      <w:r w:rsidR="00CE5AF9" w:rsidRPr="0007606F">
        <w:t>he</w:t>
      </w:r>
      <w:r w:rsidR="009A0847">
        <w:t xml:space="preserve"> </w:t>
      </w:r>
      <w:r w:rsidR="00CE5AF9" w:rsidRPr="0007606F">
        <w:t>impact</w:t>
      </w:r>
      <w:r w:rsidR="009A0847">
        <w:t xml:space="preserve"> </w:t>
      </w:r>
      <w:r w:rsidR="00CE5AF9" w:rsidRPr="0007606F">
        <w:t>of</w:t>
      </w:r>
      <w:r w:rsidR="009A0847">
        <w:t xml:space="preserve"> </w:t>
      </w:r>
      <w:r w:rsidR="00CE5AF9" w:rsidRPr="0007606F">
        <w:t>public</w:t>
      </w:r>
      <w:r w:rsidR="009A0847">
        <w:t xml:space="preserve"> </w:t>
      </w:r>
      <w:r w:rsidR="00CE5AF9" w:rsidRPr="0007606F">
        <w:t>feedback</w:t>
      </w:r>
      <w:r w:rsidR="009A0847">
        <w:t xml:space="preserve"> </w:t>
      </w:r>
      <w:r>
        <w:t>is</w:t>
      </w:r>
      <w:r w:rsidR="009A0847">
        <w:t xml:space="preserve"> </w:t>
      </w:r>
      <w:r>
        <w:t>shown</w:t>
      </w:r>
      <w:r w:rsidR="009A0847">
        <w:t xml:space="preserve"> </w:t>
      </w:r>
      <w:r>
        <w:t>in</w:t>
      </w:r>
      <w:r w:rsidR="009A0847">
        <w:t xml:space="preserve"> </w:t>
      </w:r>
      <w:r>
        <w:t>r</w:t>
      </w:r>
      <w:r w:rsidRPr="0007606F">
        <w:t>ows</w:t>
      </w:r>
      <w:r w:rsidR="009A0847">
        <w:t xml:space="preserve"> </w:t>
      </w:r>
      <w:r w:rsidR="00F30690">
        <w:t>10</w:t>
      </w:r>
      <w:r w:rsidR="009A0847">
        <w:t xml:space="preserve"> </w:t>
      </w:r>
      <w:r w:rsidRPr="0007606F">
        <w:t>to</w:t>
      </w:r>
      <w:r w:rsidR="009A0847">
        <w:t xml:space="preserve"> </w:t>
      </w:r>
      <w:r w:rsidRPr="0007606F">
        <w:t>1</w:t>
      </w:r>
      <w:r w:rsidR="00F30690">
        <w:t>4</w:t>
      </w:r>
      <w:r w:rsidR="00CE5AF9" w:rsidRPr="0007606F">
        <w:t>.</w:t>
      </w:r>
      <w:r w:rsidR="009A0847">
        <w:t xml:space="preserve"> </w:t>
      </w:r>
      <w:r w:rsidR="00CE5AF9">
        <w:t>Similar</w:t>
      </w:r>
      <w:r w:rsidR="009A0847">
        <w:t xml:space="preserve"> </w:t>
      </w:r>
      <w:r w:rsidR="00CE5AF9">
        <w:t>to</w:t>
      </w:r>
      <w:r w:rsidR="009A0847">
        <w:t xml:space="preserve"> </w:t>
      </w:r>
      <w:r w:rsidR="00CE5AF9">
        <w:t>the</w:t>
      </w:r>
      <w:r w:rsidR="009A0847">
        <w:t xml:space="preserve"> </w:t>
      </w:r>
      <w:r w:rsidR="00CE5AF9">
        <w:t>banks</w:t>
      </w:r>
      <w:r w:rsidR="00CE5AF9" w:rsidRPr="00B72266">
        <w:t>,</w:t>
      </w:r>
      <w:r w:rsidR="009A0847">
        <w:t xml:space="preserve"> </w:t>
      </w:r>
      <w:r w:rsidR="00CE5AF9" w:rsidRPr="00390575">
        <w:t>we</w:t>
      </w:r>
      <w:r w:rsidR="009A0847">
        <w:t xml:space="preserve"> </w:t>
      </w:r>
      <w:r w:rsidR="00CE5AF9" w:rsidRPr="00390575">
        <w:t>find</w:t>
      </w:r>
      <w:r w:rsidR="009A0847">
        <w:t xml:space="preserve"> </w:t>
      </w:r>
      <w:r w:rsidR="00CE5AF9" w:rsidRPr="00390575">
        <w:t>that</w:t>
      </w:r>
      <w:r w:rsidR="009A0847">
        <w:t xml:space="preserve"> </w:t>
      </w:r>
      <w:r w:rsidR="00CE5AF9" w:rsidRPr="00390575">
        <w:t>the</w:t>
      </w:r>
      <w:r w:rsidR="009A0847">
        <w:t xml:space="preserve"> </w:t>
      </w:r>
      <w:r w:rsidR="00CE5AF9" w:rsidRPr="00390575">
        <w:t>detection</w:t>
      </w:r>
      <w:r w:rsidR="009A0847">
        <w:t xml:space="preserve"> </w:t>
      </w:r>
      <w:r w:rsidR="00CE5AF9" w:rsidRPr="00390575">
        <w:t>probability</w:t>
      </w:r>
      <w:r w:rsidR="009A0847">
        <w:t xml:space="preserve"> </w:t>
      </w:r>
      <w:r w:rsidR="00CE5AF9" w:rsidRPr="00390575">
        <w:t>in</w:t>
      </w:r>
      <w:r w:rsidR="009A0847">
        <w:t xml:space="preserve"> </w:t>
      </w:r>
      <w:r w:rsidR="00CE5AF9" w:rsidRPr="00390575">
        <w:t>the</w:t>
      </w:r>
      <w:r w:rsidR="009A0847">
        <w:t xml:space="preserve"> </w:t>
      </w:r>
      <w:r w:rsidR="00CE5AF9" w:rsidRPr="00390575">
        <w:t>previous</w:t>
      </w:r>
      <w:r w:rsidR="009A0847">
        <w:t xml:space="preserve"> </w:t>
      </w:r>
      <w:r w:rsidR="00CE5AF9" w:rsidRPr="00390575">
        <w:t>round</w:t>
      </w:r>
      <w:r w:rsidR="009A0847">
        <w:t xml:space="preserve"> </w:t>
      </w:r>
      <w:r w:rsidR="00CE5AF9" w:rsidRPr="00390575">
        <w:t>has</w:t>
      </w:r>
      <w:r w:rsidR="009A0847">
        <w:t xml:space="preserve"> </w:t>
      </w:r>
      <w:r w:rsidR="00CE5AF9" w:rsidRPr="00390575">
        <w:t>no</w:t>
      </w:r>
      <w:r w:rsidR="009A0847">
        <w:t xml:space="preserve"> </w:t>
      </w:r>
      <w:r w:rsidR="00CE5AF9" w:rsidRPr="00390575">
        <w:t>significant</w:t>
      </w:r>
      <w:r w:rsidR="009A0847">
        <w:t xml:space="preserve"> </w:t>
      </w:r>
      <w:r w:rsidR="00CE5AF9" w:rsidRPr="00390575">
        <w:t>influence</w:t>
      </w:r>
      <w:r w:rsidR="009A0847">
        <w:t xml:space="preserve"> </w:t>
      </w:r>
      <w:r w:rsidR="00CE5AF9" w:rsidRPr="00390575">
        <w:t>o</w:t>
      </w:r>
      <w:r w:rsidR="00F30690">
        <w:t>n</w:t>
      </w:r>
      <w:r w:rsidR="009A0847">
        <w:t xml:space="preserve"> </w:t>
      </w:r>
      <w:r w:rsidR="00F30690">
        <w:t>the</w:t>
      </w:r>
      <w:r w:rsidR="009A0847">
        <w:t xml:space="preserve"> </w:t>
      </w:r>
      <w:r w:rsidR="00F30690">
        <w:t>investors’</w:t>
      </w:r>
      <w:r w:rsidR="009A0847">
        <w:t xml:space="preserve"> </w:t>
      </w:r>
      <w:r w:rsidR="00F30690">
        <w:t>behavior</w:t>
      </w:r>
      <w:r w:rsidR="009A0847">
        <w:t xml:space="preserve"> </w:t>
      </w:r>
      <w:r w:rsidR="00F30690">
        <w:t>(row</w:t>
      </w:r>
      <w:r w:rsidR="009A0847">
        <w:t xml:space="preserve"> </w:t>
      </w:r>
      <w:r w:rsidR="00F30690">
        <w:t>10</w:t>
      </w:r>
      <w:r w:rsidR="00CE5AF9" w:rsidRPr="00390575">
        <w:t>).</w:t>
      </w:r>
      <w:r w:rsidR="009A0847">
        <w:t xml:space="preserve"> </w:t>
      </w:r>
      <w:r w:rsidR="00CE5AF9" w:rsidRPr="00390575">
        <w:t>However,</w:t>
      </w:r>
      <w:r w:rsidR="009A0847">
        <w:t xml:space="preserve"> </w:t>
      </w:r>
      <w:r w:rsidR="00CE5AF9" w:rsidRPr="00390575">
        <w:t>unlike</w:t>
      </w:r>
      <w:r w:rsidR="009A0847">
        <w:t xml:space="preserve"> </w:t>
      </w:r>
      <w:r w:rsidR="00CE5AF9" w:rsidRPr="00390575">
        <w:t>banks</w:t>
      </w:r>
      <w:r w:rsidR="009A0847">
        <w:t xml:space="preserve"> </w:t>
      </w:r>
      <w:r w:rsidR="00CE5AF9" w:rsidRPr="00390575">
        <w:t>(who</w:t>
      </w:r>
      <w:r w:rsidR="009A0847">
        <w:t xml:space="preserve"> </w:t>
      </w:r>
      <w:r w:rsidR="00CE5AF9" w:rsidRPr="00390575">
        <w:t>have</w:t>
      </w:r>
      <w:r w:rsidR="009A0847">
        <w:t xml:space="preserve"> </w:t>
      </w:r>
      <w:r w:rsidR="00CE5AF9" w:rsidRPr="00390575">
        <w:t>a</w:t>
      </w:r>
      <w:r w:rsidR="009A0847">
        <w:t xml:space="preserve"> </w:t>
      </w:r>
      <w:r w:rsidR="00CE5AF9" w:rsidRPr="00390575">
        <w:t>clear</w:t>
      </w:r>
      <w:r w:rsidR="009A0847">
        <w:t xml:space="preserve"> </w:t>
      </w:r>
      <w:r w:rsidR="00CE5AF9" w:rsidRPr="00390575">
        <w:t>incentive</w:t>
      </w:r>
      <w:r w:rsidR="009A0847">
        <w:t xml:space="preserve"> </w:t>
      </w:r>
      <w:r w:rsidR="00CE5AF9" w:rsidRPr="00390575">
        <w:t>to</w:t>
      </w:r>
      <w:r w:rsidR="009A0847">
        <w:t xml:space="preserve"> </w:t>
      </w:r>
      <w:r w:rsidR="00CE5AF9" w:rsidRPr="00390575">
        <w:t>coordinate),</w:t>
      </w:r>
      <w:r w:rsidR="009A0847">
        <w:t xml:space="preserve"> </w:t>
      </w:r>
      <w:r w:rsidR="00CE5AF9" w:rsidRPr="00390575">
        <w:t>we</w:t>
      </w:r>
      <w:r w:rsidR="009A0847">
        <w:t xml:space="preserve"> </w:t>
      </w:r>
      <w:r w:rsidR="00CE5AF9" w:rsidRPr="00390575">
        <w:t>do</w:t>
      </w:r>
      <w:r w:rsidR="009A0847">
        <w:t xml:space="preserve"> </w:t>
      </w:r>
      <w:r w:rsidR="00CE5AF9" w:rsidRPr="00390575">
        <w:t>not</w:t>
      </w:r>
      <w:r w:rsidR="009A0847">
        <w:t xml:space="preserve"> </w:t>
      </w:r>
      <w:r w:rsidR="00CE5AF9" w:rsidRPr="00390575">
        <w:t>find</w:t>
      </w:r>
      <w:r w:rsidR="009A0847">
        <w:t xml:space="preserve"> </w:t>
      </w:r>
      <w:r w:rsidR="00D8625E">
        <w:t>an</w:t>
      </w:r>
      <w:r w:rsidR="009A0847">
        <w:t xml:space="preserve"> </w:t>
      </w:r>
      <w:r w:rsidR="00CE5AF9" w:rsidRPr="00390575">
        <w:lastRenderedPageBreak/>
        <w:t>imitati</w:t>
      </w:r>
      <w:r w:rsidR="00F30690">
        <w:t>on</w:t>
      </w:r>
      <w:r w:rsidR="009A0847">
        <w:t xml:space="preserve"> </w:t>
      </w:r>
      <w:r w:rsidR="00F30690">
        <w:t>effect</w:t>
      </w:r>
      <w:r w:rsidR="009A0847">
        <w:t xml:space="preserve"> </w:t>
      </w:r>
      <w:r w:rsidR="00F30690">
        <w:t>for</w:t>
      </w:r>
      <w:r w:rsidR="009A0847">
        <w:t xml:space="preserve"> </w:t>
      </w:r>
      <w:r w:rsidR="00F30690">
        <w:t>investors</w:t>
      </w:r>
      <w:r w:rsidR="009A0847">
        <w:t xml:space="preserve"> </w:t>
      </w:r>
      <w:r w:rsidR="00F30690">
        <w:t>(rows</w:t>
      </w:r>
      <w:r w:rsidR="009A0847">
        <w:t xml:space="preserve"> </w:t>
      </w:r>
      <w:r w:rsidR="00F30690">
        <w:t>13</w:t>
      </w:r>
      <w:r w:rsidR="009A0847">
        <w:t xml:space="preserve"> </w:t>
      </w:r>
      <w:r w:rsidR="00CE5AF9" w:rsidRPr="00390575">
        <w:t>and</w:t>
      </w:r>
      <w:r w:rsidR="009A0847">
        <w:t xml:space="preserve"> </w:t>
      </w:r>
      <w:r w:rsidR="00CE5AF9" w:rsidRPr="00390575">
        <w:t>1</w:t>
      </w:r>
      <w:r w:rsidR="00F30690">
        <w:t>4</w:t>
      </w:r>
      <w:r w:rsidR="00CE5AF9" w:rsidRPr="00390575">
        <w:t>).</w:t>
      </w:r>
      <w:r w:rsidR="009A0847">
        <w:t xml:space="preserve"> </w:t>
      </w:r>
      <w:r w:rsidR="00CE5AF9" w:rsidRPr="00390575">
        <w:t>The</w:t>
      </w:r>
      <w:r w:rsidR="009A0847">
        <w:t xml:space="preserve"> </w:t>
      </w:r>
      <w:r w:rsidR="00CE5AF9" w:rsidRPr="00390575">
        <w:t>only</w:t>
      </w:r>
      <w:r w:rsidR="009A0847">
        <w:t xml:space="preserve"> </w:t>
      </w:r>
      <w:r w:rsidR="00CE5AF9" w:rsidRPr="00390575">
        <w:t>impact</w:t>
      </w:r>
      <w:r w:rsidR="009A0847">
        <w:t xml:space="preserve"> </w:t>
      </w:r>
      <w:r w:rsidR="00CE5AF9" w:rsidRPr="00390575">
        <w:t>of</w:t>
      </w:r>
      <w:r w:rsidR="009A0847">
        <w:t xml:space="preserve"> </w:t>
      </w:r>
      <w:r w:rsidR="00CE5AF9" w:rsidRPr="00390575">
        <w:t>public</w:t>
      </w:r>
      <w:r w:rsidR="009A0847">
        <w:t xml:space="preserve"> </w:t>
      </w:r>
      <w:r w:rsidR="00CE5AF9" w:rsidRPr="00390575">
        <w:t>feedback</w:t>
      </w:r>
      <w:r w:rsidR="009A0847">
        <w:t xml:space="preserve"> </w:t>
      </w:r>
      <w:r w:rsidR="00CE5AF9" w:rsidRPr="00390575">
        <w:t>on</w:t>
      </w:r>
      <w:r w:rsidR="009A0847">
        <w:t xml:space="preserve"> </w:t>
      </w:r>
      <w:r w:rsidR="00CE5AF9" w:rsidRPr="00390575">
        <w:t>investors’</w:t>
      </w:r>
      <w:r w:rsidR="009A0847">
        <w:t xml:space="preserve"> </w:t>
      </w:r>
      <w:r w:rsidR="00CE5AF9" w:rsidRPr="00390575">
        <w:t>behavior</w:t>
      </w:r>
      <w:r w:rsidR="009A0847">
        <w:t xml:space="preserve"> </w:t>
      </w:r>
      <w:r w:rsidR="00CE5AF9" w:rsidRPr="00390575">
        <w:t>is</w:t>
      </w:r>
      <w:r w:rsidR="009A0847">
        <w:t xml:space="preserve"> </w:t>
      </w:r>
      <w:r w:rsidR="00CE5AF9" w:rsidRPr="00390575">
        <w:t>from</w:t>
      </w:r>
      <w:r w:rsidR="009A0847">
        <w:t xml:space="preserve"> </w:t>
      </w:r>
      <w:r w:rsidR="00CE5AF9" w:rsidRPr="00390575">
        <w:t>the</w:t>
      </w:r>
      <w:r w:rsidR="009A0847">
        <w:t xml:space="preserve"> </w:t>
      </w:r>
      <w:r w:rsidR="00CE5AF9" w:rsidRPr="00390575">
        <w:t>percentage</w:t>
      </w:r>
      <w:r w:rsidR="009A0847">
        <w:t xml:space="preserve"> </w:t>
      </w:r>
      <w:r w:rsidR="00CE5AF9" w:rsidRPr="00390575">
        <w:t>of</w:t>
      </w:r>
      <w:r w:rsidR="009A0847">
        <w:t xml:space="preserve"> </w:t>
      </w:r>
      <w:r w:rsidR="0025036C">
        <w:t xml:space="preserve">illiquid </w:t>
      </w:r>
      <w:r w:rsidR="00CE5AF9" w:rsidRPr="00390575">
        <w:t>banks</w:t>
      </w:r>
      <w:r w:rsidR="009A0847">
        <w:t xml:space="preserve"> </w:t>
      </w:r>
      <w:r w:rsidR="00CE5AF9" w:rsidRPr="00390575">
        <w:t>that</w:t>
      </w:r>
      <w:r w:rsidR="009A0847">
        <w:t xml:space="preserve"> </w:t>
      </w:r>
      <w:r w:rsidR="00CE5AF9" w:rsidRPr="00390575">
        <w:t>chose</w:t>
      </w:r>
      <w:r w:rsidR="009A0847">
        <w:t xml:space="preserve"> </w:t>
      </w:r>
      <w:r w:rsidR="00CE5AF9" w:rsidRPr="00390575">
        <w:t>to</w:t>
      </w:r>
      <w:r w:rsidR="009A0847">
        <w:t xml:space="preserve"> </w:t>
      </w:r>
      <w:r w:rsidR="00CE5AF9" w:rsidRPr="00390575">
        <w:t>borrow</w:t>
      </w:r>
      <w:r w:rsidR="009A0847">
        <w:t xml:space="preserve"> </w:t>
      </w:r>
      <w:r w:rsidR="00CE5AF9" w:rsidRPr="00390575">
        <w:t>at</w:t>
      </w:r>
      <w:r w:rsidR="009A0847">
        <w:t xml:space="preserve"> </w:t>
      </w:r>
      <w:r w:rsidR="00CE5AF9" w:rsidRPr="00390575">
        <w:t>the</w:t>
      </w:r>
      <w:r w:rsidR="009A0847">
        <w:t xml:space="preserve"> </w:t>
      </w:r>
      <w:r w:rsidR="00CE5AF9" w:rsidRPr="00390575">
        <w:t>DW</w:t>
      </w:r>
      <w:r w:rsidR="009A0847">
        <w:t xml:space="preserve"> </w:t>
      </w:r>
      <w:r w:rsidR="00CE5AF9" w:rsidRPr="00390575">
        <w:t>when</w:t>
      </w:r>
      <w:r w:rsidR="009A0847">
        <w:t xml:space="preserve"> </w:t>
      </w:r>
      <w:r w:rsidR="00F30690">
        <w:t>solvent</w:t>
      </w:r>
      <w:r w:rsidR="009A0847">
        <w:t xml:space="preserve"> </w:t>
      </w:r>
      <w:r w:rsidR="00F30690">
        <w:t>(row</w:t>
      </w:r>
      <w:r w:rsidR="009A0847">
        <w:t xml:space="preserve"> </w:t>
      </w:r>
      <w:r w:rsidR="0025036C">
        <w:t>11</w:t>
      </w:r>
      <w:r w:rsidR="00CE5AF9" w:rsidRPr="00390575">
        <w:t>).</w:t>
      </w:r>
      <w:r w:rsidR="009A0847">
        <w:t xml:space="preserve"> </w:t>
      </w:r>
      <w:r w:rsidR="00CE5AF9" w:rsidRPr="00390575">
        <w:t>Namely,</w:t>
      </w:r>
      <w:r w:rsidR="009A0847">
        <w:t xml:space="preserve"> </w:t>
      </w:r>
      <w:r w:rsidR="00CE5AF9" w:rsidRPr="00390575">
        <w:t>investors</w:t>
      </w:r>
      <w:r w:rsidR="009A0847">
        <w:t xml:space="preserve"> </w:t>
      </w:r>
      <w:r w:rsidR="00F30690">
        <w:t>tend</w:t>
      </w:r>
      <w:r w:rsidR="009A0847">
        <w:t xml:space="preserve"> </w:t>
      </w:r>
      <w:r w:rsidR="00CE5AF9" w:rsidRPr="00390575">
        <w:t>to</w:t>
      </w:r>
      <w:r w:rsidR="009A0847">
        <w:t xml:space="preserve"> </w:t>
      </w:r>
      <w:r w:rsidR="00CE5AF9" w:rsidRPr="00390575">
        <w:t>fund</w:t>
      </w:r>
      <w:r w:rsidR="009A0847">
        <w:t xml:space="preserve"> </w:t>
      </w:r>
      <w:r w:rsidR="00CE5AF9" w:rsidRPr="00390575">
        <w:t>detected</w:t>
      </w:r>
      <w:r w:rsidR="009A0847">
        <w:t xml:space="preserve"> </w:t>
      </w:r>
      <w:r w:rsidR="00CE5AF9" w:rsidRPr="00390575">
        <w:t>banks</w:t>
      </w:r>
      <w:r w:rsidR="009A0847">
        <w:t xml:space="preserve"> </w:t>
      </w:r>
      <w:r w:rsidR="00CE5AF9" w:rsidRPr="00390575">
        <w:t>when</w:t>
      </w:r>
      <w:r w:rsidR="009A0847">
        <w:t xml:space="preserve"> </w:t>
      </w:r>
      <w:r w:rsidR="00D8625E">
        <w:t>they</w:t>
      </w:r>
      <w:r w:rsidR="009A0847">
        <w:t xml:space="preserve"> </w:t>
      </w:r>
      <w:r w:rsidR="00CE5AF9" w:rsidRPr="00390575">
        <w:t>are</w:t>
      </w:r>
      <w:r w:rsidR="009A0847">
        <w:t xml:space="preserve"> </w:t>
      </w:r>
      <w:r w:rsidR="00CE5AF9" w:rsidRPr="00390575">
        <w:t>more</w:t>
      </w:r>
      <w:r w:rsidR="009A0847">
        <w:t xml:space="preserve"> </w:t>
      </w:r>
      <w:r w:rsidR="00CE5AF9" w:rsidRPr="00390575">
        <w:t>likely</w:t>
      </w:r>
      <w:r w:rsidR="009A0847">
        <w:t xml:space="preserve"> </w:t>
      </w:r>
      <w:r w:rsidR="00CE5AF9" w:rsidRPr="00390575">
        <w:t>to</w:t>
      </w:r>
      <w:r w:rsidR="009A0847">
        <w:t xml:space="preserve"> </w:t>
      </w:r>
      <w:r w:rsidR="00CE5AF9" w:rsidRPr="00390575">
        <w:t>be</w:t>
      </w:r>
      <w:r w:rsidR="009A0847">
        <w:t xml:space="preserve"> </w:t>
      </w:r>
      <w:r w:rsidR="00CE5AF9" w:rsidRPr="00643A59">
        <w:t>solvent.</w:t>
      </w:r>
      <w:r w:rsidR="009A0847">
        <w:t xml:space="preserve"> </w:t>
      </w:r>
    </w:p>
    <w:p w14:paraId="18602BD9" w14:textId="77777777" w:rsidR="004863D2" w:rsidRPr="00DB1E85" w:rsidRDefault="004863D2" w:rsidP="004863D2">
      <w:pPr>
        <w:rPr>
          <w:sz w:val="4"/>
          <w:szCs w:val="4"/>
        </w:rPr>
      </w:pPr>
    </w:p>
    <w:p w14:paraId="3C7EEBFD" w14:textId="77777777" w:rsidR="004863D2" w:rsidRPr="00DB1E85" w:rsidRDefault="004863D2" w:rsidP="004863D2">
      <w:pPr>
        <w:rPr>
          <w:sz w:val="2"/>
          <w:szCs w:val="2"/>
        </w:rPr>
      </w:pPr>
    </w:p>
    <w:tbl>
      <w:tblPr>
        <w:tblStyle w:val="TableGrid"/>
        <w:tblW w:w="9959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450"/>
        <w:gridCol w:w="1859"/>
        <w:gridCol w:w="1530"/>
        <w:gridCol w:w="1080"/>
        <w:gridCol w:w="990"/>
        <w:gridCol w:w="1080"/>
        <w:gridCol w:w="990"/>
        <w:gridCol w:w="990"/>
        <w:gridCol w:w="990"/>
      </w:tblGrid>
      <w:tr w:rsidR="004863D2" w:rsidRPr="00DB1E85" w14:paraId="0D3C16BA" w14:textId="77777777" w:rsidTr="00D8625E">
        <w:tc>
          <w:tcPr>
            <w:tcW w:w="995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301FAD" w14:textId="77777777" w:rsidR="004863D2" w:rsidRPr="00DB1E85" w:rsidRDefault="004863D2" w:rsidP="00D8625E">
            <w:pPr>
              <w:jc w:val="center"/>
              <w:rPr>
                <w:b/>
              </w:rPr>
            </w:pPr>
            <w:r w:rsidRPr="00DB1E85">
              <w:rPr>
                <w:b/>
              </w:rPr>
              <w:t>Table</w:t>
            </w:r>
            <w:r>
              <w:rPr>
                <w:b/>
              </w:rPr>
              <w:t xml:space="preserve"> 4</w:t>
            </w:r>
            <w:r w:rsidRPr="00DB1E85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DB1E85">
              <w:rPr>
                <w:b/>
              </w:rPr>
              <w:t>Panel</w:t>
            </w:r>
            <w:r>
              <w:rPr>
                <w:b/>
              </w:rPr>
              <w:t xml:space="preserve"> </w:t>
            </w:r>
            <w:r w:rsidRPr="00DB1E85">
              <w:rPr>
                <w:b/>
              </w:rPr>
              <w:t>Seemingly</w:t>
            </w:r>
            <w:r>
              <w:rPr>
                <w:b/>
              </w:rPr>
              <w:t xml:space="preserve"> </w:t>
            </w:r>
            <w:r w:rsidRPr="00DB1E85">
              <w:rPr>
                <w:b/>
              </w:rPr>
              <w:t>Unrelated</w:t>
            </w:r>
            <w:r>
              <w:rPr>
                <w:b/>
              </w:rPr>
              <w:t xml:space="preserve"> </w:t>
            </w:r>
            <w:r w:rsidRPr="00DB1E85">
              <w:rPr>
                <w:b/>
              </w:rPr>
              <w:t>Bivariate</w:t>
            </w:r>
            <w:r>
              <w:rPr>
                <w:b/>
              </w:rPr>
              <w:t xml:space="preserve"> </w:t>
            </w:r>
            <w:r w:rsidRPr="00DB1E85">
              <w:rPr>
                <w:b/>
              </w:rPr>
              <w:t>Probit</w:t>
            </w:r>
            <w:r>
              <w:rPr>
                <w:b/>
              </w:rPr>
              <w:t xml:space="preserve"> </w:t>
            </w:r>
            <w:r w:rsidRPr="00DB1E85">
              <w:rPr>
                <w:b/>
              </w:rPr>
              <w:t>for</w:t>
            </w:r>
            <w:r>
              <w:rPr>
                <w:b/>
              </w:rPr>
              <w:t xml:space="preserve"> </w:t>
            </w:r>
            <w:r w:rsidRPr="00DB1E85">
              <w:rPr>
                <w:b/>
              </w:rPr>
              <w:t>Investors’</w:t>
            </w:r>
            <w:r>
              <w:rPr>
                <w:b/>
              </w:rPr>
              <w:t xml:space="preserve"> </w:t>
            </w:r>
            <w:r w:rsidRPr="00DB1E85">
              <w:rPr>
                <w:b/>
              </w:rPr>
              <w:t>Funding</w:t>
            </w:r>
            <w:r>
              <w:rPr>
                <w:b/>
              </w:rPr>
              <w:t xml:space="preserve"> </w:t>
            </w:r>
            <w:r w:rsidRPr="00DB1E85">
              <w:rPr>
                <w:b/>
              </w:rPr>
              <w:t>Decisions</w:t>
            </w:r>
          </w:p>
        </w:tc>
      </w:tr>
      <w:tr w:rsidR="004863D2" w:rsidRPr="00DB1E85" w14:paraId="715D39EE" w14:textId="77777777" w:rsidTr="00D8625E">
        <w:trPr>
          <w:trHeight w:val="378"/>
        </w:trPr>
        <w:tc>
          <w:tcPr>
            <w:tcW w:w="383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540A02E" w14:textId="77777777" w:rsidR="004863D2" w:rsidRPr="005F66DE" w:rsidRDefault="004863D2" w:rsidP="00D8625E">
            <w:pPr>
              <w:rPr>
                <w:sz w:val="19"/>
                <w:szCs w:val="19"/>
              </w:rPr>
            </w:pPr>
          </w:p>
        </w:tc>
        <w:tc>
          <w:tcPr>
            <w:tcW w:w="207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B4DF0E9" w14:textId="77777777" w:rsidR="004863D2" w:rsidRPr="005F66DE" w:rsidRDefault="004863D2" w:rsidP="00D8625E">
            <w:pPr>
              <w:jc w:val="center"/>
              <w:rPr>
                <w:sz w:val="19"/>
                <w:szCs w:val="19"/>
              </w:rPr>
            </w:pPr>
            <w:r w:rsidRPr="005F66DE">
              <w:rPr>
                <w:sz w:val="19"/>
                <w:szCs w:val="19"/>
              </w:rPr>
              <w:t>Specification</w:t>
            </w:r>
            <w:r>
              <w:rPr>
                <w:sz w:val="19"/>
                <w:szCs w:val="19"/>
              </w:rPr>
              <w:t xml:space="preserve"> </w:t>
            </w:r>
            <w:r w:rsidRPr="005F66DE">
              <w:rPr>
                <w:sz w:val="19"/>
                <w:szCs w:val="19"/>
              </w:rPr>
              <w:t>1</w:t>
            </w:r>
          </w:p>
          <w:p w14:paraId="681FD935" w14:textId="77777777" w:rsidR="004863D2" w:rsidRPr="005F66DE" w:rsidRDefault="004863D2" w:rsidP="00D8625E">
            <w:pPr>
              <w:jc w:val="center"/>
              <w:rPr>
                <w:sz w:val="19"/>
                <w:szCs w:val="19"/>
              </w:rPr>
            </w:pPr>
            <w:r w:rsidRPr="005F66DE">
              <w:rPr>
                <w:sz w:val="19"/>
                <w:szCs w:val="19"/>
              </w:rPr>
              <w:t>The</w:t>
            </w:r>
            <w:r>
              <w:rPr>
                <w:sz w:val="19"/>
                <w:szCs w:val="19"/>
              </w:rPr>
              <w:t xml:space="preserve"> </w:t>
            </w:r>
            <w:r w:rsidRPr="005F66DE">
              <w:rPr>
                <w:sz w:val="19"/>
                <w:szCs w:val="19"/>
              </w:rPr>
              <w:t>Investor</w:t>
            </w:r>
            <w:r>
              <w:rPr>
                <w:sz w:val="19"/>
                <w:szCs w:val="19"/>
              </w:rPr>
              <w:t xml:space="preserve"> </w:t>
            </w:r>
            <w:r w:rsidRPr="005F66DE">
              <w:rPr>
                <w:sz w:val="19"/>
                <w:szCs w:val="19"/>
              </w:rPr>
              <w:t>fund</w:t>
            </w:r>
            <w:r>
              <w:rPr>
                <w:sz w:val="19"/>
                <w:szCs w:val="19"/>
              </w:rPr>
              <w:t xml:space="preserve"> </w:t>
            </w:r>
            <w:r w:rsidRPr="005F66DE">
              <w:rPr>
                <w:sz w:val="19"/>
                <w:szCs w:val="19"/>
              </w:rPr>
              <w:t>the</w:t>
            </w:r>
            <w:r>
              <w:rPr>
                <w:sz w:val="19"/>
                <w:szCs w:val="19"/>
              </w:rPr>
              <w:t xml:space="preserve"> </w:t>
            </w:r>
            <w:r w:rsidRPr="005F66DE">
              <w:rPr>
                <w:sz w:val="19"/>
                <w:szCs w:val="19"/>
              </w:rPr>
              <w:t>Bank</w:t>
            </w:r>
            <w:r>
              <w:rPr>
                <w:sz w:val="19"/>
                <w:szCs w:val="19"/>
              </w:rPr>
              <w:t xml:space="preserve"> </w:t>
            </w:r>
            <w:r w:rsidRPr="005F66DE">
              <w:rPr>
                <w:sz w:val="19"/>
                <w:szCs w:val="19"/>
              </w:rPr>
              <w:t>in</w:t>
            </w:r>
            <w:r>
              <w:rPr>
                <w:sz w:val="19"/>
                <w:szCs w:val="19"/>
              </w:rPr>
              <w:t xml:space="preserve"> </w:t>
            </w:r>
            <w:r w:rsidRPr="005F66DE">
              <w:rPr>
                <w:i/>
                <w:sz w:val="19"/>
                <w:szCs w:val="19"/>
              </w:rPr>
              <w:t>t</w:t>
            </w:r>
            <w:r>
              <w:rPr>
                <w:sz w:val="19"/>
                <w:szCs w:val="19"/>
              </w:rPr>
              <w:t xml:space="preserve"> </w:t>
            </w:r>
            <w:r w:rsidRPr="005F66DE">
              <w:rPr>
                <w:sz w:val="19"/>
                <w:szCs w:val="19"/>
              </w:rPr>
              <w:t>if</w:t>
            </w:r>
            <w:r>
              <w:rPr>
                <w:sz w:val="19"/>
                <w:szCs w:val="19"/>
              </w:rPr>
              <w:t xml:space="preserve"> </w:t>
            </w:r>
            <w:r w:rsidRPr="005F66DE">
              <w:rPr>
                <w:sz w:val="19"/>
                <w:szCs w:val="19"/>
              </w:rPr>
              <w:t>the</w:t>
            </w:r>
            <w:r>
              <w:rPr>
                <w:sz w:val="19"/>
                <w:szCs w:val="19"/>
              </w:rPr>
              <w:t xml:space="preserve"> </w:t>
            </w:r>
            <w:r w:rsidRPr="005F66DE">
              <w:rPr>
                <w:sz w:val="19"/>
                <w:szCs w:val="19"/>
              </w:rPr>
              <w:t>bank</w:t>
            </w:r>
            <w:r>
              <w:rPr>
                <w:sz w:val="19"/>
                <w:szCs w:val="19"/>
              </w:rPr>
              <w:t xml:space="preserve"> </w:t>
            </w:r>
            <w:r w:rsidRPr="005F66DE">
              <w:rPr>
                <w:sz w:val="19"/>
                <w:szCs w:val="19"/>
              </w:rPr>
              <w:t>is</w:t>
            </w:r>
          </w:p>
        </w:tc>
        <w:tc>
          <w:tcPr>
            <w:tcW w:w="207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8DCB9CC" w14:textId="77777777" w:rsidR="004863D2" w:rsidRPr="005F66DE" w:rsidRDefault="004863D2" w:rsidP="00D8625E">
            <w:pPr>
              <w:jc w:val="center"/>
              <w:rPr>
                <w:sz w:val="19"/>
                <w:szCs w:val="19"/>
              </w:rPr>
            </w:pPr>
            <w:r w:rsidRPr="005F66DE">
              <w:rPr>
                <w:sz w:val="19"/>
                <w:szCs w:val="19"/>
              </w:rPr>
              <w:t>Specification</w:t>
            </w:r>
            <w:r>
              <w:rPr>
                <w:sz w:val="19"/>
                <w:szCs w:val="19"/>
              </w:rPr>
              <w:t xml:space="preserve"> </w:t>
            </w:r>
            <w:r w:rsidRPr="005F66DE">
              <w:rPr>
                <w:sz w:val="19"/>
                <w:szCs w:val="19"/>
              </w:rPr>
              <w:t>2</w:t>
            </w:r>
          </w:p>
          <w:p w14:paraId="36D07E08" w14:textId="77777777" w:rsidR="004863D2" w:rsidRPr="005F66DE" w:rsidRDefault="004863D2" w:rsidP="00D8625E">
            <w:pPr>
              <w:jc w:val="center"/>
              <w:rPr>
                <w:sz w:val="19"/>
                <w:szCs w:val="19"/>
              </w:rPr>
            </w:pPr>
            <w:r w:rsidRPr="005F66DE">
              <w:rPr>
                <w:sz w:val="19"/>
                <w:szCs w:val="19"/>
              </w:rPr>
              <w:t>The</w:t>
            </w:r>
            <w:r>
              <w:rPr>
                <w:sz w:val="19"/>
                <w:szCs w:val="19"/>
              </w:rPr>
              <w:t xml:space="preserve"> </w:t>
            </w:r>
            <w:r w:rsidRPr="005F66DE">
              <w:rPr>
                <w:sz w:val="19"/>
                <w:szCs w:val="19"/>
              </w:rPr>
              <w:t>Investor</w:t>
            </w:r>
            <w:r>
              <w:rPr>
                <w:sz w:val="19"/>
                <w:szCs w:val="19"/>
              </w:rPr>
              <w:t xml:space="preserve"> </w:t>
            </w:r>
            <w:r w:rsidRPr="005F66DE">
              <w:rPr>
                <w:sz w:val="19"/>
                <w:szCs w:val="19"/>
              </w:rPr>
              <w:t>fund</w:t>
            </w:r>
            <w:r>
              <w:rPr>
                <w:sz w:val="19"/>
                <w:szCs w:val="19"/>
              </w:rPr>
              <w:t xml:space="preserve"> </w:t>
            </w:r>
            <w:r w:rsidRPr="005F66DE">
              <w:rPr>
                <w:sz w:val="19"/>
                <w:szCs w:val="19"/>
              </w:rPr>
              <w:t>the</w:t>
            </w:r>
            <w:r>
              <w:rPr>
                <w:sz w:val="19"/>
                <w:szCs w:val="19"/>
              </w:rPr>
              <w:t xml:space="preserve"> </w:t>
            </w:r>
            <w:r w:rsidRPr="005F66DE">
              <w:rPr>
                <w:sz w:val="19"/>
                <w:szCs w:val="19"/>
              </w:rPr>
              <w:t>Bank</w:t>
            </w:r>
            <w:r>
              <w:rPr>
                <w:sz w:val="19"/>
                <w:szCs w:val="19"/>
              </w:rPr>
              <w:t xml:space="preserve"> </w:t>
            </w:r>
            <w:r w:rsidRPr="005F66DE">
              <w:rPr>
                <w:sz w:val="19"/>
                <w:szCs w:val="19"/>
              </w:rPr>
              <w:t>in</w:t>
            </w:r>
            <w:r>
              <w:rPr>
                <w:sz w:val="19"/>
                <w:szCs w:val="19"/>
              </w:rPr>
              <w:t xml:space="preserve"> </w:t>
            </w:r>
            <w:r w:rsidRPr="005F66DE">
              <w:rPr>
                <w:i/>
                <w:sz w:val="19"/>
                <w:szCs w:val="19"/>
              </w:rPr>
              <w:t>t</w:t>
            </w:r>
            <w:r>
              <w:rPr>
                <w:sz w:val="19"/>
                <w:szCs w:val="19"/>
              </w:rPr>
              <w:t xml:space="preserve"> </w:t>
            </w:r>
            <w:r w:rsidRPr="005F66DE">
              <w:rPr>
                <w:sz w:val="19"/>
                <w:szCs w:val="19"/>
              </w:rPr>
              <w:t>if</w:t>
            </w:r>
            <w:r>
              <w:rPr>
                <w:sz w:val="19"/>
                <w:szCs w:val="19"/>
              </w:rPr>
              <w:t xml:space="preserve"> </w:t>
            </w:r>
            <w:r w:rsidRPr="005F66DE">
              <w:rPr>
                <w:sz w:val="19"/>
                <w:szCs w:val="19"/>
              </w:rPr>
              <w:t>the</w:t>
            </w:r>
            <w:r>
              <w:rPr>
                <w:sz w:val="19"/>
                <w:szCs w:val="19"/>
              </w:rPr>
              <w:t xml:space="preserve"> </w:t>
            </w:r>
            <w:r w:rsidRPr="005F66DE">
              <w:rPr>
                <w:sz w:val="19"/>
                <w:szCs w:val="19"/>
              </w:rPr>
              <w:t>bank</w:t>
            </w:r>
            <w:r>
              <w:rPr>
                <w:sz w:val="19"/>
                <w:szCs w:val="19"/>
              </w:rPr>
              <w:t xml:space="preserve"> </w:t>
            </w:r>
            <w:r w:rsidRPr="005F66DE">
              <w:rPr>
                <w:sz w:val="19"/>
                <w:szCs w:val="19"/>
              </w:rPr>
              <w:t>is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77FD836" w14:textId="77777777" w:rsidR="004863D2" w:rsidRPr="005F66DE" w:rsidRDefault="004863D2" w:rsidP="00D8625E">
            <w:pPr>
              <w:jc w:val="center"/>
              <w:rPr>
                <w:sz w:val="19"/>
                <w:szCs w:val="19"/>
              </w:rPr>
            </w:pPr>
            <w:r w:rsidRPr="005F66DE">
              <w:rPr>
                <w:sz w:val="19"/>
                <w:szCs w:val="19"/>
              </w:rPr>
              <w:t>Specification</w:t>
            </w:r>
            <w:r>
              <w:rPr>
                <w:sz w:val="19"/>
                <w:szCs w:val="19"/>
              </w:rPr>
              <w:t xml:space="preserve"> </w:t>
            </w:r>
            <w:r w:rsidRPr="005F66DE">
              <w:rPr>
                <w:sz w:val="19"/>
                <w:szCs w:val="19"/>
              </w:rPr>
              <w:t>3</w:t>
            </w:r>
          </w:p>
          <w:p w14:paraId="7E96919D" w14:textId="77777777" w:rsidR="004863D2" w:rsidRPr="005F66DE" w:rsidRDefault="004863D2" w:rsidP="00D8625E">
            <w:pPr>
              <w:jc w:val="center"/>
              <w:rPr>
                <w:sz w:val="19"/>
                <w:szCs w:val="19"/>
              </w:rPr>
            </w:pPr>
            <w:r w:rsidRPr="005F66DE">
              <w:rPr>
                <w:sz w:val="19"/>
                <w:szCs w:val="19"/>
              </w:rPr>
              <w:t>The</w:t>
            </w:r>
            <w:r>
              <w:rPr>
                <w:sz w:val="19"/>
                <w:szCs w:val="19"/>
              </w:rPr>
              <w:t xml:space="preserve"> </w:t>
            </w:r>
            <w:r w:rsidRPr="005F66DE">
              <w:rPr>
                <w:sz w:val="19"/>
                <w:szCs w:val="19"/>
              </w:rPr>
              <w:t>Investor</w:t>
            </w:r>
            <w:r>
              <w:rPr>
                <w:sz w:val="19"/>
                <w:szCs w:val="19"/>
              </w:rPr>
              <w:t xml:space="preserve"> </w:t>
            </w:r>
            <w:r w:rsidRPr="005F66DE">
              <w:rPr>
                <w:sz w:val="19"/>
                <w:szCs w:val="19"/>
              </w:rPr>
              <w:t>fund</w:t>
            </w:r>
            <w:r>
              <w:rPr>
                <w:sz w:val="19"/>
                <w:szCs w:val="19"/>
              </w:rPr>
              <w:t xml:space="preserve"> </w:t>
            </w:r>
            <w:r w:rsidRPr="005F66DE">
              <w:rPr>
                <w:sz w:val="19"/>
                <w:szCs w:val="19"/>
              </w:rPr>
              <w:t>the</w:t>
            </w:r>
            <w:r>
              <w:rPr>
                <w:sz w:val="19"/>
                <w:szCs w:val="19"/>
              </w:rPr>
              <w:t xml:space="preserve"> </w:t>
            </w:r>
            <w:r w:rsidRPr="005F66DE">
              <w:rPr>
                <w:sz w:val="19"/>
                <w:szCs w:val="19"/>
              </w:rPr>
              <w:t>Bank</w:t>
            </w:r>
            <w:r>
              <w:rPr>
                <w:sz w:val="19"/>
                <w:szCs w:val="19"/>
              </w:rPr>
              <w:t xml:space="preserve"> </w:t>
            </w:r>
            <w:r w:rsidRPr="005F66DE">
              <w:rPr>
                <w:sz w:val="19"/>
                <w:szCs w:val="19"/>
              </w:rPr>
              <w:t>in</w:t>
            </w:r>
            <w:r>
              <w:rPr>
                <w:sz w:val="19"/>
                <w:szCs w:val="19"/>
              </w:rPr>
              <w:t xml:space="preserve"> </w:t>
            </w:r>
            <w:r w:rsidRPr="005F66DE">
              <w:rPr>
                <w:i/>
                <w:sz w:val="19"/>
                <w:szCs w:val="19"/>
              </w:rPr>
              <w:t>t</w:t>
            </w:r>
            <w:r>
              <w:rPr>
                <w:sz w:val="19"/>
                <w:szCs w:val="19"/>
              </w:rPr>
              <w:t xml:space="preserve"> </w:t>
            </w:r>
            <w:r w:rsidRPr="005F66DE">
              <w:rPr>
                <w:sz w:val="19"/>
                <w:szCs w:val="19"/>
              </w:rPr>
              <w:t>if</w:t>
            </w:r>
            <w:r>
              <w:rPr>
                <w:sz w:val="19"/>
                <w:szCs w:val="19"/>
              </w:rPr>
              <w:t xml:space="preserve"> </w:t>
            </w:r>
            <w:r w:rsidRPr="005F66DE">
              <w:rPr>
                <w:sz w:val="19"/>
                <w:szCs w:val="19"/>
              </w:rPr>
              <w:t>the</w:t>
            </w:r>
            <w:r>
              <w:rPr>
                <w:sz w:val="19"/>
                <w:szCs w:val="19"/>
              </w:rPr>
              <w:t xml:space="preserve"> </w:t>
            </w:r>
            <w:r w:rsidRPr="005F66DE">
              <w:rPr>
                <w:sz w:val="19"/>
                <w:szCs w:val="19"/>
              </w:rPr>
              <w:t>bank</w:t>
            </w:r>
          </w:p>
        </w:tc>
      </w:tr>
      <w:tr w:rsidR="004863D2" w:rsidRPr="00DB1E85" w14:paraId="07CD3335" w14:textId="77777777" w:rsidTr="00D8625E">
        <w:tc>
          <w:tcPr>
            <w:tcW w:w="3839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845015" w14:textId="77777777" w:rsidR="004863D2" w:rsidRPr="005F66DE" w:rsidRDefault="004863D2" w:rsidP="00D8625E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0F00E968" w14:textId="77777777" w:rsidR="004863D2" w:rsidRPr="005F66DE" w:rsidRDefault="004863D2" w:rsidP="00D8625E">
            <w:pPr>
              <w:jc w:val="center"/>
              <w:rPr>
                <w:sz w:val="19"/>
                <w:szCs w:val="19"/>
              </w:rPr>
            </w:pPr>
            <w:r w:rsidRPr="005F66DE">
              <w:rPr>
                <w:sz w:val="19"/>
                <w:szCs w:val="19"/>
              </w:rPr>
              <w:t>Seen</w:t>
            </w:r>
            <w:r>
              <w:rPr>
                <w:sz w:val="19"/>
                <w:szCs w:val="19"/>
              </w:rPr>
              <w:t xml:space="preserve"> </w:t>
            </w:r>
          </w:p>
          <w:p w14:paraId="310701F7" w14:textId="77777777" w:rsidR="004863D2" w:rsidRPr="005F66DE" w:rsidRDefault="004863D2" w:rsidP="00D8625E">
            <w:pPr>
              <w:jc w:val="center"/>
              <w:rPr>
                <w:sz w:val="19"/>
                <w:szCs w:val="19"/>
              </w:rPr>
            </w:pPr>
            <w:r w:rsidRPr="005F66DE">
              <w:rPr>
                <w:sz w:val="19"/>
                <w:szCs w:val="19"/>
              </w:rPr>
              <w:t>at</w:t>
            </w:r>
            <w:r>
              <w:rPr>
                <w:sz w:val="19"/>
                <w:szCs w:val="19"/>
              </w:rPr>
              <w:t xml:space="preserve"> </w:t>
            </w:r>
            <w:r w:rsidRPr="005F66DE">
              <w:rPr>
                <w:sz w:val="19"/>
                <w:szCs w:val="19"/>
              </w:rPr>
              <w:t>DW</w:t>
            </w:r>
          </w:p>
        </w:tc>
        <w:tc>
          <w:tcPr>
            <w:tcW w:w="990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4E329A2" w14:textId="77777777" w:rsidR="004863D2" w:rsidRPr="005F66DE" w:rsidRDefault="004863D2" w:rsidP="00D8625E">
            <w:pPr>
              <w:jc w:val="center"/>
              <w:rPr>
                <w:sz w:val="19"/>
                <w:szCs w:val="19"/>
              </w:rPr>
            </w:pPr>
            <w:r w:rsidRPr="005F66DE">
              <w:rPr>
                <w:sz w:val="19"/>
                <w:szCs w:val="19"/>
              </w:rPr>
              <w:t>Not</w:t>
            </w:r>
            <w:r>
              <w:rPr>
                <w:sz w:val="19"/>
                <w:szCs w:val="19"/>
              </w:rPr>
              <w:t xml:space="preserve"> </w:t>
            </w:r>
            <w:r w:rsidRPr="005F66DE">
              <w:rPr>
                <w:sz w:val="19"/>
                <w:szCs w:val="19"/>
              </w:rPr>
              <w:t>Seen</w:t>
            </w:r>
            <w:r>
              <w:rPr>
                <w:sz w:val="19"/>
                <w:szCs w:val="19"/>
              </w:rPr>
              <w:t xml:space="preserve"> </w:t>
            </w:r>
          </w:p>
          <w:p w14:paraId="49C121F0" w14:textId="77777777" w:rsidR="004863D2" w:rsidRPr="005F66DE" w:rsidRDefault="004863D2" w:rsidP="00D8625E">
            <w:pPr>
              <w:jc w:val="center"/>
              <w:rPr>
                <w:sz w:val="19"/>
                <w:szCs w:val="19"/>
              </w:rPr>
            </w:pPr>
            <w:r w:rsidRPr="005F66DE">
              <w:rPr>
                <w:sz w:val="19"/>
                <w:szCs w:val="19"/>
              </w:rPr>
              <w:t>at</w:t>
            </w:r>
            <w:r>
              <w:rPr>
                <w:sz w:val="19"/>
                <w:szCs w:val="19"/>
              </w:rPr>
              <w:t xml:space="preserve"> </w:t>
            </w:r>
            <w:r w:rsidRPr="005F66DE">
              <w:rPr>
                <w:sz w:val="19"/>
                <w:szCs w:val="19"/>
              </w:rPr>
              <w:t>DW</w:t>
            </w: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113FD838" w14:textId="77777777" w:rsidR="004863D2" w:rsidRPr="005F66DE" w:rsidRDefault="004863D2" w:rsidP="00D8625E">
            <w:pPr>
              <w:jc w:val="center"/>
              <w:rPr>
                <w:sz w:val="19"/>
                <w:szCs w:val="19"/>
              </w:rPr>
            </w:pPr>
            <w:r w:rsidRPr="005F66DE">
              <w:rPr>
                <w:sz w:val="19"/>
                <w:szCs w:val="19"/>
              </w:rPr>
              <w:t>Seen</w:t>
            </w:r>
            <w:r>
              <w:rPr>
                <w:sz w:val="19"/>
                <w:szCs w:val="19"/>
              </w:rPr>
              <w:t xml:space="preserve"> </w:t>
            </w:r>
          </w:p>
          <w:p w14:paraId="5956A2A0" w14:textId="77777777" w:rsidR="004863D2" w:rsidRPr="005F66DE" w:rsidRDefault="004863D2" w:rsidP="00D8625E">
            <w:pPr>
              <w:jc w:val="center"/>
              <w:rPr>
                <w:sz w:val="19"/>
                <w:szCs w:val="19"/>
              </w:rPr>
            </w:pPr>
            <w:r w:rsidRPr="005F66DE">
              <w:rPr>
                <w:sz w:val="19"/>
                <w:szCs w:val="19"/>
              </w:rPr>
              <w:t>at</w:t>
            </w:r>
            <w:r>
              <w:rPr>
                <w:sz w:val="19"/>
                <w:szCs w:val="19"/>
              </w:rPr>
              <w:t xml:space="preserve"> </w:t>
            </w:r>
            <w:r w:rsidRPr="005F66DE">
              <w:rPr>
                <w:sz w:val="19"/>
                <w:szCs w:val="19"/>
              </w:rPr>
              <w:t>DW</w:t>
            </w:r>
          </w:p>
        </w:tc>
        <w:tc>
          <w:tcPr>
            <w:tcW w:w="990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BA9BC7F" w14:textId="77777777" w:rsidR="004863D2" w:rsidRPr="005F66DE" w:rsidRDefault="004863D2" w:rsidP="00D8625E">
            <w:pPr>
              <w:jc w:val="center"/>
              <w:rPr>
                <w:sz w:val="19"/>
                <w:szCs w:val="19"/>
              </w:rPr>
            </w:pPr>
            <w:r w:rsidRPr="005F66DE">
              <w:rPr>
                <w:sz w:val="19"/>
                <w:szCs w:val="19"/>
              </w:rPr>
              <w:t>Not</w:t>
            </w:r>
            <w:r>
              <w:rPr>
                <w:sz w:val="19"/>
                <w:szCs w:val="19"/>
              </w:rPr>
              <w:t xml:space="preserve"> </w:t>
            </w:r>
            <w:r w:rsidRPr="005F66DE">
              <w:rPr>
                <w:sz w:val="19"/>
                <w:szCs w:val="19"/>
              </w:rPr>
              <w:t>Seen</w:t>
            </w:r>
            <w:r>
              <w:rPr>
                <w:sz w:val="19"/>
                <w:szCs w:val="19"/>
              </w:rPr>
              <w:t xml:space="preserve"> </w:t>
            </w:r>
          </w:p>
          <w:p w14:paraId="69B15550" w14:textId="77777777" w:rsidR="004863D2" w:rsidRPr="005F66DE" w:rsidRDefault="004863D2" w:rsidP="00D8625E">
            <w:pPr>
              <w:jc w:val="center"/>
              <w:rPr>
                <w:sz w:val="19"/>
                <w:szCs w:val="19"/>
              </w:rPr>
            </w:pPr>
            <w:r w:rsidRPr="005F66DE">
              <w:rPr>
                <w:sz w:val="19"/>
                <w:szCs w:val="19"/>
              </w:rPr>
              <w:t>at</w:t>
            </w:r>
            <w:r>
              <w:rPr>
                <w:sz w:val="19"/>
                <w:szCs w:val="19"/>
              </w:rPr>
              <w:t xml:space="preserve"> </w:t>
            </w:r>
            <w:r w:rsidRPr="005F66DE">
              <w:rPr>
                <w:sz w:val="19"/>
                <w:szCs w:val="19"/>
              </w:rPr>
              <w:t>DW</w:t>
            </w:r>
          </w:p>
        </w:tc>
        <w:tc>
          <w:tcPr>
            <w:tcW w:w="990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5322BD98" w14:textId="77777777" w:rsidR="004863D2" w:rsidRPr="005F66DE" w:rsidRDefault="004863D2" w:rsidP="00D8625E">
            <w:pPr>
              <w:jc w:val="center"/>
              <w:rPr>
                <w:sz w:val="19"/>
                <w:szCs w:val="19"/>
              </w:rPr>
            </w:pPr>
            <w:r w:rsidRPr="005F66DE">
              <w:rPr>
                <w:sz w:val="19"/>
                <w:szCs w:val="19"/>
              </w:rPr>
              <w:t>Seen</w:t>
            </w:r>
            <w:r>
              <w:rPr>
                <w:sz w:val="19"/>
                <w:szCs w:val="19"/>
              </w:rPr>
              <w:t xml:space="preserve"> </w:t>
            </w:r>
          </w:p>
          <w:p w14:paraId="76D060C2" w14:textId="77777777" w:rsidR="004863D2" w:rsidRPr="005F66DE" w:rsidRDefault="004863D2" w:rsidP="00D8625E">
            <w:pPr>
              <w:jc w:val="center"/>
              <w:rPr>
                <w:sz w:val="19"/>
                <w:szCs w:val="19"/>
              </w:rPr>
            </w:pPr>
            <w:r w:rsidRPr="005F66DE">
              <w:rPr>
                <w:sz w:val="19"/>
                <w:szCs w:val="19"/>
              </w:rPr>
              <w:t>at</w:t>
            </w:r>
            <w:r>
              <w:rPr>
                <w:sz w:val="19"/>
                <w:szCs w:val="19"/>
              </w:rPr>
              <w:t xml:space="preserve"> </w:t>
            </w:r>
            <w:r w:rsidRPr="005F66DE">
              <w:rPr>
                <w:sz w:val="19"/>
                <w:szCs w:val="19"/>
              </w:rPr>
              <w:t>DW</w:t>
            </w:r>
          </w:p>
        </w:tc>
        <w:tc>
          <w:tcPr>
            <w:tcW w:w="990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31CEBF0" w14:textId="77777777" w:rsidR="004863D2" w:rsidRPr="005F66DE" w:rsidRDefault="004863D2" w:rsidP="00D8625E">
            <w:pPr>
              <w:jc w:val="center"/>
              <w:rPr>
                <w:sz w:val="19"/>
                <w:szCs w:val="19"/>
              </w:rPr>
            </w:pPr>
            <w:r w:rsidRPr="005F66DE">
              <w:rPr>
                <w:sz w:val="19"/>
                <w:szCs w:val="19"/>
              </w:rPr>
              <w:t>Not</w:t>
            </w:r>
            <w:r>
              <w:rPr>
                <w:sz w:val="19"/>
                <w:szCs w:val="19"/>
              </w:rPr>
              <w:t xml:space="preserve"> </w:t>
            </w:r>
            <w:r w:rsidRPr="005F66DE">
              <w:rPr>
                <w:sz w:val="19"/>
                <w:szCs w:val="19"/>
              </w:rPr>
              <w:t>Seen</w:t>
            </w:r>
            <w:r>
              <w:rPr>
                <w:sz w:val="19"/>
                <w:szCs w:val="19"/>
              </w:rPr>
              <w:t xml:space="preserve"> </w:t>
            </w:r>
          </w:p>
          <w:p w14:paraId="77941A98" w14:textId="77777777" w:rsidR="004863D2" w:rsidRPr="005F66DE" w:rsidRDefault="004863D2" w:rsidP="00D8625E">
            <w:pPr>
              <w:jc w:val="center"/>
              <w:rPr>
                <w:sz w:val="19"/>
                <w:szCs w:val="19"/>
              </w:rPr>
            </w:pPr>
            <w:r w:rsidRPr="005F66DE">
              <w:rPr>
                <w:sz w:val="19"/>
                <w:szCs w:val="19"/>
              </w:rPr>
              <w:t>at</w:t>
            </w:r>
            <w:r>
              <w:rPr>
                <w:sz w:val="19"/>
                <w:szCs w:val="19"/>
              </w:rPr>
              <w:t xml:space="preserve"> </w:t>
            </w:r>
            <w:r w:rsidRPr="005F66DE">
              <w:rPr>
                <w:sz w:val="19"/>
                <w:szCs w:val="19"/>
              </w:rPr>
              <w:t>DW</w:t>
            </w:r>
          </w:p>
        </w:tc>
      </w:tr>
      <w:tr w:rsidR="004863D2" w:rsidRPr="00DB1E85" w14:paraId="68DA5980" w14:textId="77777777" w:rsidTr="00D8625E"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220A3" w14:textId="77777777" w:rsidR="004863D2" w:rsidRPr="005F66DE" w:rsidRDefault="004863D2" w:rsidP="00D8625E">
            <w:pPr>
              <w:jc w:val="center"/>
              <w:rPr>
                <w:sz w:val="19"/>
                <w:szCs w:val="19"/>
              </w:rPr>
            </w:pPr>
            <w:r w:rsidRPr="005F66DE">
              <w:rPr>
                <w:sz w:val="19"/>
                <w:szCs w:val="19"/>
              </w:rPr>
              <w:t>1</w:t>
            </w:r>
          </w:p>
        </w:tc>
        <w:tc>
          <w:tcPr>
            <w:tcW w:w="338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1B09BF" w14:textId="77777777" w:rsidR="004863D2" w:rsidRPr="005F66DE" w:rsidRDefault="004863D2" w:rsidP="00D8625E">
            <w:pPr>
              <w:jc w:val="center"/>
              <w:rPr>
                <w:sz w:val="19"/>
                <w:szCs w:val="19"/>
              </w:rPr>
            </w:pPr>
            <w:r w:rsidRPr="005F66DE">
              <w:rPr>
                <w:sz w:val="19"/>
                <w:szCs w:val="19"/>
              </w:rPr>
              <w:t>Low</w:t>
            </w:r>
            <w:r>
              <w:rPr>
                <w:sz w:val="19"/>
                <w:szCs w:val="19"/>
              </w:rPr>
              <w:t xml:space="preserve"> </w:t>
            </w:r>
            <w:r w:rsidRPr="005F66DE">
              <w:rPr>
                <w:sz w:val="19"/>
                <w:szCs w:val="19"/>
              </w:rPr>
              <w:t>DW</w:t>
            </w:r>
            <w:r>
              <w:rPr>
                <w:sz w:val="19"/>
                <w:szCs w:val="19"/>
              </w:rPr>
              <w:t xml:space="preserve"> </w:t>
            </w:r>
            <w:r w:rsidRPr="005F66DE">
              <w:rPr>
                <w:sz w:val="19"/>
                <w:szCs w:val="19"/>
              </w:rPr>
              <w:t>Cost</w:t>
            </w:r>
            <w:r>
              <w:rPr>
                <w:sz w:val="19"/>
                <w:szCs w:val="19"/>
              </w:rPr>
              <w:t xml:space="preserve"> </w:t>
            </w:r>
            <w:r w:rsidRPr="005F66DE">
              <w:rPr>
                <w:sz w:val="19"/>
                <w:szCs w:val="19"/>
              </w:rPr>
              <w:t>Treatment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451B9E2" w14:textId="77777777" w:rsidR="004863D2" w:rsidRPr="008504BA" w:rsidRDefault="004863D2" w:rsidP="00D8625E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8504BA">
              <w:rPr>
                <w:color w:val="000000" w:themeColor="text1"/>
                <w:sz w:val="19"/>
                <w:szCs w:val="19"/>
              </w:rPr>
              <w:t>0.02</w:t>
            </w:r>
            <w:r>
              <w:rPr>
                <w:color w:val="000000" w:themeColor="text1"/>
                <w:sz w:val="19"/>
                <w:szCs w:val="19"/>
              </w:rPr>
              <w:t>9</w:t>
            </w:r>
          </w:p>
          <w:p w14:paraId="6E54D03E" w14:textId="77777777" w:rsidR="004863D2" w:rsidRPr="008504BA" w:rsidRDefault="004863D2" w:rsidP="00D8625E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8504BA">
              <w:rPr>
                <w:color w:val="000000" w:themeColor="text1"/>
                <w:sz w:val="19"/>
                <w:szCs w:val="19"/>
              </w:rPr>
              <w:t>(0.03</w:t>
            </w:r>
            <w:r>
              <w:rPr>
                <w:color w:val="000000" w:themeColor="text1"/>
                <w:sz w:val="19"/>
                <w:szCs w:val="19"/>
              </w:rPr>
              <w:t>6</w:t>
            </w:r>
            <w:r w:rsidRPr="008504BA">
              <w:rPr>
                <w:color w:val="000000" w:themeColor="text1"/>
                <w:sz w:val="19"/>
                <w:szCs w:val="19"/>
              </w:rPr>
              <w:t>)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C5BCC1" w14:textId="77777777" w:rsidR="004863D2" w:rsidRPr="008504BA" w:rsidRDefault="004863D2" w:rsidP="00D8625E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8504BA">
              <w:rPr>
                <w:color w:val="000000" w:themeColor="text1"/>
                <w:sz w:val="19"/>
                <w:szCs w:val="19"/>
              </w:rPr>
              <w:t>0.00</w:t>
            </w:r>
            <w:r>
              <w:rPr>
                <w:color w:val="000000" w:themeColor="text1"/>
                <w:sz w:val="19"/>
                <w:szCs w:val="19"/>
              </w:rPr>
              <w:t>1</w:t>
            </w:r>
          </w:p>
          <w:p w14:paraId="2AE7170D" w14:textId="77777777" w:rsidR="004863D2" w:rsidRPr="008504BA" w:rsidRDefault="004863D2" w:rsidP="00D8625E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8504BA">
              <w:rPr>
                <w:color w:val="000000" w:themeColor="text1"/>
                <w:sz w:val="19"/>
                <w:szCs w:val="19"/>
              </w:rPr>
              <w:t>(0.02</w:t>
            </w:r>
            <w:r>
              <w:rPr>
                <w:color w:val="000000" w:themeColor="text1"/>
                <w:sz w:val="19"/>
                <w:szCs w:val="19"/>
              </w:rPr>
              <w:t>8</w:t>
            </w:r>
            <w:r w:rsidRPr="008504BA">
              <w:rPr>
                <w:color w:val="000000" w:themeColor="text1"/>
                <w:sz w:val="19"/>
                <w:szCs w:val="19"/>
              </w:rPr>
              <w:t>)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E6C0684" w14:textId="77777777" w:rsidR="004863D2" w:rsidRPr="008504BA" w:rsidRDefault="004863D2" w:rsidP="00D8625E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8504BA">
              <w:rPr>
                <w:color w:val="000000" w:themeColor="text1"/>
                <w:sz w:val="19"/>
                <w:szCs w:val="19"/>
              </w:rPr>
              <w:t>0.0</w:t>
            </w:r>
            <w:r>
              <w:rPr>
                <w:color w:val="000000" w:themeColor="text1"/>
                <w:sz w:val="19"/>
                <w:szCs w:val="19"/>
              </w:rPr>
              <w:t>20</w:t>
            </w:r>
          </w:p>
          <w:p w14:paraId="1142EA05" w14:textId="77777777" w:rsidR="004863D2" w:rsidRPr="008504BA" w:rsidRDefault="004863D2" w:rsidP="00D8625E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8504BA">
              <w:rPr>
                <w:color w:val="000000" w:themeColor="text1"/>
                <w:sz w:val="19"/>
                <w:szCs w:val="19"/>
              </w:rPr>
              <w:t>(0.030)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18833A" w14:textId="77777777" w:rsidR="004863D2" w:rsidRPr="008504BA" w:rsidRDefault="004863D2" w:rsidP="00D8625E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8504BA">
              <w:rPr>
                <w:color w:val="000000" w:themeColor="text1"/>
                <w:sz w:val="19"/>
                <w:szCs w:val="19"/>
              </w:rPr>
              <w:t>0.00</w:t>
            </w:r>
            <w:r>
              <w:rPr>
                <w:color w:val="000000" w:themeColor="text1"/>
                <w:sz w:val="19"/>
                <w:szCs w:val="19"/>
              </w:rPr>
              <w:t>4</w:t>
            </w:r>
          </w:p>
          <w:p w14:paraId="7A6F37DC" w14:textId="77777777" w:rsidR="004863D2" w:rsidRPr="008504BA" w:rsidRDefault="004863D2" w:rsidP="00D8625E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8504BA">
              <w:rPr>
                <w:color w:val="000000" w:themeColor="text1"/>
                <w:sz w:val="19"/>
                <w:szCs w:val="19"/>
              </w:rPr>
              <w:t>(0.02</w:t>
            </w:r>
            <w:r>
              <w:rPr>
                <w:color w:val="000000" w:themeColor="text1"/>
                <w:sz w:val="19"/>
                <w:szCs w:val="19"/>
              </w:rPr>
              <w:t>6</w:t>
            </w:r>
            <w:r w:rsidRPr="008504BA">
              <w:rPr>
                <w:color w:val="000000" w:themeColor="text1"/>
                <w:sz w:val="19"/>
                <w:szCs w:val="19"/>
              </w:rPr>
              <w:t>)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7BEF36D" w14:textId="77777777" w:rsidR="004863D2" w:rsidRPr="008504BA" w:rsidRDefault="004863D2" w:rsidP="00D8625E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8504BA">
              <w:rPr>
                <w:color w:val="000000" w:themeColor="text1"/>
                <w:sz w:val="19"/>
                <w:szCs w:val="19"/>
              </w:rPr>
              <w:t>0.022</w:t>
            </w:r>
          </w:p>
          <w:p w14:paraId="138D63DC" w14:textId="77777777" w:rsidR="004863D2" w:rsidRPr="008504BA" w:rsidRDefault="004863D2" w:rsidP="00D8625E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8504BA">
              <w:rPr>
                <w:color w:val="000000" w:themeColor="text1"/>
                <w:sz w:val="19"/>
                <w:szCs w:val="19"/>
              </w:rPr>
              <w:t>(0.033)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3C986F" w14:textId="77777777" w:rsidR="004863D2" w:rsidRPr="008504BA" w:rsidRDefault="004863D2" w:rsidP="00D8625E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8504BA">
              <w:rPr>
                <w:color w:val="000000" w:themeColor="text1"/>
                <w:sz w:val="19"/>
                <w:szCs w:val="19"/>
              </w:rPr>
              <w:t>0.0</w:t>
            </w:r>
            <w:r>
              <w:rPr>
                <w:color w:val="000000" w:themeColor="text1"/>
                <w:sz w:val="19"/>
                <w:szCs w:val="19"/>
              </w:rPr>
              <w:t>08</w:t>
            </w:r>
          </w:p>
          <w:p w14:paraId="59B0A5ED" w14:textId="77777777" w:rsidR="004863D2" w:rsidRPr="008504BA" w:rsidRDefault="004863D2" w:rsidP="00D8625E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8504BA">
              <w:rPr>
                <w:color w:val="000000" w:themeColor="text1"/>
                <w:sz w:val="19"/>
                <w:szCs w:val="19"/>
              </w:rPr>
              <w:t>(0.024)</w:t>
            </w:r>
          </w:p>
        </w:tc>
      </w:tr>
      <w:tr w:rsidR="004863D2" w:rsidRPr="00DB1E85" w14:paraId="14A5ED34" w14:textId="77777777" w:rsidTr="00D8625E">
        <w:tc>
          <w:tcPr>
            <w:tcW w:w="450" w:type="dxa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BA86CA0" w14:textId="77777777" w:rsidR="004863D2" w:rsidRPr="005F66DE" w:rsidRDefault="004863D2" w:rsidP="00D8625E">
            <w:pPr>
              <w:jc w:val="center"/>
              <w:rPr>
                <w:sz w:val="19"/>
                <w:szCs w:val="19"/>
              </w:rPr>
            </w:pPr>
            <w:r w:rsidRPr="005F66DE">
              <w:rPr>
                <w:sz w:val="19"/>
                <w:szCs w:val="19"/>
              </w:rPr>
              <w:t>2</w:t>
            </w:r>
          </w:p>
        </w:tc>
        <w:tc>
          <w:tcPr>
            <w:tcW w:w="3389" w:type="dxa"/>
            <w:gridSpan w:val="2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75C09E6" w14:textId="77777777" w:rsidR="004863D2" w:rsidRPr="005F66DE" w:rsidRDefault="004863D2" w:rsidP="00D8625E">
            <w:pPr>
              <w:jc w:val="center"/>
              <w:rPr>
                <w:sz w:val="19"/>
                <w:szCs w:val="19"/>
              </w:rPr>
            </w:pPr>
            <w:r w:rsidRPr="005F66DE">
              <w:rPr>
                <w:sz w:val="19"/>
                <w:szCs w:val="19"/>
              </w:rPr>
              <w:t>Random</w:t>
            </w:r>
            <w:r>
              <w:rPr>
                <w:sz w:val="19"/>
                <w:szCs w:val="19"/>
              </w:rPr>
              <w:t xml:space="preserve"> </w:t>
            </w:r>
            <w:r w:rsidRPr="005F66DE">
              <w:rPr>
                <w:sz w:val="19"/>
                <w:szCs w:val="19"/>
              </w:rPr>
              <w:t>Borrowing</w:t>
            </w:r>
            <w:r>
              <w:rPr>
                <w:sz w:val="19"/>
                <w:szCs w:val="19"/>
              </w:rPr>
              <w:t xml:space="preserve"> </w:t>
            </w:r>
            <w:r w:rsidRPr="005F66DE">
              <w:rPr>
                <w:sz w:val="19"/>
                <w:szCs w:val="19"/>
              </w:rPr>
              <w:t>Treatment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10F472E2" w14:textId="77777777" w:rsidR="004863D2" w:rsidRPr="008504BA" w:rsidRDefault="004863D2" w:rsidP="00D8625E">
            <w:pPr>
              <w:jc w:val="center"/>
              <w:rPr>
                <w:color w:val="000000" w:themeColor="text1"/>
                <w:sz w:val="19"/>
                <w:szCs w:val="19"/>
                <w:vertAlign w:val="superscript"/>
              </w:rPr>
            </w:pPr>
            <w:r w:rsidRPr="008504BA">
              <w:rPr>
                <w:color w:val="000000" w:themeColor="text1"/>
                <w:sz w:val="19"/>
                <w:szCs w:val="19"/>
              </w:rPr>
              <w:t>0.20</w:t>
            </w:r>
            <w:r>
              <w:rPr>
                <w:color w:val="000000" w:themeColor="text1"/>
                <w:sz w:val="19"/>
                <w:szCs w:val="19"/>
              </w:rPr>
              <w:t>4</w:t>
            </w:r>
            <w:r w:rsidRPr="008504BA">
              <w:rPr>
                <w:color w:val="000000" w:themeColor="text1"/>
                <w:sz w:val="19"/>
                <w:szCs w:val="19"/>
                <w:vertAlign w:val="superscript"/>
              </w:rPr>
              <w:t>***</w:t>
            </w:r>
          </w:p>
          <w:p w14:paraId="0CE7EFAB" w14:textId="77777777" w:rsidR="004863D2" w:rsidRPr="008504BA" w:rsidRDefault="004863D2" w:rsidP="00D8625E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8504BA">
              <w:rPr>
                <w:color w:val="000000" w:themeColor="text1"/>
                <w:sz w:val="19"/>
                <w:szCs w:val="19"/>
              </w:rPr>
              <w:t>(0.053)</w:t>
            </w:r>
          </w:p>
        </w:tc>
        <w:tc>
          <w:tcPr>
            <w:tcW w:w="990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14:paraId="38E22300" w14:textId="77777777" w:rsidR="004863D2" w:rsidRPr="008504BA" w:rsidRDefault="004863D2" w:rsidP="00D8625E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8504BA">
              <w:rPr>
                <w:color w:val="000000" w:themeColor="text1"/>
                <w:sz w:val="19"/>
                <w:szCs w:val="19"/>
              </w:rPr>
              <w:t>-0.02</w:t>
            </w:r>
            <w:r>
              <w:rPr>
                <w:color w:val="000000" w:themeColor="text1"/>
                <w:sz w:val="19"/>
                <w:szCs w:val="19"/>
              </w:rPr>
              <w:t>6</w:t>
            </w:r>
          </w:p>
          <w:p w14:paraId="56659376" w14:textId="77777777" w:rsidR="004863D2" w:rsidRPr="008504BA" w:rsidRDefault="004863D2" w:rsidP="00D8625E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8504BA">
              <w:rPr>
                <w:color w:val="000000" w:themeColor="text1"/>
                <w:sz w:val="19"/>
                <w:szCs w:val="19"/>
              </w:rPr>
              <w:t>(0.032)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11D6F541" w14:textId="77777777" w:rsidR="004863D2" w:rsidRPr="008504BA" w:rsidRDefault="004863D2" w:rsidP="00D8625E">
            <w:pPr>
              <w:jc w:val="center"/>
              <w:rPr>
                <w:color w:val="000000" w:themeColor="text1"/>
                <w:sz w:val="19"/>
                <w:szCs w:val="19"/>
                <w:vertAlign w:val="superscript"/>
              </w:rPr>
            </w:pPr>
            <w:r w:rsidRPr="008504BA">
              <w:rPr>
                <w:color w:val="000000" w:themeColor="text1"/>
                <w:sz w:val="19"/>
                <w:szCs w:val="19"/>
              </w:rPr>
              <w:t>0.06</w:t>
            </w:r>
            <w:r>
              <w:rPr>
                <w:color w:val="000000" w:themeColor="text1"/>
                <w:sz w:val="19"/>
                <w:szCs w:val="19"/>
              </w:rPr>
              <w:t>3</w:t>
            </w:r>
          </w:p>
          <w:p w14:paraId="7E8B7ADA" w14:textId="77777777" w:rsidR="004863D2" w:rsidRPr="008504BA" w:rsidRDefault="004863D2" w:rsidP="00D8625E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8504BA">
              <w:rPr>
                <w:color w:val="000000" w:themeColor="text1"/>
                <w:sz w:val="19"/>
                <w:szCs w:val="19"/>
              </w:rPr>
              <w:t>(0.0</w:t>
            </w:r>
            <w:r>
              <w:rPr>
                <w:color w:val="000000" w:themeColor="text1"/>
                <w:sz w:val="19"/>
                <w:szCs w:val="19"/>
              </w:rPr>
              <w:t>39</w:t>
            </w:r>
            <w:r w:rsidRPr="008504BA">
              <w:rPr>
                <w:color w:val="000000" w:themeColor="text1"/>
                <w:sz w:val="19"/>
                <w:szCs w:val="19"/>
              </w:rPr>
              <w:t>)</w:t>
            </w:r>
          </w:p>
        </w:tc>
        <w:tc>
          <w:tcPr>
            <w:tcW w:w="990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14:paraId="47F4FEE5" w14:textId="77777777" w:rsidR="004863D2" w:rsidRPr="008504BA" w:rsidRDefault="004863D2" w:rsidP="00D8625E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8504BA">
              <w:rPr>
                <w:color w:val="000000" w:themeColor="text1"/>
                <w:sz w:val="19"/>
                <w:szCs w:val="19"/>
              </w:rPr>
              <w:t>0.0</w:t>
            </w:r>
            <w:r>
              <w:rPr>
                <w:color w:val="000000" w:themeColor="text1"/>
                <w:sz w:val="19"/>
                <w:szCs w:val="19"/>
              </w:rPr>
              <w:t>12</w:t>
            </w:r>
          </w:p>
          <w:p w14:paraId="1CE38138" w14:textId="77777777" w:rsidR="004863D2" w:rsidRPr="008504BA" w:rsidRDefault="004863D2" w:rsidP="00D8625E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8504BA">
              <w:rPr>
                <w:color w:val="000000" w:themeColor="text1"/>
                <w:sz w:val="19"/>
                <w:szCs w:val="19"/>
              </w:rPr>
              <w:t>(0.03</w:t>
            </w:r>
            <w:r>
              <w:rPr>
                <w:color w:val="000000" w:themeColor="text1"/>
                <w:sz w:val="19"/>
                <w:szCs w:val="19"/>
              </w:rPr>
              <w:t>0</w:t>
            </w:r>
            <w:r w:rsidRPr="008504BA">
              <w:rPr>
                <w:color w:val="000000" w:themeColor="text1"/>
                <w:sz w:val="19"/>
                <w:szCs w:val="19"/>
              </w:rPr>
              <w:t>)</w:t>
            </w:r>
          </w:p>
        </w:tc>
        <w:tc>
          <w:tcPr>
            <w:tcW w:w="990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5EE0F5A4" w14:textId="77777777" w:rsidR="004863D2" w:rsidRPr="008504BA" w:rsidRDefault="004863D2" w:rsidP="00D8625E">
            <w:pPr>
              <w:jc w:val="center"/>
              <w:rPr>
                <w:color w:val="000000" w:themeColor="text1"/>
                <w:sz w:val="19"/>
                <w:szCs w:val="19"/>
                <w:vertAlign w:val="superscript"/>
              </w:rPr>
            </w:pPr>
            <w:r w:rsidRPr="008504BA">
              <w:rPr>
                <w:color w:val="000000" w:themeColor="text1"/>
                <w:sz w:val="19"/>
                <w:szCs w:val="19"/>
              </w:rPr>
              <w:t>0.0</w:t>
            </w:r>
            <w:r>
              <w:rPr>
                <w:color w:val="000000" w:themeColor="text1"/>
                <w:sz w:val="19"/>
                <w:szCs w:val="19"/>
              </w:rPr>
              <w:t>40</w:t>
            </w:r>
          </w:p>
          <w:p w14:paraId="773C8C89" w14:textId="77777777" w:rsidR="004863D2" w:rsidRPr="008504BA" w:rsidRDefault="004863D2" w:rsidP="00D8625E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8504BA">
              <w:rPr>
                <w:color w:val="000000" w:themeColor="text1"/>
                <w:sz w:val="19"/>
                <w:szCs w:val="19"/>
              </w:rPr>
              <w:t>(0.0</w:t>
            </w:r>
            <w:r>
              <w:rPr>
                <w:color w:val="000000" w:themeColor="text1"/>
                <w:sz w:val="19"/>
                <w:szCs w:val="19"/>
              </w:rPr>
              <w:t>39</w:t>
            </w:r>
            <w:r w:rsidRPr="008504BA">
              <w:rPr>
                <w:color w:val="000000" w:themeColor="text1"/>
                <w:sz w:val="19"/>
                <w:szCs w:val="19"/>
              </w:rPr>
              <w:t>)</w:t>
            </w:r>
          </w:p>
        </w:tc>
        <w:tc>
          <w:tcPr>
            <w:tcW w:w="990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14:paraId="68E85C8D" w14:textId="77777777" w:rsidR="004863D2" w:rsidRPr="008504BA" w:rsidRDefault="004863D2" w:rsidP="00D8625E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8504BA">
              <w:rPr>
                <w:color w:val="000000" w:themeColor="text1"/>
                <w:sz w:val="19"/>
                <w:szCs w:val="19"/>
              </w:rPr>
              <w:t>0.00</w:t>
            </w:r>
            <w:r>
              <w:rPr>
                <w:color w:val="000000" w:themeColor="text1"/>
                <w:sz w:val="19"/>
                <w:szCs w:val="19"/>
              </w:rPr>
              <w:t>8</w:t>
            </w:r>
          </w:p>
          <w:p w14:paraId="353385EF" w14:textId="77777777" w:rsidR="004863D2" w:rsidRPr="008504BA" w:rsidRDefault="004863D2" w:rsidP="00D8625E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8504BA">
              <w:rPr>
                <w:color w:val="000000" w:themeColor="text1"/>
                <w:sz w:val="19"/>
                <w:szCs w:val="19"/>
              </w:rPr>
              <w:t>(0.029)</w:t>
            </w:r>
          </w:p>
        </w:tc>
      </w:tr>
      <w:tr w:rsidR="004863D2" w:rsidRPr="00DB1E85" w14:paraId="5D7871CE" w14:textId="77777777" w:rsidTr="00D8625E"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89B364" w14:textId="77777777" w:rsidR="004863D2" w:rsidRPr="005F66DE" w:rsidRDefault="004863D2" w:rsidP="00D8625E">
            <w:pPr>
              <w:jc w:val="center"/>
              <w:rPr>
                <w:sz w:val="19"/>
                <w:szCs w:val="19"/>
              </w:rPr>
            </w:pPr>
            <w:r w:rsidRPr="005F66DE">
              <w:rPr>
                <w:sz w:val="19"/>
                <w:szCs w:val="19"/>
              </w:rPr>
              <w:t>3</w:t>
            </w:r>
          </w:p>
        </w:tc>
        <w:tc>
          <w:tcPr>
            <w:tcW w:w="3389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B3D275" w14:textId="77777777" w:rsidR="004863D2" w:rsidRPr="005F66DE" w:rsidRDefault="004863D2" w:rsidP="00D8625E">
            <w:pPr>
              <w:jc w:val="center"/>
              <w:rPr>
                <w:sz w:val="19"/>
                <w:szCs w:val="19"/>
              </w:rPr>
            </w:pPr>
            <w:r w:rsidRPr="005F66DE">
              <w:rPr>
                <w:sz w:val="19"/>
                <w:szCs w:val="19"/>
              </w:rPr>
              <w:t>Low</w:t>
            </w:r>
            <w:r>
              <w:rPr>
                <w:sz w:val="19"/>
                <w:szCs w:val="19"/>
              </w:rPr>
              <w:t xml:space="preserve"> </w:t>
            </w:r>
            <w:r w:rsidRPr="005F66DE">
              <w:rPr>
                <w:sz w:val="19"/>
                <w:szCs w:val="19"/>
              </w:rPr>
              <w:t>Detection</w:t>
            </w:r>
            <w:r>
              <w:rPr>
                <w:sz w:val="19"/>
                <w:szCs w:val="19"/>
              </w:rPr>
              <w:t xml:space="preserve"> </w:t>
            </w:r>
            <w:r w:rsidRPr="005F66DE">
              <w:rPr>
                <w:sz w:val="19"/>
                <w:szCs w:val="19"/>
              </w:rPr>
              <w:t>Treatment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29D7EC9" w14:textId="77777777" w:rsidR="004863D2" w:rsidRPr="008504BA" w:rsidRDefault="004863D2" w:rsidP="00D8625E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8504BA">
              <w:rPr>
                <w:color w:val="000000" w:themeColor="text1"/>
                <w:sz w:val="19"/>
                <w:szCs w:val="19"/>
              </w:rPr>
              <w:t>0.06</w:t>
            </w:r>
            <w:r>
              <w:rPr>
                <w:color w:val="000000" w:themeColor="text1"/>
                <w:sz w:val="19"/>
                <w:szCs w:val="19"/>
              </w:rPr>
              <w:t>8</w:t>
            </w:r>
          </w:p>
          <w:p w14:paraId="7F15CC44" w14:textId="77777777" w:rsidR="004863D2" w:rsidRPr="008504BA" w:rsidRDefault="004863D2" w:rsidP="00D8625E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8504BA">
              <w:rPr>
                <w:color w:val="000000" w:themeColor="text1"/>
                <w:sz w:val="19"/>
                <w:szCs w:val="19"/>
              </w:rPr>
              <w:t>(0.04</w:t>
            </w:r>
            <w:r>
              <w:rPr>
                <w:color w:val="000000" w:themeColor="text1"/>
                <w:sz w:val="19"/>
                <w:szCs w:val="19"/>
              </w:rPr>
              <w:t>3</w:t>
            </w:r>
            <w:r w:rsidRPr="008504BA">
              <w:rPr>
                <w:color w:val="000000" w:themeColor="text1"/>
                <w:sz w:val="19"/>
                <w:szCs w:val="19"/>
              </w:rPr>
              <w:t>)</w:t>
            </w:r>
          </w:p>
        </w:tc>
        <w:tc>
          <w:tcPr>
            <w:tcW w:w="99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4A5873" w14:textId="77777777" w:rsidR="004863D2" w:rsidRPr="008504BA" w:rsidRDefault="004863D2" w:rsidP="00D8625E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8504BA">
              <w:rPr>
                <w:color w:val="000000" w:themeColor="text1"/>
                <w:sz w:val="19"/>
                <w:szCs w:val="19"/>
              </w:rPr>
              <w:t>-0.0</w:t>
            </w:r>
            <w:r>
              <w:rPr>
                <w:color w:val="000000" w:themeColor="text1"/>
                <w:sz w:val="19"/>
                <w:szCs w:val="19"/>
              </w:rPr>
              <w:t>56</w:t>
            </w:r>
          </w:p>
          <w:p w14:paraId="792FDE1C" w14:textId="77777777" w:rsidR="004863D2" w:rsidRPr="008504BA" w:rsidRDefault="004863D2" w:rsidP="00D8625E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8504BA">
              <w:rPr>
                <w:color w:val="000000" w:themeColor="text1"/>
                <w:sz w:val="19"/>
                <w:szCs w:val="19"/>
              </w:rPr>
              <w:t>(0.0</w:t>
            </w:r>
            <w:r>
              <w:rPr>
                <w:color w:val="000000" w:themeColor="text1"/>
                <w:sz w:val="19"/>
                <w:szCs w:val="19"/>
              </w:rPr>
              <w:t>34</w:t>
            </w:r>
            <w:r w:rsidRPr="008504BA">
              <w:rPr>
                <w:color w:val="000000" w:themeColor="text1"/>
                <w:sz w:val="19"/>
                <w:szCs w:val="19"/>
              </w:rPr>
              <w:t>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C68CA11" w14:textId="77777777" w:rsidR="004863D2" w:rsidRPr="008504BA" w:rsidRDefault="004863D2" w:rsidP="00D8625E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0.036</w:t>
            </w:r>
          </w:p>
          <w:p w14:paraId="1B1CBC54" w14:textId="77777777" w:rsidR="004863D2" w:rsidRPr="008504BA" w:rsidRDefault="004863D2" w:rsidP="00D8625E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(0.033</w:t>
            </w:r>
            <w:r w:rsidRPr="008504BA">
              <w:rPr>
                <w:color w:val="000000" w:themeColor="text1"/>
                <w:sz w:val="19"/>
                <w:szCs w:val="19"/>
              </w:rPr>
              <w:t>)</w:t>
            </w:r>
          </w:p>
        </w:tc>
        <w:tc>
          <w:tcPr>
            <w:tcW w:w="99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71A74D" w14:textId="77777777" w:rsidR="004863D2" w:rsidRPr="008504BA" w:rsidRDefault="004863D2" w:rsidP="00D8625E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8504BA">
              <w:rPr>
                <w:color w:val="000000" w:themeColor="text1"/>
                <w:sz w:val="19"/>
                <w:szCs w:val="19"/>
              </w:rPr>
              <w:t>-0.04</w:t>
            </w:r>
            <w:r>
              <w:rPr>
                <w:color w:val="000000" w:themeColor="text1"/>
                <w:sz w:val="19"/>
                <w:szCs w:val="19"/>
              </w:rPr>
              <w:t>8</w:t>
            </w:r>
          </w:p>
          <w:p w14:paraId="7B2C0511" w14:textId="77777777" w:rsidR="004863D2" w:rsidRPr="008504BA" w:rsidRDefault="004863D2" w:rsidP="00D8625E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8504BA">
              <w:rPr>
                <w:color w:val="000000" w:themeColor="text1"/>
                <w:sz w:val="19"/>
                <w:szCs w:val="19"/>
              </w:rPr>
              <w:t>(0.03</w:t>
            </w:r>
            <w:r>
              <w:rPr>
                <w:color w:val="000000" w:themeColor="text1"/>
                <w:sz w:val="19"/>
                <w:szCs w:val="19"/>
              </w:rPr>
              <w:t>2</w:t>
            </w:r>
            <w:r w:rsidRPr="008504BA">
              <w:rPr>
                <w:color w:val="000000" w:themeColor="text1"/>
                <w:sz w:val="19"/>
                <w:szCs w:val="19"/>
              </w:rPr>
              <w:t>)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2CB640B" w14:textId="77777777" w:rsidR="004863D2" w:rsidRPr="008504BA" w:rsidRDefault="004863D2" w:rsidP="00D8625E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8504BA">
              <w:rPr>
                <w:color w:val="000000" w:themeColor="text1"/>
                <w:sz w:val="19"/>
                <w:szCs w:val="19"/>
              </w:rPr>
              <w:t>0.026</w:t>
            </w:r>
          </w:p>
          <w:p w14:paraId="2FC9F867" w14:textId="77777777" w:rsidR="004863D2" w:rsidRPr="008504BA" w:rsidRDefault="004863D2" w:rsidP="00D8625E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8504BA">
              <w:rPr>
                <w:color w:val="000000" w:themeColor="text1"/>
                <w:sz w:val="19"/>
                <w:szCs w:val="19"/>
              </w:rPr>
              <w:t>(0.03</w:t>
            </w:r>
            <w:r>
              <w:rPr>
                <w:color w:val="000000" w:themeColor="text1"/>
                <w:sz w:val="19"/>
                <w:szCs w:val="19"/>
              </w:rPr>
              <w:t>4</w:t>
            </w:r>
            <w:r w:rsidRPr="008504BA">
              <w:rPr>
                <w:color w:val="000000" w:themeColor="text1"/>
                <w:sz w:val="19"/>
                <w:szCs w:val="19"/>
              </w:rPr>
              <w:t>)</w:t>
            </w:r>
          </w:p>
        </w:tc>
        <w:tc>
          <w:tcPr>
            <w:tcW w:w="99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4B4B4D" w14:textId="77777777" w:rsidR="004863D2" w:rsidRPr="008504BA" w:rsidRDefault="004863D2" w:rsidP="00D8625E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8504BA">
              <w:rPr>
                <w:color w:val="000000" w:themeColor="text1"/>
                <w:sz w:val="19"/>
                <w:szCs w:val="19"/>
              </w:rPr>
              <w:t>-0.03</w:t>
            </w:r>
            <w:r>
              <w:rPr>
                <w:color w:val="000000" w:themeColor="text1"/>
                <w:sz w:val="19"/>
                <w:szCs w:val="19"/>
              </w:rPr>
              <w:t>5</w:t>
            </w:r>
          </w:p>
          <w:p w14:paraId="4D94B88A" w14:textId="77777777" w:rsidR="004863D2" w:rsidRPr="008504BA" w:rsidRDefault="004863D2" w:rsidP="00D8625E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8504BA">
              <w:rPr>
                <w:color w:val="000000" w:themeColor="text1"/>
                <w:sz w:val="19"/>
                <w:szCs w:val="19"/>
              </w:rPr>
              <w:t>(0.0</w:t>
            </w:r>
            <w:r>
              <w:rPr>
                <w:color w:val="000000" w:themeColor="text1"/>
                <w:sz w:val="19"/>
                <w:szCs w:val="19"/>
              </w:rPr>
              <w:t>30</w:t>
            </w:r>
            <w:r w:rsidRPr="008504BA">
              <w:rPr>
                <w:color w:val="000000" w:themeColor="text1"/>
                <w:sz w:val="19"/>
                <w:szCs w:val="19"/>
              </w:rPr>
              <w:t>)</w:t>
            </w:r>
          </w:p>
        </w:tc>
      </w:tr>
      <w:tr w:rsidR="004863D2" w:rsidRPr="00DB1E85" w14:paraId="299254B0" w14:textId="77777777" w:rsidTr="00D8625E"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0B2C659" w14:textId="77777777" w:rsidR="004863D2" w:rsidRPr="005F66DE" w:rsidRDefault="004863D2" w:rsidP="00D8625E">
            <w:pPr>
              <w:jc w:val="center"/>
              <w:rPr>
                <w:sz w:val="19"/>
                <w:szCs w:val="19"/>
              </w:rPr>
            </w:pPr>
            <w:r w:rsidRPr="005F66DE">
              <w:rPr>
                <w:sz w:val="19"/>
                <w:szCs w:val="19"/>
              </w:rPr>
              <w:t>4</w:t>
            </w:r>
          </w:p>
        </w:tc>
        <w:tc>
          <w:tcPr>
            <w:tcW w:w="3389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5702E5C" w14:textId="77777777" w:rsidR="004863D2" w:rsidRPr="005F66DE" w:rsidRDefault="004863D2" w:rsidP="00D8625E">
            <w:pPr>
              <w:jc w:val="center"/>
              <w:rPr>
                <w:sz w:val="19"/>
                <w:szCs w:val="19"/>
              </w:rPr>
            </w:pPr>
            <w:r w:rsidRPr="005F66DE">
              <w:rPr>
                <w:sz w:val="19"/>
                <w:szCs w:val="19"/>
              </w:rPr>
              <w:t>Investor</w:t>
            </w:r>
            <w:r>
              <w:rPr>
                <w:sz w:val="19"/>
                <w:szCs w:val="19"/>
              </w:rPr>
              <w:t xml:space="preserve"> </w:t>
            </w:r>
            <w:r w:rsidRPr="005F66DE">
              <w:rPr>
                <w:sz w:val="19"/>
                <w:szCs w:val="19"/>
              </w:rPr>
              <w:t>Chose</w:t>
            </w:r>
            <w:r>
              <w:rPr>
                <w:sz w:val="19"/>
                <w:szCs w:val="19"/>
              </w:rPr>
              <w:t xml:space="preserve"> </w:t>
            </w:r>
            <w:r w:rsidRPr="005F66DE">
              <w:rPr>
                <w:sz w:val="19"/>
                <w:szCs w:val="19"/>
              </w:rPr>
              <w:t>to</w:t>
            </w:r>
            <w:r>
              <w:rPr>
                <w:sz w:val="19"/>
                <w:szCs w:val="19"/>
              </w:rPr>
              <w:t xml:space="preserve"> </w:t>
            </w:r>
            <w:r w:rsidRPr="005F66DE">
              <w:rPr>
                <w:sz w:val="19"/>
                <w:szCs w:val="19"/>
              </w:rPr>
              <w:t>Fund</w:t>
            </w:r>
            <w:r>
              <w:rPr>
                <w:sz w:val="19"/>
                <w:szCs w:val="19"/>
              </w:rPr>
              <w:t xml:space="preserve"> </w:t>
            </w:r>
            <w:r w:rsidRPr="005F66DE">
              <w:rPr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 xml:space="preserve"> </w:t>
            </w:r>
            <w:r w:rsidRPr="005F66DE">
              <w:rPr>
                <w:sz w:val="19"/>
                <w:szCs w:val="19"/>
              </w:rPr>
              <w:t>Bank</w:t>
            </w:r>
            <w:r>
              <w:rPr>
                <w:sz w:val="19"/>
                <w:szCs w:val="19"/>
              </w:rPr>
              <w:t xml:space="preserve"> </w:t>
            </w:r>
            <w:r w:rsidRPr="005F66DE">
              <w:rPr>
                <w:sz w:val="19"/>
                <w:szCs w:val="19"/>
              </w:rPr>
              <w:t>in</w:t>
            </w:r>
            <w:r>
              <w:rPr>
                <w:sz w:val="19"/>
                <w:szCs w:val="19"/>
              </w:rPr>
              <w:t xml:space="preserve"> </w:t>
            </w:r>
            <w:r w:rsidRPr="005F66DE">
              <w:rPr>
                <w:i/>
                <w:sz w:val="19"/>
                <w:szCs w:val="19"/>
              </w:rPr>
              <w:t>t-1</w:t>
            </w:r>
          </w:p>
          <w:p w14:paraId="0BAF33CD" w14:textId="77777777" w:rsidR="004863D2" w:rsidRPr="005F66DE" w:rsidRDefault="004863D2" w:rsidP="00D8625E">
            <w:pPr>
              <w:jc w:val="center"/>
              <w:rPr>
                <w:i/>
                <w:sz w:val="19"/>
                <w:szCs w:val="19"/>
              </w:rPr>
            </w:pPr>
            <w:r w:rsidRPr="005F66DE">
              <w:rPr>
                <w:sz w:val="19"/>
                <w:szCs w:val="19"/>
              </w:rPr>
              <w:t>Seen</w:t>
            </w:r>
            <w:r>
              <w:rPr>
                <w:sz w:val="19"/>
                <w:szCs w:val="19"/>
              </w:rPr>
              <w:t xml:space="preserve"> </w:t>
            </w:r>
            <w:r w:rsidRPr="005F66DE">
              <w:rPr>
                <w:sz w:val="19"/>
                <w:szCs w:val="19"/>
              </w:rPr>
              <w:t>Borrowing</w:t>
            </w:r>
            <w:r>
              <w:rPr>
                <w:sz w:val="19"/>
                <w:szCs w:val="19"/>
              </w:rPr>
              <w:t xml:space="preserve"> </w:t>
            </w:r>
            <w:r w:rsidRPr="005F66DE">
              <w:rPr>
                <w:sz w:val="19"/>
                <w:szCs w:val="19"/>
              </w:rPr>
              <w:t>at</w:t>
            </w:r>
            <w:r>
              <w:rPr>
                <w:sz w:val="19"/>
                <w:szCs w:val="19"/>
              </w:rPr>
              <w:t xml:space="preserve"> </w:t>
            </w:r>
            <w:r w:rsidRPr="005F66DE">
              <w:rPr>
                <w:sz w:val="19"/>
                <w:szCs w:val="19"/>
              </w:rPr>
              <w:t>the</w:t>
            </w:r>
            <w:r>
              <w:rPr>
                <w:sz w:val="19"/>
                <w:szCs w:val="19"/>
              </w:rPr>
              <w:t xml:space="preserve"> </w:t>
            </w:r>
            <w:r w:rsidRPr="005F66DE">
              <w:rPr>
                <w:sz w:val="19"/>
                <w:szCs w:val="19"/>
              </w:rPr>
              <w:t>DW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5B62F1AC" w14:textId="77777777" w:rsidR="004863D2" w:rsidRPr="008504BA" w:rsidRDefault="004863D2" w:rsidP="00D8625E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__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DDE4825" w14:textId="77777777" w:rsidR="004863D2" w:rsidRPr="008504BA" w:rsidRDefault="004863D2" w:rsidP="00D8625E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__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5382AC86" w14:textId="77777777" w:rsidR="004863D2" w:rsidRPr="008504BA" w:rsidRDefault="004863D2" w:rsidP="00D8625E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8504BA">
              <w:rPr>
                <w:color w:val="000000" w:themeColor="text1"/>
                <w:sz w:val="19"/>
                <w:szCs w:val="19"/>
              </w:rPr>
              <w:t>0.</w:t>
            </w:r>
            <w:r>
              <w:rPr>
                <w:color w:val="000000" w:themeColor="text1"/>
                <w:sz w:val="19"/>
                <w:szCs w:val="19"/>
              </w:rPr>
              <w:t>299</w:t>
            </w:r>
            <w:r w:rsidRPr="008504BA">
              <w:rPr>
                <w:color w:val="000000" w:themeColor="text1"/>
                <w:sz w:val="19"/>
                <w:szCs w:val="19"/>
                <w:vertAlign w:val="superscript"/>
              </w:rPr>
              <w:t>***</w:t>
            </w:r>
          </w:p>
          <w:p w14:paraId="57217EE6" w14:textId="77777777" w:rsidR="004863D2" w:rsidRPr="008504BA" w:rsidRDefault="004863D2" w:rsidP="00D8625E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8504BA">
              <w:rPr>
                <w:color w:val="000000" w:themeColor="text1"/>
                <w:sz w:val="19"/>
                <w:szCs w:val="19"/>
              </w:rPr>
              <w:t>(0.03</w:t>
            </w:r>
            <w:r>
              <w:rPr>
                <w:color w:val="000000" w:themeColor="text1"/>
                <w:sz w:val="19"/>
                <w:szCs w:val="19"/>
              </w:rPr>
              <w:t>4</w:t>
            </w:r>
            <w:r w:rsidRPr="008504BA">
              <w:rPr>
                <w:color w:val="000000" w:themeColor="text1"/>
                <w:sz w:val="19"/>
                <w:szCs w:val="19"/>
              </w:rPr>
              <w:t>)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B0E1ED0" w14:textId="77777777" w:rsidR="004863D2" w:rsidRPr="008504BA" w:rsidRDefault="004863D2" w:rsidP="00D8625E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__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27C0E290" w14:textId="77777777" w:rsidR="004863D2" w:rsidRPr="008504BA" w:rsidRDefault="004863D2" w:rsidP="00D8625E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8504BA">
              <w:rPr>
                <w:color w:val="000000" w:themeColor="text1"/>
                <w:sz w:val="19"/>
                <w:szCs w:val="19"/>
              </w:rPr>
              <w:t>0.2</w:t>
            </w:r>
            <w:r>
              <w:rPr>
                <w:color w:val="000000" w:themeColor="text1"/>
                <w:sz w:val="19"/>
                <w:szCs w:val="19"/>
              </w:rPr>
              <w:t>78</w:t>
            </w:r>
            <w:r w:rsidRPr="008504BA">
              <w:rPr>
                <w:color w:val="000000" w:themeColor="text1"/>
                <w:sz w:val="19"/>
                <w:szCs w:val="19"/>
                <w:vertAlign w:val="superscript"/>
              </w:rPr>
              <w:t>***</w:t>
            </w:r>
          </w:p>
          <w:p w14:paraId="2DC06F5A" w14:textId="77777777" w:rsidR="004863D2" w:rsidRPr="008504BA" w:rsidRDefault="004863D2" w:rsidP="00D8625E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8504BA">
              <w:rPr>
                <w:color w:val="000000" w:themeColor="text1"/>
                <w:sz w:val="19"/>
                <w:szCs w:val="19"/>
              </w:rPr>
              <w:t>(0.031)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A7C9CA5" w14:textId="77777777" w:rsidR="004863D2" w:rsidRPr="008504BA" w:rsidRDefault="004863D2" w:rsidP="00D8625E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__</w:t>
            </w:r>
          </w:p>
        </w:tc>
      </w:tr>
      <w:tr w:rsidR="004863D2" w:rsidRPr="00DB1E85" w14:paraId="1230D0EC" w14:textId="77777777" w:rsidTr="00D8625E">
        <w:tc>
          <w:tcPr>
            <w:tcW w:w="45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DC7A93E" w14:textId="77777777" w:rsidR="004863D2" w:rsidRPr="005F66DE" w:rsidRDefault="004863D2" w:rsidP="00D8625E">
            <w:pPr>
              <w:jc w:val="center"/>
              <w:rPr>
                <w:sz w:val="19"/>
                <w:szCs w:val="19"/>
              </w:rPr>
            </w:pPr>
            <w:r w:rsidRPr="005F66DE">
              <w:rPr>
                <w:sz w:val="19"/>
                <w:szCs w:val="19"/>
              </w:rPr>
              <w:t>5</w:t>
            </w:r>
          </w:p>
        </w:tc>
        <w:tc>
          <w:tcPr>
            <w:tcW w:w="3389" w:type="dxa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B4B067" w14:textId="77777777" w:rsidR="004863D2" w:rsidRPr="005F66DE" w:rsidRDefault="004863D2" w:rsidP="00D8625E">
            <w:pPr>
              <w:jc w:val="center"/>
              <w:rPr>
                <w:sz w:val="19"/>
                <w:szCs w:val="19"/>
              </w:rPr>
            </w:pPr>
            <w:r w:rsidRPr="005F66DE">
              <w:rPr>
                <w:sz w:val="19"/>
                <w:szCs w:val="19"/>
              </w:rPr>
              <w:t>Investor</w:t>
            </w:r>
            <w:r>
              <w:rPr>
                <w:sz w:val="19"/>
                <w:szCs w:val="19"/>
              </w:rPr>
              <w:t xml:space="preserve"> </w:t>
            </w:r>
            <w:r w:rsidRPr="005F66DE">
              <w:rPr>
                <w:sz w:val="19"/>
                <w:szCs w:val="19"/>
              </w:rPr>
              <w:t>Chose</w:t>
            </w:r>
            <w:r>
              <w:rPr>
                <w:sz w:val="19"/>
                <w:szCs w:val="19"/>
              </w:rPr>
              <w:t xml:space="preserve"> </w:t>
            </w:r>
            <w:r w:rsidRPr="005F66DE">
              <w:rPr>
                <w:sz w:val="19"/>
                <w:szCs w:val="19"/>
              </w:rPr>
              <w:t>to</w:t>
            </w:r>
            <w:r>
              <w:rPr>
                <w:sz w:val="19"/>
                <w:szCs w:val="19"/>
              </w:rPr>
              <w:t xml:space="preserve"> </w:t>
            </w:r>
            <w:r w:rsidRPr="005F66DE">
              <w:rPr>
                <w:sz w:val="19"/>
                <w:szCs w:val="19"/>
              </w:rPr>
              <w:t>Fund</w:t>
            </w:r>
            <w:r>
              <w:rPr>
                <w:sz w:val="19"/>
                <w:szCs w:val="19"/>
              </w:rPr>
              <w:t xml:space="preserve"> </w:t>
            </w:r>
            <w:r w:rsidRPr="005F66DE">
              <w:rPr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 xml:space="preserve"> </w:t>
            </w:r>
            <w:r w:rsidRPr="005F66DE">
              <w:rPr>
                <w:sz w:val="19"/>
                <w:szCs w:val="19"/>
              </w:rPr>
              <w:t>Bank</w:t>
            </w:r>
            <w:r>
              <w:rPr>
                <w:sz w:val="19"/>
                <w:szCs w:val="19"/>
              </w:rPr>
              <w:t xml:space="preserve"> </w:t>
            </w:r>
            <w:r w:rsidRPr="005F66DE">
              <w:rPr>
                <w:sz w:val="19"/>
                <w:szCs w:val="19"/>
              </w:rPr>
              <w:t>in</w:t>
            </w:r>
            <w:r>
              <w:rPr>
                <w:sz w:val="19"/>
                <w:szCs w:val="19"/>
              </w:rPr>
              <w:t xml:space="preserve"> </w:t>
            </w:r>
            <w:r w:rsidRPr="005F66DE">
              <w:rPr>
                <w:i/>
                <w:sz w:val="19"/>
                <w:szCs w:val="19"/>
              </w:rPr>
              <w:t>t-1</w:t>
            </w:r>
          </w:p>
          <w:p w14:paraId="71E02313" w14:textId="77777777" w:rsidR="004863D2" w:rsidRPr="005F66DE" w:rsidRDefault="004863D2" w:rsidP="00D8625E">
            <w:pPr>
              <w:jc w:val="center"/>
              <w:rPr>
                <w:i/>
                <w:sz w:val="19"/>
                <w:szCs w:val="19"/>
              </w:rPr>
            </w:pPr>
            <w:r w:rsidRPr="005F66DE">
              <w:rPr>
                <w:sz w:val="19"/>
                <w:szCs w:val="19"/>
              </w:rPr>
              <w:t>Not</w:t>
            </w:r>
            <w:r>
              <w:rPr>
                <w:sz w:val="19"/>
                <w:szCs w:val="19"/>
              </w:rPr>
              <w:t xml:space="preserve"> </w:t>
            </w:r>
            <w:r w:rsidRPr="005F66DE">
              <w:rPr>
                <w:sz w:val="19"/>
                <w:szCs w:val="19"/>
              </w:rPr>
              <w:t>Seen</w:t>
            </w:r>
            <w:r>
              <w:rPr>
                <w:sz w:val="19"/>
                <w:szCs w:val="19"/>
              </w:rPr>
              <w:t xml:space="preserve"> </w:t>
            </w:r>
            <w:r w:rsidRPr="005F66DE">
              <w:rPr>
                <w:sz w:val="19"/>
                <w:szCs w:val="19"/>
              </w:rPr>
              <w:t>Borrowing</w:t>
            </w:r>
            <w:r>
              <w:rPr>
                <w:sz w:val="19"/>
                <w:szCs w:val="19"/>
              </w:rPr>
              <w:t xml:space="preserve"> </w:t>
            </w:r>
            <w:r w:rsidRPr="005F66DE">
              <w:rPr>
                <w:sz w:val="19"/>
                <w:szCs w:val="19"/>
              </w:rPr>
              <w:t>at</w:t>
            </w:r>
            <w:r>
              <w:rPr>
                <w:sz w:val="19"/>
                <w:szCs w:val="19"/>
              </w:rPr>
              <w:t xml:space="preserve"> </w:t>
            </w:r>
            <w:r w:rsidRPr="005F66DE">
              <w:rPr>
                <w:sz w:val="19"/>
                <w:szCs w:val="19"/>
              </w:rPr>
              <w:t>the</w:t>
            </w:r>
            <w:r>
              <w:rPr>
                <w:sz w:val="19"/>
                <w:szCs w:val="19"/>
              </w:rPr>
              <w:t xml:space="preserve"> </w:t>
            </w:r>
            <w:r w:rsidRPr="005F66DE">
              <w:rPr>
                <w:sz w:val="19"/>
                <w:szCs w:val="19"/>
              </w:rPr>
              <w:t>DW</w:t>
            </w:r>
            <w:r>
              <w:rPr>
                <w:sz w:val="19"/>
                <w:szCs w:val="19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EAE90EE" w14:textId="77777777" w:rsidR="004863D2" w:rsidRPr="008504BA" w:rsidRDefault="004863D2" w:rsidP="00D8625E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__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FACC35" w14:textId="77777777" w:rsidR="004863D2" w:rsidRPr="008504BA" w:rsidRDefault="004863D2" w:rsidP="00D8625E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__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578ED9D" w14:textId="77777777" w:rsidR="004863D2" w:rsidRPr="008504BA" w:rsidRDefault="004863D2" w:rsidP="00D8625E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__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406A23" w14:textId="77777777" w:rsidR="004863D2" w:rsidRPr="008504BA" w:rsidRDefault="004863D2" w:rsidP="00D8625E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8504BA">
              <w:rPr>
                <w:color w:val="000000" w:themeColor="text1"/>
                <w:sz w:val="19"/>
                <w:szCs w:val="19"/>
              </w:rPr>
              <w:t>0.21</w:t>
            </w:r>
            <w:r>
              <w:rPr>
                <w:color w:val="000000" w:themeColor="text1"/>
                <w:sz w:val="19"/>
                <w:szCs w:val="19"/>
              </w:rPr>
              <w:t>7</w:t>
            </w:r>
            <w:r w:rsidRPr="008504BA">
              <w:rPr>
                <w:color w:val="000000" w:themeColor="text1"/>
                <w:sz w:val="19"/>
                <w:szCs w:val="19"/>
                <w:vertAlign w:val="superscript"/>
              </w:rPr>
              <w:t>***</w:t>
            </w:r>
          </w:p>
          <w:p w14:paraId="7134B334" w14:textId="77777777" w:rsidR="004863D2" w:rsidRPr="008504BA" w:rsidRDefault="004863D2" w:rsidP="00D8625E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8504BA">
              <w:rPr>
                <w:color w:val="000000" w:themeColor="text1"/>
                <w:sz w:val="19"/>
                <w:szCs w:val="19"/>
              </w:rPr>
              <w:t>(0.04</w:t>
            </w:r>
            <w:r>
              <w:rPr>
                <w:color w:val="000000" w:themeColor="text1"/>
                <w:sz w:val="19"/>
                <w:szCs w:val="19"/>
              </w:rPr>
              <w:t>2</w:t>
            </w:r>
            <w:r w:rsidRPr="008504BA">
              <w:rPr>
                <w:color w:val="000000" w:themeColor="text1"/>
                <w:sz w:val="19"/>
                <w:szCs w:val="19"/>
              </w:rPr>
              <w:t>)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DCBC0B7" w14:textId="77777777" w:rsidR="004863D2" w:rsidRPr="008504BA" w:rsidRDefault="004863D2" w:rsidP="00D8625E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__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ACD278" w14:textId="77777777" w:rsidR="004863D2" w:rsidRPr="008504BA" w:rsidRDefault="004863D2" w:rsidP="00D8625E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8504BA">
              <w:rPr>
                <w:color w:val="000000" w:themeColor="text1"/>
                <w:sz w:val="19"/>
                <w:szCs w:val="19"/>
              </w:rPr>
              <w:t>0.2</w:t>
            </w:r>
            <w:r>
              <w:rPr>
                <w:color w:val="000000" w:themeColor="text1"/>
                <w:sz w:val="19"/>
                <w:szCs w:val="19"/>
              </w:rPr>
              <w:t>14</w:t>
            </w:r>
            <w:r w:rsidRPr="008504BA">
              <w:rPr>
                <w:color w:val="000000" w:themeColor="text1"/>
                <w:sz w:val="19"/>
                <w:szCs w:val="19"/>
                <w:vertAlign w:val="superscript"/>
              </w:rPr>
              <w:t>***</w:t>
            </w:r>
          </w:p>
          <w:p w14:paraId="6D1322F4" w14:textId="77777777" w:rsidR="004863D2" w:rsidRPr="008504BA" w:rsidRDefault="004863D2" w:rsidP="00D8625E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8504BA">
              <w:rPr>
                <w:color w:val="000000" w:themeColor="text1"/>
                <w:sz w:val="19"/>
                <w:szCs w:val="19"/>
              </w:rPr>
              <w:t>(0.0</w:t>
            </w:r>
            <w:r>
              <w:rPr>
                <w:color w:val="000000" w:themeColor="text1"/>
                <w:sz w:val="19"/>
                <w:szCs w:val="19"/>
              </w:rPr>
              <w:t>42</w:t>
            </w:r>
            <w:r w:rsidRPr="008504BA">
              <w:rPr>
                <w:color w:val="000000" w:themeColor="text1"/>
                <w:sz w:val="19"/>
                <w:szCs w:val="19"/>
              </w:rPr>
              <w:t>)</w:t>
            </w:r>
          </w:p>
        </w:tc>
      </w:tr>
      <w:tr w:rsidR="004863D2" w:rsidRPr="00DB1E85" w14:paraId="7CDD7B7B" w14:textId="77777777" w:rsidTr="00D8625E">
        <w:tc>
          <w:tcPr>
            <w:tcW w:w="45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5CB9EF6" w14:textId="77777777" w:rsidR="004863D2" w:rsidRPr="005F66DE" w:rsidRDefault="004863D2" w:rsidP="00D8625E">
            <w:pPr>
              <w:jc w:val="center"/>
              <w:rPr>
                <w:sz w:val="19"/>
                <w:szCs w:val="19"/>
              </w:rPr>
            </w:pPr>
            <w:r w:rsidRPr="005F66DE">
              <w:rPr>
                <w:sz w:val="19"/>
                <w:szCs w:val="19"/>
              </w:rPr>
              <w:t>6</w:t>
            </w:r>
          </w:p>
        </w:tc>
        <w:tc>
          <w:tcPr>
            <w:tcW w:w="3389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F9E2A2C" w14:textId="77777777" w:rsidR="004863D2" w:rsidRPr="005F66DE" w:rsidRDefault="004863D2" w:rsidP="00D8625E">
            <w:pPr>
              <w:jc w:val="center"/>
              <w:rPr>
                <w:sz w:val="19"/>
                <w:szCs w:val="19"/>
              </w:rPr>
            </w:pPr>
            <w:r w:rsidRPr="005F66DE">
              <w:rPr>
                <w:sz w:val="19"/>
                <w:szCs w:val="19"/>
              </w:rPr>
              <w:t>The</w:t>
            </w:r>
            <w:r>
              <w:rPr>
                <w:sz w:val="19"/>
                <w:szCs w:val="19"/>
              </w:rPr>
              <w:t xml:space="preserve"> </w:t>
            </w:r>
            <w:r w:rsidRPr="005F66DE">
              <w:rPr>
                <w:sz w:val="19"/>
                <w:szCs w:val="19"/>
              </w:rPr>
              <w:t>Investor</w:t>
            </w:r>
            <w:r>
              <w:rPr>
                <w:sz w:val="19"/>
                <w:szCs w:val="19"/>
              </w:rPr>
              <w:t xml:space="preserve"> </w:t>
            </w:r>
            <w:r w:rsidRPr="005F66DE">
              <w:rPr>
                <w:sz w:val="19"/>
                <w:szCs w:val="19"/>
              </w:rPr>
              <w:t>Actually</w:t>
            </w:r>
            <w:r>
              <w:rPr>
                <w:sz w:val="19"/>
                <w:szCs w:val="19"/>
              </w:rPr>
              <w:t xml:space="preserve"> </w:t>
            </w:r>
            <w:r w:rsidRPr="005F66DE">
              <w:rPr>
                <w:sz w:val="19"/>
                <w:szCs w:val="19"/>
              </w:rPr>
              <w:t>Funded</w:t>
            </w:r>
            <w:r>
              <w:rPr>
                <w:sz w:val="19"/>
                <w:szCs w:val="19"/>
              </w:rPr>
              <w:t xml:space="preserve"> </w:t>
            </w:r>
            <w:r w:rsidRPr="005F66DE">
              <w:rPr>
                <w:sz w:val="19"/>
                <w:szCs w:val="19"/>
              </w:rPr>
              <w:t>in</w:t>
            </w:r>
            <w:r>
              <w:rPr>
                <w:sz w:val="19"/>
                <w:szCs w:val="19"/>
              </w:rPr>
              <w:t xml:space="preserve"> </w:t>
            </w:r>
            <w:r w:rsidRPr="005F66DE">
              <w:rPr>
                <w:i/>
                <w:sz w:val="19"/>
                <w:szCs w:val="19"/>
              </w:rPr>
              <w:t>t-1</w:t>
            </w:r>
          </w:p>
          <w:p w14:paraId="11C4958E" w14:textId="77777777" w:rsidR="004863D2" w:rsidRPr="005F66DE" w:rsidRDefault="004863D2" w:rsidP="00D8625E">
            <w:pPr>
              <w:jc w:val="center"/>
              <w:rPr>
                <w:sz w:val="19"/>
                <w:szCs w:val="19"/>
              </w:rPr>
            </w:pPr>
            <w:r w:rsidRPr="005F66DE">
              <w:rPr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 xml:space="preserve"> </w:t>
            </w:r>
            <w:r w:rsidRPr="005F66DE">
              <w:rPr>
                <w:sz w:val="19"/>
                <w:szCs w:val="19"/>
              </w:rPr>
              <w:t>Detected</w:t>
            </w:r>
            <w:r>
              <w:rPr>
                <w:sz w:val="19"/>
                <w:szCs w:val="19"/>
              </w:rPr>
              <w:t xml:space="preserve"> </w:t>
            </w:r>
            <w:r w:rsidRPr="005F66DE">
              <w:rPr>
                <w:sz w:val="19"/>
                <w:szCs w:val="19"/>
              </w:rPr>
              <w:t>*</w:t>
            </w:r>
            <w:r>
              <w:rPr>
                <w:sz w:val="19"/>
                <w:szCs w:val="19"/>
              </w:rPr>
              <w:t xml:space="preserve"> </w:t>
            </w:r>
            <w:r w:rsidRPr="005F66DE">
              <w:rPr>
                <w:sz w:val="19"/>
                <w:szCs w:val="19"/>
              </w:rPr>
              <w:t>Solvent</w:t>
            </w:r>
            <w:r>
              <w:rPr>
                <w:sz w:val="19"/>
                <w:szCs w:val="19"/>
              </w:rPr>
              <w:t xml:space="preserve"> </w:t>
            </w:r>
            <w:r w:rsidRPr="005F66DE">
              <w:rPr>
                <w:sz w:val="19"/>
                <w:szCs w:val="19"/>
              </w:rPr>
              <w:t>Bank</w:t>
            </w:r>
            <w:r>
              <w:rPr>
                <w:sz w:val="19"/>
                <w:szCs w:val="19"/>
              </w:rPr>
              <w:t xml:space="preserve"> 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DAA2B93" w14:textId="77777777" w:rsidR="004863D2" w:rsidRPr="008504BA" w:rsidRDefault="004863D2" w:rsidP="00D8625E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__</w:t>
            </w:r>
          </w:p>
        </w:tc>
        <w:tc>
          <w:tcPr>
            <w:tcW w:w="99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45668B7" w14:textId="77777777" w:rsidR="004863D2" w:rsidRPr="008504BA" w:rsidRDefault="004863D2" w:rsidP="00D8625E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__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1FC04CE" w14:textId="77777777" w:rsidR="004863D2" w:rsidRPr="008504BA" w:rsidRDefault="004863D2" w:rsidP="00D8625E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8504BA">
              <w:rPr>
                <w:color w:val="000000" w:themeColor="text1"/>
                <w:sz w:val="19"/>
                <w:szCs w:val="19"/>
              </w:rPr>
              <w:t>0.</w:t>
            </w:r>
            <w:r>
              <w:rPr>
                <w:color w:val="000000" w:themeColor="text1"/>
                <w:sz w:val="19"/>
                <w:szCs w:val="19"/>
              </w:rPr>
              <w:t>202</w:t>
            </w:r>
            <w:r w:rsidRPr="008504BA">
              <w:rPr>
                <w:color w:val="000000" w:themeColor="text1"/>
                <w:sz w:val="19"/>
                <w:szCs w:val="19"/>
                <w:vertAlign w:val="superscript"/>
              </w:rPr>
              <w:t>**</w:t>
            </w:r>
          </w:p>
          <w:p w14:paraId="7C5121E2" w14:textId="77777777" w:rsidR="004863D2" w:rsidRPr="008504BA" w:rsidRDefault="004863D2" w:rsidP="00D8625E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8504BA">
              <w:rPr>
                <w:color w:val="000000" w:themeColor="text1"/>
                <w:sz w:val="19"/>
                <w:szCs w:val="19"/>
              </w:rPr>
              <w:t>(0.06</w:t>
            </w:r>
            <w:r>
              <w:rPr>
                <w:color w:val="000000" w:themeColor="text1"/>
                <w:sz w:val="19"/>
                <w:szCs w:val="19"/>
              </w:rPr>
              <w:t>6</w:t>
            </w:r>
            <w:r w:rsidRPr="008504BA">
              <w:rPr>
                <w:color w:val="000000" w:themeColor="text1"/>
                <w:sz w:val="19"/>
                <w:szCs w:val="19"/>
              </w:rPr>
              <w:t>)</w:t>
            </w:r>
          </w:p>
        </w:tc>
        <w:tc>
          <w:tcPr>
            <w:tcW w:w="99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F8DCD24" w14:textId="77777777" w:rsidR="004863D2" w:rsidRPr="008504BA" w:rsidRDefault="004863D2" w:rsidP="00D8625E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8504BA">
              <w:rPr>
                <w:color w:val="000000" w:themeColor="text1"/>
                <w:sz w:val="19"/>
                <w:szCs w:val="19"/>
              </w:rPr>
              <w:t>-0.02</w:t>
            </w:r>
            <w:r>
              <w:rPr>
                <w:color w:val="000000" w:themeColor="text1"/>
                <w:sz w:val="19"/>
                <w:szCs w:val="19"/>
              </w:rPr>
              <w:t>4</w:t>
            </w:r>
          </w:p>
          <w:p w14:paraId="0E03C99B" w14:textId="77777777" w:rsidR="004863D2" w:rsidRPr="008504BA" w:rsidRDefault="004863D2" w:rsidP="00D8625E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8504BA">
              <w:rPr>
                <w:color w:val="000000" w:themeColor="text1"/>
                <w:sz w:val="19"/>
                <w:szCs w:val="19"/>
              </w:rPr>
              <w:t>(0.064)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259E586" w14:textId="77777777" w:rsidR="004863D2" w:rsidRPr="008504BA" w:rsidRDefault="004863D2" w:rsidP="00D8625E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8504BA">
              <w:rPr>
                <w:color w:val="000000" w:themeColor="text1"/>
                <w:sz w:val="19"/>
                <w:szCs w:val="19"/>
              </w:rPr>
              <w:t>0.1</w:t>
            </w:r>
            <w:r>
              <w:rPr>
                <w:color w:val="000000" w:themeColor="text1"/>
                <w:sz w:val="19"/>
                <w:szCs w:val="19"/>
              </w:rPr>
              <w:t>93</w:t>
            </w:r>
            <w:r w:rsidRPr="008504BA">
              <w:rPr>
                <w:color w:val="000000" w:themeColor="text1"/>
                <w:sz w:val="19"/>
                <w:szCs w:val="19"/>
                <w:vertAlign w:val="superscript"/>
              </w:rPr>
              <w:t>**</w:t>
            </w:r>
          </w:p>
          <w:p w14:paraId="0DC71196" w14:textId="77777777" w:rsidR="004863D2" w:rsidRPr="008504BA" w:rsidRDefault="004863D2" w:rsidP="00D8625E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8504BA">
              <w:rPr>
                <w:color w:val="000000" w:themeColor="text1"/>
                <w:sz w:val="19"/>
                <w:szCs w:val="19"/>
              </w:rPr>
              <w:t>(0.06</w:t>
            </w:r>
            <w:r>
              <w:rPr>
                <w:color w:val="000000" w:themeColor="text1"/>
                <w:sz w:val="19"/>
                <w:szCs w:val="19"/>
              </w:rPr>
              <w:t>6</w:t>
            </w:r>
            <w:r w:rsidRPr="008504BA">
              <w:rPr>
                <w:color w:val="000000" w:themeColor="text1"/>
                <w:sz w:val="19"/>
                <w:szCs w:val="19"/>
              </w:rPr>
              <w:t>)</w:t>
            </w:r>
          </w:p>
        </w:tc>
        <w:tc>
          <w:tcPr>
            <w:tcW w:w="99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8FA5B0B" w14:textId="77777777" w:rsidR="004863D2" w:rsidRPr="008504BA" w:rsidRDefault="004863D2" w:rsidP="00D8625E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8504BA">
              <w:rPr>
                <w:color w:val="000000" w:themeColor="text1"/>
                <w:sz w:val="19"/>
                <w:szCs w:val="19"/>
              </w:rPr>
              <w:t>-0.0</w:t>
            </w:r>
            <w:r>
              <w:rPr>
                <w:color w:val="000000" w:themeColor="text1"/>
                <w:sz w:val="19"/>
                <w:szCs w:val="19"/>
              </w:rPr>
              <w:t>29</w:t>
            </w:r>
          </w:p>
          <w:p w14:paraId="27838DA3" w14:textId="77777777" w:rsidR="004863D2" w:rsidRPr="008504BA" w:rsidRDefault="004863D2" w:rsidP="00D8625E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8504BA">
              <w:rPr>
                <w:color w:val="000000" w:themeColor="text1"/>
                <w:sz w:val="19"/>
                <w:szCs w:val="19"/>
              </w:rPr>
              <w:t>(0.06</w:t>
            </w:r>
            <w:r>
              <w:rPr>
                <w:color w:val="000000" w:themeColor="text1"/>
                <w:sz w:val="19"/>
                <w:szCs w:val="19"/>
              </w:rPr>
              <w:t>5</w:t>
            </w:r>
            <w:r w:rsidRPr="008504BA">
              <w:rPr>
                <w:color w:val="000000" w:themeColor="text1"/>
                <w:sz w:val="19"/>
                <w:szCs w:val="19"/>
              </w:rPr>
              <w:t>)</w:t>
            </w:r>
          </w:p>
        </w:tc>
      </w:tr>
      <w:tr w:rsidR="004863D2" w:rsidRPr="00DB1E85" w14:paraId="223FEDA5" w14:textId="77777777" w:rsidTr="00D8625E">
        <w:tc>
          <w:tcPr>
            <w:tcW w:w="45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7D712A5" w14:textId="77777777" w:rsidR="004863D2" w:rsidRPr="005F66DE" w:rsidRDefault="004863D2" w:rsidP="00D8625E">
            <w:pPr>
              <w:jc w:val="center"/>
              <w:rPr>
                <w:sz w:val="19"/>
                <w:szCs w:val="19"/>
              </w:rPr>
            </w:pPr>
            <w:r w:rsidRPr="005F66DE">
              <w:rPr>
                <w:sz w:val="19"/>
                <w:szCs w:val="19"/>
              </w:rPr>
              <w:t>7</w:t>
            </w:r>
          </w:p>
        </w:tc>
        <w:tc>
          <w:tcPr>
            <w:tcW w:w="3389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0F3329C" w14:textId="77777777" w:rsidR="004863D2" w:rsidRPr="005F66DE" w:rsidRDefault="004863D2" w:rsidP="00D8625E">
            <w:pPr>
              <w:jc w:val="center"/>
              <w:rPr>
                <w:sz w:val="19"/>
                <w:szCs w:val="19"/>
              </w:rPr>
            </w:pPr>
            <w:r w:rsidRPr="005F66DE">
              <w:rPr>
                <w:sz w:val="19"/>
                <w:szCs w:val="19"/>
              </w:rPr>
              <w:t>The</w:t>
            </w:r>
            <w:r>
              <w:rPr>
                <w:sz w:val="19"/>
                <w:szCs w:val="19"/>
              </w:rPr>
              <w:t xml:space="preserve"> </w:t>
            </w:r>
            <w:r w:rsidRPr="005F66DE">
              <w:rPr>
                <w:sz w:val="19"/>
                <w:szCs w:val="19"/>
              </w:rPr>
              <w:t>Investor</w:t>
            </w:r>
            <w:r>
              <w:rPr>
                <w:sz w:val="19"/>
                <w:szCs w:val="19"/>
              </w:rPr>
              <w:t xml:space="preserve"> </w:t>
            </w:r>
            <w:r w:rsidRPr="005F66DE">
              <w:rPr>
                <w:sz w:val="19"/>
                <w:szCs w:val="19"/>
              </w:rPr>
              <w:t>Actually</w:t>
            </w:r>
            <w:r>
              <w:rPr>
                <w:sz w:val="19"/>
                <w:szCs w:val="19"/>
              </w:rPr>
              <w:t xml:space="preserve"> </w:t>
            </w:r>
            <w:r w:rsidRPr="005F66DE">
              <w:rPr>
                <w:sz w:val="19"/>
                <w:szCs w:val="19"/>
              </w:rPr>
              <w:t>Funded</w:t>
            </w:r>
            <w:r>
              <w:rPr>
                <w:sz w:val="19"/>
                <w:szCs w:val="19"/>
              </w:rPr>
              <w:t xml:space="preserve"> </w:t>
            </w:r>
            <w:r w:rsidRPr="005F66DE">
              <w:rPr>
                <w:sz w:val="19"/>
                <w:szCs w:val="19"/>
              </w:rPr>
              <w:t>in</w:t>
            </w:r>
            <w:r>
              <w:rPr>
                <w:sz w:val="19"/>
                <w:szCs w:val="19"/>
              </w:rPr>
              <w:t xml:space="preserve"> </w:t>
            </w:r>
            <w:r w:rsidRPr="005F66DE">
              <w:rPr>
                <w:i/>
                <w:sz w:val="19"/>
                <w:szCs w:val="19"/>
              </w:rPr>
              <w:t>t-1</w:t>
            </w:r>
          </w:p>
          <w:p w14:paraId="3CE96F60" w14:textId="77777777" w:rsidR="004863D2" w:rsidRPr="005F66DE" w:rsidRDefault="004863D2" w:rsidP="00D8625E">
            <w:pPr>
              <w:jc w:val="center"/>
              <w:rPr>
                <w:i/>
                <w:sz w:val="19"/>
                <w:szCs w:val="19"/>
              </w:rPr>
            </w:pPr>
            <w:r w:rsidRPr="005F66DE">
              <w:rPr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 xml:space="preserve"> </w:t>
            </w:r>
            <w:r w:rsidRPr="005F66DE">
              <w:rPr>
                <w:sz w:val="19"/>
                <w:szCs w:val="19"/>
              </w:rPr>
              <w:t>Detected</w:t>
            </w:r>
            <w:r>
              <w:rPr>
                <w:sz w:val="19"/>
                <w:szCs w:val="19"/>
              </w:rPr>
              <w:t xml:space="preserve"> </w:t>
            </w:r>
            <w:r w:rsidRPr="005F66DE">
              <w:rPr>
                <w:sz w:val="19"/>
                <w:szCs w:val="19"/>
              </w:rPr>
              <w:t>*</w:t>
            </w:r>
            <w:r>
              <w:rPr>
                <w:sz w:val="19"/>
                <w:szCs w:val="19"/>
              </w:rPr>
              <w:t xml:space="preserve"> </w:t>
            </w:r>
            <w:r w:rsidRPr="005F66DE">
              <w:rPr>
                <w:sz w:val="19"/>
                <w:szCs w:val="19"/>
              </w:rPr>
              <w:t>Insolvent</w:t>
            </w:r>
            <w:r>
              <w:rPr>
                <w:sz w:val="19"/>
                <w:szCs w:val="19"/>
              </w:rPr>
              <w:t xml:space="preserve"> </w:t>
            </w:r>
            <w:r w:rsidRPr="005F66DE">
              <w:rPr>
                <w:sz w:val="19"/>
                <w:szCs w:val="19"/>
              </w:rPr>
              <w:t>Bank</w:t>
            </w:r>
          </w:p>
        </w:tc>
        <w:tc>
          <w:tcPr>
            <w:tcW w:w="1080" w:type="dxa"/>
            <w:tcBorders>
              <w:left w:val="single" w:sz="12" w:space="0" w:color="auto"/>
            </w:tcBorders>
            <w:vAlign w:val="center"/>
          </w:tcPr>
          <w:p w14:paraId="62629482" w14:textId="77777777" w:rsidR="004863D2" w:rsidRPr="008504BA" w:rsidRDefault="004863D2" w:rsidP="00D8625E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__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vAlign w:val="center"/>
          </w:tcPr>
          <w:p w14:paraId="7AE828DF" w14:textId="77777777" w:rsidR="004863D2" w:rsidRPr="008504BA" w:rsidRDefault="004863D2" w:rsidP="00D8625E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__</w:t>
            </w:r>
          </w:p>
        </w:tc>
        <w:tc>
          <w:tcPr>
            <w:tcW w:w="1080" w:type="dxa"/>
            <w:tcBorders>
              <w:left w:val="single" w:sz="12" w:space="0" w:color="auto"/>
            </w:tcBorders>
            <w:vAlign w:val="center"/>
          </w:tcPr>
          <w:p w14:paraId="3774F790" w14:textId="77777777" w:rsidR="004863D2" w:rsidRPr="008504BA" w:rsidRDefault="004863D2" w:rsidP="00D8625E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8504BA">
              <w:rPr>
                <w:color w:val="000000" w:themeColor="text1"/>
                <w:sz w:val="19"/>
                <w:szCs w:val="19"/>
              </w:rPr>
              <w:t>-0.</w:t>
            </w:r>
            <w:r>
              <w:rPr>
                <w:color w:val="000000" w:themeColor="text1"/>
                <w:sz w:val="19"/>
                <w:szCs w:val="19"/>
              </w:rPr>
              <w:t>267</w:t>
            </w:r>
            <w:r w:rsidRPr="008504BA">
              <w:rPr>
                <w:color w:val="000000" w:themeColor="text1"/>
                <w:sz w:val="19"/>
                <w:szCs w:val="19"/>
                <w:vertAlign w:val="superscript"/>
              </w:rPr>
              <w:t>***</w:t>
            </w:r>
          </w:p>
          <w:p w14:paraId="1D4A0F3B" w14:textId="77777777" w:rsidR="004863D2" w:rsidRPr="008504BA" w:rsidRDefault="004863D2" w:rsidP="00D8625E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8504BA">
              <w:rPr>
                <w:color w:val="000000" w:themeColor="text1"/>
                <w:sz w:val="19"/>
                <w:szCs w:val="19"/>
              </w:rPr>
              <w:t>(0.0</w:t>
            </w:r>
            <w:r>
              <w:rPr>
                <w:color w:val="000000" w:themeColor="text1"/>
                <w:sz w:val="19"/>
                <w:szCs w:val="19"/>
              </w:rPr>
              <w:t>67</w:t>
            </w:r>
            <w:r w:rsidRPr="008504BA">
              <w:rPr>
                <w:color w:val="000000" w:themeColor="text1"/>
                <w:sz w:val="19"/>
                <w:szCs w:val="19"/>
              </w:rPr>
              <w:t>)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vAlign w:val="center"/>
          </w:tcPr>
          <w:p w14:paraId="3D36FB96" w14:textId="77777777" w:rsidR="004863D2" w:rsidRPr="008504BA" w:rsidRDefault="004863D2" w:rsidP="00D8625E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8504BA">
              <w:rPr>
                <w:color w:val="000000" w:themeColor="text1"/>
                <w:sz w:val="19"/>
                <w:szCs w:val="19"/>
              </w:rPr>
              <w:t>-0.07</w:t>
            </w:r>
            <w:r>
              <w:rPr>
                <w:color w:val="000000" w:themeColor="text1"/>
                <w:sz w:val="19"/>
                <w:szCs w:val="19"/>
              </w:rPr>
              <w:t>5</w:t>
            </w:r>
          </w:p>
          <w:p w14:paraId="015E8954" w14:textId="77777777" w:rsidR="004863D2" w:rsidRPr="008504BA" w:rsidRDefault="004863D2" w:rsidP="00D8625E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8504BA">
              <w:rPr>
                <w:color w:val="000000" w:themeColor="text1"/>
                <w:sz w:val="19"/>
                <w:szCs w:val="19"/>
              </w:rPr>
              <w:t>(0.05</w:t>
            </w:r>
            <w:r>
              <w:rPr>
                <w:color w:val="000000" w:themeColor="text1"/>
                <w:sz w:val="19"/>
                <w:szCs w:val="19"/>
              </w:rPr>
              <w:t>4</w:t>
            </w:r>
            <w:r w:rsidRPr="008504BA">
              <w:rPr>
                <w:color w:val="000000" w:themeColor="text1"/>
                <w:sz w:val="19"/>
                <w:szCs w:val="19"/>
              </w:rPr>
              <w:t>)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vAlign w:val="center"/>
          </w:tcPr>
          <w:p w14:paraId="22C71B35" w14:textId="77777777" w:rsidR="004863D2" w:rsidRPr="008504BA" w:rsidRDefault="004863D2" w:rsidP="00D8625E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8504BA">
              <w:rPr>
                <w:color w:val="000000" w:themeColor="text1"/>
                <w:sz w:val="19"/>
                <w:szCs w:val="19"/>
              </w:rPr>
              <w:t>-0.</w:t>
            </w:r>
            <w:r>
              <w:rPr>
                <w:color w:val="000000" w:themeColor="text1"/>
                <w:sz w:val="19"/>
                <w:szCs w:val="19"/>
              </w:rPr>
              <w:t>268</w:t>
            </w:r>
            <w:r w:rsidRPr="008504BA">
              <w:rPr>
                <w:color w:val="000000" w:themeColor="text1"/>
                <w:sz w:val="19"/>
                <w:szCs w:val="19"/>
                <w:vertAlign w:val="superscript"/>
              </w:rPr>
              <w:t>***</w:t>
            </w:r>
          </w:p>
          <w:p w14:paraId="4B6B82DE" w14:textId="77777777" w:rsidR="004863D2" w:rsidRPr="008504BA" w:rsidRDefault="004863D2" w:rsidP="00D8625E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8504BA">
              <w:rPr>
                <w:color w:val="000000" w:themeColor="text1"/>
                <w:sz w:val="19"/>
                <w:szCs w:val="19"/>
              </w:rPr>
              <w:t>(0.0</w:t>
            </w:r>
            <w:r>
              <w:rPr>
                <w:color w:val="000000" w:themeColor="text1"/>
                <w:sz w:val="19"/>
                <w:szCs w:val="19"/>
              </w:rPr>
              <w:t>64</w:t>
            </w:r>
            <w:r w:rsidRPr="008504BA">
              <w:rPr>
                <w:color w:val="000000" w:themeColor="text1"/>
                <w:sz w:val="19"/>
                <w:szCs w:val="19"/>
              </w:rPr>
              <w:t>)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vAlign w:val="center"/>
          </w:tcPr>
          <w:p w14:paraId="76884FFB" w14:textId="77777777" w:rsidR="004863D2" w:rsidRPr="008504BA" w:rsidRDefault="004863D2" w:rsidP="00D8625E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8504BA">
              <w:rPr>
                <w:color w:val="000000" w:themeColor="text1"/>
                <w:sz w:val="19"/>
                <w:szCs w:val="19"/>
              </w:rPr>
              <w:t>-0.07</w:t>
            </w:r>
            <w:r>
              <w:rPr>
                <w:color w:val="000000" w:themeColor="text1"/>
                <w:sz w:val="19"/>
                <w:szCs w:val="19"/>
              </w:rPr>
              <w:t>1</w:t>
            </w:r>
          </w:p>
          <w:p w14:paraId="667143B9" w14:textId="77777777" w:rsidR="004863D2" w:rsidRPr="008504BA" w:rsidRDefault="004863D2" w:rsidP="00D8625E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8504BA">
              <w:rPr>
                <w:color w:val="000000" w:themeColor="text1"/>
                <w:sz w:val="19"/>
                <w:szCs w:val="19"/>
              </w:rPr>
              <w:t>(0.053)</w:t>
            </w:r>
          </w:p>
        </w:tc>
      </w:tr>
      <w:tr w:rsidR="004863D2" w:rsidRPr="00DB1E85" w14:paraId="68539448" w14:textId="77777777" w:rsidTr="00D8625E">
        <w:tc>
          <w:tcPr>
            <w:tcW w:w="45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98C99D4" w14:textId="77777777" w:rsidR="004863D2" w:rsidRPr="005F66DE" w:rsidRDefault="004863D2" w:rsidP="00D8625E">
            <w:pPr>
              <w:jc w:val="center"/>
              <w:rPr>
                <w:sz w:val="19"/>
                <w:szCs w:val="19"/>
              </w:rPr>
            </w:pPr>
            <w:r w:rsidRPr="005F66DE">
              <w:rPr>
                <w:sz w:val="19"/>
                <w:szCs w:val="19"/>
              </w:rPr>
              <w:t>8</w:t>
            </w:r>
          </w:p>
        </w:tc>
        <w:tc>
          <w:tcPr>
            <w:tcW w:w="3389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1F6070B" w14:textId="77777777" w:rsidR="004863D2" w:rsidRPr="005F66DE" w:rsidRDefault="004863D2" w:rsidP="00D8625E">
            <w:pPr>
              <w:jc w:val="center"/>
              <w:rPr>
                <w:sz w:val="19"/>
                <w:szCs w:val="19"/>
              </w:rPr>
            </w:pPr>
            <w:r w:rsidRPr="005F66DE">
              <w:rPr>
                <w:sz w:val="19"/>
                <w:szCs w:val="19"/>
              </w:rPr>
              <w:t>The</w:t>
            </w:r>
            <w:r>
              <w:rPr>
                <w:sz w:val="19"/>
                <w:szCs w:val="19"/>
              </w:rPr>
              <w:t xml:space="preserve"> </w:t>
            </w:r>
            <w:r w:rsidRPr="005F66DE">
              <w:rPr>
                <w:sz w:val="19"/>
                <w:szCs w:val="19"/>
              </w:rPr>
              <w:t>Investor</w:t>
            </w:r>
            <w:r>
              <w:rPr>
                <w:sz w:val="19"/>
                <w:szCs w:val="19"/>
              </w:rPr>
              <w:t xml:space="preserve"> </w:t>
            </w:r>
            <w:r w:rsidRPr="005F66DE">
              <w:rPr>
                <w:sz w:val="19"/>
                <w:szCs w:val="19"/>
              </w:rPr>
              <w:t>Actually</w:t>
            </w:r>
            <w:r>
              <w:rPr>
                <w:sz w:val="19"/>
                <w:szCs w:val="19"/>
              </w:rPr>
              <w:t xml:space="preserve"> </w:t>
            </w:r>
            <w:r w:rsidRPr="005F66DE">
              <w:rPr>
                <w:sz w:val="19"/>
                <w:szCs w:val="19"/>
              </w:rPr>
              <w:t>Funded</w:t>
            </w:r>
            <w:r>
              <w:rPr>
                <w:sz w:val="19"/>
                <w:szCs w:val="19"/>
              </w:rPr>
              <w:t xml:space="preserve"> </w:t>
            </w:r>
            <w:r w:rsidRPr="005F66DE">
              <w:rPr>
                <w:sz w:val="19"/>
                <w:szCs w:val="19"/>
              </w:rPr>
              <w:t>in</w:t>
            </w:r>
            <w:r>
              <w:rPr>
                <w:sz w:val="19"/>
                <w:szCs w:val="19"/>
              </w:rPr>
              <w:t xml:space="preserve"> </w:t>
            </w:r>
            <w:r w:rsidRPr="005F66DE">
              <w:rPr>
                <w:i/>
                <w:sz w:val="19"/>
                <w:szCs w:val="19"/>
              </w:rPr>
              <w:t>t-1</w:t>
            </w:r>
          </w:p>
          <w:p w14:paraId="06793792" w14:textId="77777777" w:rsidR="004863D2" w:rsidRPr="005F66DE" w:rsidRDefault="004863D2" w:rsidP="00D8625E">
            <w:pPr>
              <w:jc w:val="center"/>
              <w:rPr>
                <w:sz w:val="19"/>
                <w:szCs w:val="19"/>
              </w:rPr>
            </w:pPr>
            <w:r w:rsidRPr="005F66DE">
              <w:rPr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 xml:space="preserve"> </w:t>
            </w:r>
            <w:r w:rsidRPr="005F66DE">
              <w:rPr>
                <w:sz w:val="19"/>
                <w:szCs w:val="19"/>
              </w:rPr>
              <w:t>Non-detected</w:t>
            </w:r>
            <w:r>
              <w:rPr>
                <w:sz w:val="19"/>
                <w:szCs w:val="19"/>
              </w:rPr>
              <w:t xml:space="preserve"> </w:t>
            </w:r>
            <w:r w:rsidRPr="005F66DE">
              <w:rPr>
                <w:sz w:val="19"/>
                <w:szCs w:val="19"/>
              </w:rPr>
              <w:t>*</w:t>
            </w:r>
            <w:r>
              <w:rPr>
                <w:sz w:val="19"/>
                <w:szCs w:val="19"/>
              </w:rPr>
              <w:t xml:space="preserve"> </w:t>
            </w:r>
            <w:r w:rsidRPr="005F66DE">
              <w:rPr>
                <w:sz w:val="19"/>
                <w:szCs w:val="19"/>
              </w:rPr>
              <w:t>Solvent</w:t>
            </w:r>
            <w:r>
              <w:rPr>
                <w:sz w:val="19"/>
                <w:szCs w:val="19"/>
              </w:rPr>
              <w:t xml:space="preserve"> </w:t>
            </w:r>
            <w:r w:rsidRPr="005F66DE">
              <w:rPr>
                <w:sz w:val="19"/>
                <w:szCs w:val="19"/>
              </w:rPr>
              <w:t>Bank</w:t>
            </w:r>
          </w:p>
        </w:tc>
        <w:tc>
          <w:tcPr>
            <w:tcW w:w="1080" w:type="dxa"/>
            <w:tcBorders>
              <w:left w:val="single" w:sz="12" w:space="0" w:color="auto"/>
            </w:tcBorders>
            <w:vAlign w:val="center"/>
          </w:tcPr>
          <w:p w14:paraId="73559834" w14:textId="77777777" w:rsidR="004863D2" w:rsidRPr="008504BA" w:rsidRDefault="004863D2" w:rsidP="00D8625E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__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vAlign w:val="center"/>
          </w:tcPr>
          <w:p w14:paraId="35BCFDA0" w14:textId="77777777" w:rsidR="004863D2" w:rsidRPr="008504BA" w:rsidRDefault="004863D2" w:rsidP="00D8625E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__</w:t>
            </w:r>
          </w:p>
        </w:tc>
        <w:tc>
          <w:tcPr>
            <w:tcW w:w="1080" w:type="dxa"/>
            <w:tcBorders>
              <w:left w:val="single" w:sz="12" w:space="0" w:color="auto"/>
            </w:tcBorders>
            <w:vAlign w:val="center"/>
          </w:tcPr>
          <w:p w14:paraId="2E5AAAFC" w14:textId="77777777" w:rsidR="004863D2" w:rsidRPr="008504BA" w:rsidRDefault="004863D2" w:rsidP="00D8625E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8504BA">
              <w:rPr>
                <w:color w:val="000000" w:themeColor="text1"/>
                <w:sz w:val="19"/>
                <w:szCs w:val="19"/>
              </w:rPr>
              <w:t>0.02</w:t>
            </w:r>
            <w:r>
              <w:rPr>
                <w:color w:val="000000" w:themeColor="text1"/>
                <w:sz w:val="19"/>
                <w:szCs w:val="19"/>
              </w:rPr>
              <w:t>7</w:t>
            </w:r>
          </w:p>
          <w:p w14:paraId="675E4070" w14:textId="77777777" w:rsidR="004863D2" w:rsidRPr="008504BA" w:rsidRDefault="004863D2" w:rsidP="00D8625E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8504BA">
              <w:rPr>
                <w:color w:val="000000" w:themeColor="text1"/>
                <w:sz w:val="19"/>
                <w:szCs w:val="19"/>
              </w:rPr>
              <w:t>(0.02</w:t>
            </w:r>
            <w:r>
              <w:rPr>
                <w:color w:val="000000" w:themeColor="text1"/>
                <w:sz w:val="19"/>
                <w:szCs w:val="19"/>
              </w:rPr>
              <w:t>0</w:t>
            </w:r>
            <w:r w:rsidRPr="008504BA">
              <w:rPr>
                <w:color w:val="000000" w:themeColor="text1"/>
                <w:sz w:val="19"/>
                <w:szCs w:val="19"/>
              </w:rPr>
              <w:t>)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vAlign w:val="center"/>
          </w:tcPr>
          <w:p w14:paraId="25DB000D" w14:textId="77777777" w:rsidR="004863D2" w:rsidRPr="008504BA" w:rsidRDefault="004863D2" w:rsidP="00D8625E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8504BA">
              <w:rPr>
                <w:color w:val="000000" w:themeColor="text1"/>
                <w:sz w:val="19"/>
                <w:szCs w:val="19"/>
              </w:rPr>
              <w:t>0.0</w:t>
            </w:r>
            <w:r>
              <w:rPr>
                <w:color w:val="000000" w:themeColor="text1"/>
                <w:sz w:val="19"/>
                <w:szCs w:val="19"/>
              </w:rPr>
              <w:t>29</w:t>
            </w:r>
          </w:p>
          <w:p w14:paraId="5D9DB3C2" w14:textId="77777777" w:rsidR="004863D2" w:rsidRPr="008504BA" w:rsidRDefault="004863D2" w:rsidP="00D8625E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8504BA">
              <w:rPr>
                <w:color w:val="000000" w:themeColor="text1"/>
                <w:sz w:val="19"/>
                <w:szCs w:val="19"/>
              </w:rPr>
              <w:t>(0.03</w:t>
            </w:r>
            <w:r>
              <w:rPr>
                <w:color w:val="000000" w:themeColor="text1"/>
                <w:sz w:val="19"/>
                <w:szCs w:val="19"/>
              </w:rPr>
              <w:t>6</w:t>
            </w:r>
            <w:r w:rsidRPr="008504BA">
              <w:rPr>
                <w:color w:val="000000" w:themeColor="text1"/>
                <w:sz w:val="19"/>
                <w:szCs w:val="19"/>
              </w:rPr>
              <w:t>)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vAlign w:val="center"/>
          </w:tcPr>
          <w:p w14:paraId="06060CCC" w14:textId="77777777" w:rsidR="004863D2" w:rsidRPr="008504BA" w:rsidRDefault="004863D2" w:rsidP="00D8625E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8504BA">
              <w:rPr>
                <w:color w:val="000000" w:themeColor="text1"/>
                <w:sz w:val="19"/>
                <w:szCs w:val="19"/>
              </w:rPr>
              <w:t>0.0</w:t>
            </w:r>
            <w:r>
              <w:rPr>
                <w:color w:val="000000" w:themeColor="text1"/>
                <w:sz w:val="19"/>
                <w:szCs w:val="19"/>
              </w:rPr>
              <w:t>20</w:t>
            </w:r>
          </w:p>
          <w:p w14:paraId="31259021" w14:textId="77777777" w:rsidR="004863D2" w:rsidRPr="008504BA" w:rsidRDefault="004863D2" w:rsidP="00D8625E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8504BA">
              <w:rPr>
                <w:color w:val="000000" w:themeColor="text1"/>
                <w:sz w:val="19"/>
                <w:szCs w:val="19"/>
              </w:rPr>
              <w:t>(0.020)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vAlign w:val="center"/>
          </w:tcPr>
          <w:p w14:paraId="0917074D" w14:textId="77777777" w:rsidR="004863D2" w:rsidRPr="008504BA" w:rsidRDefault="004863D2" w:rsidP="00D8625E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8504BA">
              <w:rPr>
                <w:color w:val="000000" w:themeColor="text1"/>
                <w:sz w:val="19"/>
                <w:szCs w:val="19"/>
              </w:rPr>
              <w:t>0.0</w:t>
            </w:r>
            <w:r>
              <w:rPr>
                <w:color w:val="000000" w:themeColor="text1"/>
                <w:sz w:val="19"/>
                <w:szCs w:val="19"/>
              </w:rPr>
              <w:t>27</w:t>
            </w:r>
          </w:p>
          <w:p w14:paraId="537FC91F" w14:textId="77777777" w:rsidR="004863D2" w:rsidRPr="008504BA" w:rsidRDefault="004863D2" w:rsidP="00D8625E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8504BA">
              <w:rPr>
                <w:color w:val="000000" w:themeColor="text1"/>
                <w:sz w:val="19"/>
                <w:szCs w:val="19"/>
              </w:rPr>
              <w:t>(0.03</w:t>
            </w:r>
            <w:r>
              <w:rPr>
                <w:color w:val="000000" w:themeColor="text1"/>
                <w:sz w:val="19"/>
                <w:szCs w:val="19"/>
              </w:rPr>
              <w:t>6</w:t>
            </w:r>
            <w:r w:rsidRPr="008504BA">
              <w:rPr>
                <w:color w:val="000000" w:themeColor="text1"/>
                <w:sz w:val="19"/>
                <w:szCs w:val="19"/>
              </w:rPr>
              <w:t>)</w:t>
            </w:r>
          </w:p>
        </w:tc>
      </w:tr>
      <w:tr w:rsidR="004863D2" w:rsidRPr="00DB1E85" w14:paraId="635F2A4D" w14:textId="77777777" w:rsidTr="00D8625E">
        <w:tc>
          <w:tcPr>
            <w:tcW w:w="45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96C8F2E" w14:textId="77777777" w:rsidR="004863D2" w:rsidRPr="005F66DE" w:rsidRDefault="004863D2" w:rsidP="00D8625E">
            <w:pPr>
              <w:jc w:val="center"/>
              <w:rPr>
                <w:sz w:val="19"/>
                <w:szCs w:val="19"/>
              </w:rPr>
            </w:pPr>
            <w:r w:rsidRPr="005F66DE">
              <w:rPr>
                <w:sz w:val="19"/>
                <w:szCs w:val="19"/>
              </w:rPr>
              <w:t>9</w:t>
            </w:r>
          </w:p>
        </w:tc>
        <w:tc>
          <w:tcPr>
            <w:tcW w:w="3389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4BDCFAD" w14:textId="77777777" w:rsidR="004863D2" w:rsidRPr="005F66DE" w:rsidRDefault="004863D2" w:rsidP="00D8625E">
            <w:pPr>
              <w:jc w:val="center"/>
              <w:rPr>
                <w:sz w:val="19"/>
                <w:szCs w:val="19"/>
              </w:rPr>
            </w:pPr>
            <w:r w:rsidRPr="005F66DE">
              <w:rPr>
                <w:sz w:val="19"/>
                <w:szCs w:val="19"/>
              </w:rPr>
              <w:t>The</w:t>
            </w:r>
            <w:r>
              <w:rPr>
                <w:sz w:val="19"/>
                <w:szCs w:val="19"/>
              </w:rPr>
              <w:t xml:space="preserve"> </w:t>
            </w:r>
            <w:r w:rsidRPr="005F66DE">
              <w:rPr>
                <w:sz w:val="19"/>
                <w:szCs w:val="19"/>
              </w:rPr>
              <w:t>Investor</w:t>
            </w:r>
            <w:r>
              <w:rPr>
                <w:sz w:val="19"/>
                <w:szCs w:val="19"/>
              </w:rPr>
              <w:t xml:space="preserve"> </w:t>
            </w:r>
            <w:r w:rsidRPr="005F66DE">
              <w:rPr>
                <w:sz w:val="19"/>
                <w:szCs w:val="19"/>
              </w:rPr>
              <w:t>Actually</w:t>
            </w:r>
            <w:r>
              <w:rPr>
                <w:sz w:val="19"/>
                <w:szCs w:val="19"/>
              </w:rPr>
              <w:t xml:space="preserve"> </w:t>
            </w:r>
            <w:r w:rsidRPr="005F66DE">
              <w:rPr>
                <w:sz w:val="19"/>
                <w:szCs w:val="19"/>
              </w:rPr>
              <w:t>Funded</w:t>
            </w:r>
            <w:r>
              <w:rPr>
                <w:sz w:val="19"/>
                <w:szCs w:val="19"/>
              </w:rPr>
              <w:t xml:space="preserve"> </w:t>
            </w:r>
            <w:r w:rsidRPr="005F66DE">
              <w:rPr>
                <w:sz w:val="19"/>
                <w:szCs w:val="19"/>
              </w:rPr>
              <w:t>in</w:t>
            </w:r>
            <w:r>
              <w:rPr>
                <w:sz w:val="19"/>
                <w:szCs w:val="19"/>
              </w:rPr>
              <w:t xml:space="preserve"> </w:t>
            </w:r>
            <w:r w:rsidRPr="005F66DE">
              <w:rPr>
                <w:i/>
                <w:sz w:val="19"/>
                <w:szCs w:val="19"/>
              </w:rPr>
              <w:t>t-1</w:t>
            </w:r>
          </w:p>
          <w:p w14:paraId="00D4CBE9" w14:textId="77777777" w:rsidR="004863D2" w:rsidRPr="005F66DE" w:rsidRDefault="004863D2" w:rsidP="00D8625E">
            <w:pPr>
              <w:jc w:val="center"/>
              <w:rPr>
                <w:sz w:val="19"/>
                <w:szCs w:val="19"/>
              </w:rPr>
            </w:pPr>
            <w:r w:rsidRPr="005F66DE">
              <w:rPr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 xml:space="preserve"> </w:t>
            </w:r>
            <w:r w:rsidRPr="005F66DE">
              <w:rPr>
                <w:sz w:val="19"/>
                <w:szCs w:val="19"/>
              </w:rPr>
              <w:t>Non-detected</w:t>
            </w:r>
            <w:r>
              <w:rPr>
                <w:sz w:val="19"/>
                <w:szCs w:val="19"/>
              </w:rPr>
              <w:t xml:space="preserve"> </w:t>
            </w:r>
            <w:r w:rsidRPr="005F66DE">
              <w:rPr>
                <w:sz w:val="19"/>
                <w:szCs w:val="19"/>
              </w:rPr>
              <w:t>*</w:t>
            </w:r>
            <w:r>
              <w:rPr>
                <w:sz w:val="19"/>
                <w:szCs w:val="19"/>
              </w:rPr>
              <w:t xml:space="preserve"> </w:t>
            </w:r>
            <w:r w:rsidRPr="005F66DE">
              <w:rPr>
                <w:sz w:val="19"/>
                <w:szCs w:val="19"/>
              </w:rPr>
              <w:t>Insolvent</w:t>
            </w:r>
            <w:r>
              <w:rPr>
                <w:sz w:val="19"/>
                <w:szCs w:val="19"/>
              </w:rPr>
              <w:t xml:space="preserve"> </w:t>
            </w:r>
            <w:r w:rsidRPr="005F66DE">
              <w:rPr>
                <w:sz w:val="19"/>
                <w:szCs w:val="19"/>
              </w:rPr>
              <w:t>Bank</w:t>
            </w:r>
          </w:p>
        </w:tc>
        <w:tc>
          <w:tcPr>
            <w:tcW w:w="1080" w:type="dxa"/>
            <w:tcBorders>
              <w:left w:val="single" w:sz="12" w:space="0" w:color="auto"/>
            </w:tcBorders>
            <w:vAlign w:val="center"/>
          </w:tcPr>
          <w:p w14:paraId="7E9F55A0" w14:textId="77777777" w:rsidR="004863D2" w:rsidRPr="008504BA" w:rsidRDefault="004863D2" w:rsidP="00D8625E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__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vAlign w:val="center"/>
          </w:tcPr>
          <w:p w14:paraId="41A4CCDE" w14:textId="77777777" w:rsidR="004863D2" w:rsidRPr="008504BA" w:rsidRDefault="004863D2" w:rsidP="00D8625E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__</w:t>
            </w:r>
          </w:p>
        </w:tc>
        <w:tc>
          <w:tcPr>
            <w:tcW w:w="1080" w:type="dxa"/>
            <w:tcBorders>
              <w:left w:val="single" w:sz="12" w:space="0" w:color="auto"/>
            </w:tcBorders>
            <w:vAlign w:val="center"/>
          </w:tcPr>
          <w:p w14:paraId="6A543BAF" w14:textId="77777777" w:rsidR="004863D2" w:rsidRPr="008504BA" w:rsidRDefault="004863D2" w:rsidP="00D8625E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8504BA">
              <w:rPr>
                <w:color w:val="000000" w:themeColor="text1"/>
                <w:sz w:val="19"/>
                <w:szCs w:val="19"/>
              </w:rPr>
              <w:t>0.0</w:t>
            </w:r>
            <w:r>
              <w:rPr>
                <w:color w:val="000000" w:themeColor="text1"/>
                <w:sz w:val="19"/>
                <w:szCs w:val="19"/>
              </w:rPr>
              <w:t>08</w:t>
            </w:r>
          </w:p>
          <w:p w14:paraId="3C829D03" w14:textId="77777777" w:rsidR="004863D2" w:rsidRPr="008504BA" w:rsidRDefault="004863D2" w:rsidP="00D8625E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8504BA">
              <w:rPr>
                <w:color w:val="000000" w:themeColor="text1"/>
                <w:sz w:val="19"/>
                <w:szCs w:val="19"/>
              </w:rPr>
              <w:t>(0.02</w:t>
            </w:r>
            <w:r>
              <w:rPr>
                <w:color w:val="000000" w:themeColor="text1"/>
                <w:sz w:val="19"/>
                <w:szCs w:val="19"/>
              </w:rPr>
              <w:t>5</w:t>
            </w:r>
            <w:r w:rsidRPr="008504BA">
              <w:rPr>
                <w:color w:val="000000" w:themeColor="text1"/>
                <w:sz w:val="19"/>
                <w:szCs w:val="19"/>
              </w:rPr>
              <w:t>)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vAlign w:val="center"/>
          </w:tcPr>
          <w:p w14:paraId="79CE6044" w14:textId="77777777" w:rsidR="004863D2" w:rsidRPr="008504BA" w:rsidRDefault="004863D2" w:rsidP="00D8625E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8504BA">
              <w:rPr>
                <w:color w:val="000000" w:themeColor="text1"/>
                <w:sz w:val="19"/>
                <w:szCs w:val="19"/>
              </w:rPr>
              <w:t>-0.3</w:t>
            </w:r>
            <w:r>
              <w:rPr>
                <w:color w:val="000000" w:themeColor="text1"/>
                <w:sz w:val="19"/>
                <w:szCs w:val="19"/>
              </w:rPr>
              <w:t>4</w:t>
            </w:r>
            <w:r w:rsidRPr="008504BA">
              <w:rPr>
                <w:color w:val="000000" w:themeColor="text1"/>
                <w:sz w:val="19"/>
                <w:szCs w:val="19"/>
              </w:rPr>
              <w:t>9</w:t>
            </w:r>
            <w:r w:rsidRPr="008504BA">
              <w:rPr>
                <w:color w:val="000000" w:themeColor="text1"/>
                <w:sz w:val="19"/>
                <w:szCs w:val="19"/>
                <w:vertAlign w:val="superscript"/>
              </w:rPr>
              <w:t>***</w:t>
            </w:r>
          </w:p>
          <w:p w14:paraId="7D500B48" w14:textId="77777777" w:rsidR="004863D2" w:rsidRPr="008504BA" w:rsidRDefault="004863D2" w:rsidP="00D8625E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8504BA">
              <w:rPr>
                <w:color w:val="000000" w:themeColor="text1"/>
                <w:sz w:val="19"/>
                <w:szCs w:val="19"/>
              </w:rPr>
              <w:t>(0.0</w:t>
            </w:r>
            <w:r>
              <w:rPr>
                <w:color w:val="000000" w:themeColor="text1"/>
                <w:sz w:val="19"/>
                <w:szCs w:val="19"/>
              </w:rPr>
              <w:t>40</w:t>
            </w:r>
            <w:r w:rsidRPr="008504BA">
              <w:rPr>
                <w:color w:val="000000" w:themeColor="text1"/>
                <w:sz w:val="19"/>
                <w:szCs w:val="19"/>
              </w:rPr>
              <w:t>)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vAlign w:val="center"/>
          </w:tcPr>
          <w:p w14:paraId="02CDCFA8" w14:textId="77777777" w:rsidR="004863D2" w:rsidRPr="008504BA" w:rsidRDefault="004863D2" w:rsidP="00D8625E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8504BA">
              <w:rPr>
                <w:color w:val="000000" w:themeColor="text1"/>
                <w:sz w:val="19"/>
                <w:szCs w:val="19"/>
              </w:rPr>
              <w:t>0.00</w:t>
            </w:r>
            <w:r>
              <w:rPr>
                <w:color w:val="000000" w:themeColor="text1"/>
                <w:sz w:val="19"/>
                <w:szCs w:val="19"/>
              </w:rPr>
              <w:t>1</w:t>
            </w:r>
          </w:p>
          <w:p w14:paraId="2CA4154F" w14:textId="77777777" w:rsidR="004863D2" w:rsidRPr="008504BA" w:rsidRDefault="004863D2" w:rsidP="00D8625E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8504BA">
              <w:rPr>
                <w:color w:val="000000" w:themeColor="text1"/>
                <w:sz w:val="19"/>
                <w:szCs w:val="19"/>
              </w:rPr>
              <w:t>(0.02</w:t>
            </w:r>
            <w:r>
              <w:rPr>
                <w:color w:val="000000" w:themeColor="text1"/>
                <w:sz w:val="19"/>
                <w:szCs w:val="19"/>
              </w:rPr>
              <w:t>5</w:t>
            </w:r>
            <w:r w:rsidRPr="008504BA">
              <w:rPr>
                <w:color w:val="000000" w:themeColor="text1"/>
                <w:sz w:val="19"/>
                <w:szCs w:val="19"/>
              </w:rPr>
              <w:t>)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vAlign w:val="center"/>
          </w:tcPr>
          <w:p w14:paraId="2DD230CC" w14:textId="77777777" w:rsidR="004863D2" w:rsidRPr="008504BA" w:rsidRDefault="004863D2" w:rsidP="00D8625E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8504BA">
              <w:rPr>
                <w:color w:val="000000" w:themeColor="text1"/>
                <w:sz w:val="19"/>
                <w:szCs w:val="19"/>
              </w:rPr>
              <w:t>-0.3</w:t>
            </w:r>
            <w:r>
              <w:rPr>
                <w:color w:val="000000" w:themeColor="text1"/>
                <w:sz w:val="19"/>
                <w:szCs w:val="19"/>
              </w:rPr>
              <w:t>51</w:t>
            </w:r>
            <w:r w:rsidRPr="008504BA">
              <w:rPr>
                <w:color w:val="000000" w:themeColor="text1"/>
                <w:sz w:val="19"/>
                <w:szCs w:val="19"/>
                <w:vertAlign w:val="superscript"/>
              </w:rPr>
              <w:t>***</w:t>
            </w:r>
          </w:p>
          <w:p w14:paraId="73A6DC52" w14:textId="77777777" w:rsidR="004863D2" w:rsidRPr="008504BA" w:rsidRDefault="004863D2" w:rsidP="00D8625E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8504BA">
              <w:rPr>
                <w:color w:val="000000" w:themeColor="text1"/>
                <w:sz w:val="19"/>
                <w:szCs w:val="19"/>
              </w:rPr>
              <w:t>(0.0</w:t>
            </w:r>
            <w:r>
              <w:rPr>
                <w:color w:val="000000" w:themeColor="text1"/>
                <w:sz w:val="19"/>
                <w:szCs w:val="19"/>
              </w:rPr>
              <w:t>41</w:t>
            </w:r>
            <w:r w:rsidRPr="008504BA">
              <w:rPr>
                <w:color w:val="000000" w:themeColor="text1"/>
                <w:sz w:val="19"/>
                <w:szCs w:val="19"/>
              </w:rPr>
              <w:t>)</w:t>
            </w:r>
          </w:p>
        </w:tc>
      </w:tr>
      <w:tr w:rsidR="004863D2" w:rsidRPr="00DB1E85" w14:paraId="612A97A9" w14:textId="77777777" w:rsidTr="00D8625E">
        <w:tc>
          <w:tcPr>
            <w:tcW w:w="45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4E6B732" w14:textId="77777777" w:rsidR="004863D2" w:rsidRPr="005F66DE" w:rsidRDefault="004863D2" w:rsidP="00D8625E">
            <w:pPr>
              <w:jc w:val="center"/>
              <w:rPr>
                <w:sz w:val="19"/>
                <w:szCs w:val="19"/>
              </w:rPr>
            </w:pPr>
            <w:r w:rsidRPr="005F66DE">
              <w:rPr>
                <w:sz w:val="19"/>
                <w:szCs w:val="19"/>
              </w:rPr>
              <w:t>10</w:t>
            </w:r>
          </w:p>
        </w:tc>
        <w:tc>
          <w:tcPr>
            <w:tcW w:w="3389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20ED03B" w14:textId="77777777" w:rsidR="004863D2" w:rsidRPr="005F66DE" w:rsidRDefault="004863D2" w:rsidP="00D8625E">
            <w:pPr>
              <w:jc w:val="center"/>
              <w:rPr>
                <w:i/>
                <w:sz w:val="19"/>
                <w:szCs w:val="19"/>
              </w:rPr>
            </w:pPr>
            <w:r w:rsidRPr="005F66DE">
              <w:rPr>
                <w:sz w:val="19"/>
                <w:szCs w:val="19"/>
              </w:rPr>
              <w:t>Probability</w:t>
            </w:r>
            <w:r>
              <w:rPr>
                <w:sz w:val="19"/>
                <w:szCs w:val="19"/>
              </w:rPr>
              <w:t xml:space="preserve"> </w:t>
            </w:r>
            <w:r w:rsidRPr="005F66DE">
              <w:rPr>
                <w:sz w:val="19"/>
                <w:szCs w:val="19"/>
              </w:rPr>
              <w:t>of</w:t>
            </w:r>
            <w:r>
              <w:rPr>
                <w:sz w:val="19"/>
                <w:szCs w:val="19"/>
              </w:rPr>
              <w:t xml:space="preserve"> </w:t>
            </w:r>
            <w:r w:rsidRPr="005F66DE">
              <w:rPr>
                <w:sz w:val="19"/>
                <w:szCs w:val="19"/>
              </w:rPr>
              <w:t>Detection</w:t>
            </w:r>
            <w:r>
              <w:rPr>
                <w:sz w:val="19"/>
                <w:szCs w:val="19"/>
              </w:rPr>
              <w:t xml:space="preserve"> </w:t>
            </w:r>
            <w:r w:rsidRPr="005F66DE">
              <w:rPr>
                <w:sz w:val="19"/>
                <w:szCs w:val="19"/>
              </w:rPr>
              <w:t>in</w:t>
            </w:r>
            <w:r>
              <w:rPr>
                <w:sz w:val="19"/>
                <w:szCs w:val="19"/>
              </w:rPr>
              <w:t xml:space="preserve"> </w:t>
            </w:r>
            <w:r w:rsidRPr="005F66DE">
              <w:rPr>
                <w:i/>
                <w:sz w:val="19"/>
                <w:szCs w:val="19"/>
              </w:rPr>
              <w:t>t-1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D5743D1" w14:textId="77777777" w:rsidR="004863D2" w:rsidRPr="008504BA" w:rsidRDefault="004863D2" w:rsidP="00D8625E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__</w:t>
            </w:r>
          </w:p>
        </w:tc>
        <w:tc>
          <w:tcPr>
            <w:tcW w:w="99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7D1A7B5" w14:textId="77777777" w:rsidR="004863D2" w:rsidRPr="008504BA" w:rsidRDefault="004863D2" w:rsidP="00D8625E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__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11B8B1E" w14:textId="77777777" w:rsidR="004863D2" w:rsidRPr="008504BA" w:rsidRDefault="004863D2" w:rsidP="00D8625E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8504BA">
              <w:rPr>
                <w:color w:val="000000" w:themeColor="text1"/>
                <w:sz w:val="19"/>
                <w:szCs w:val="19"/>
              </w:rPr>
              <w:t>-0.0</w:t>
            </w:r>
            <w:r>
              <w:rPr>
                <w:color w:val="000000" w:themeColor="text1"/>
                <w:sz w:val="19"/>
                <w:szCs w:val="19"/>
              </w:rPr>
              <w:t>54</w:t>
            </w:r>
          </w:p>
          <w:p w14:paraId="78B4D8DC" w14:textId="77777777" w:rsidR="004863D2" w:rsidRPr="008504BA" w:rsidRDefault="004863D2" w:rsidP="00D8625E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8504BA">
              <w:rPr>
                <w:color w:val="000000" w:themeColor="text1"/>
                <w:sz w:val="19"/>
                <w:szCs w:val="19"/>
              </w:rPr>
              <w:t>(0.03</w:t>
            </w:r>
            <w:r>
              <w:rPr>
                <w:color w:val="000000" w:themeColor="text1"/>
                <w:sz w:val="19"/>
                <w:szCs w:val="19"/>
              </w:rPr>
              <w:t>6</w:t>
            </w:r>
            <w:r w:rsidRPr="008504BA">
              <w:rPr>
                <w:color w:val="000000" w:themeColor="text1"/>
                <w:sz w:val="19"/>
                <w:szCs w:val="19"/>
              </w:rPr>
              <w:t>)</w:t>
            </w:r>
          </w:p>
        </w:tc>
        <w:tc>
          <w:tcPr>
            <w:tcW w:w="99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CF05D64" w14:textId="77777777" w:rsidR="004863D2" w:rsidRPr="008504BA" w:rsidRDefault="004863D2" w:rsidP="00D8625E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8504BA">
              <w:rPr>
                <w:color w:val="000000" w:themeColor="text1"/>
                <w:sz w:val="19"/>
                <w:szCs w:val="19"/>
              </w:rPr>
              <w:t>0.0</w:t>
            </w:r>
            <w:r>
              <w:rPr>
                <w:color w:val="000000" w:themeColor="text1"/>
                <w:sz w:val="19"/>
                <w:szCs w:val="19"/>
              </w:rPr>
              <w:t>42</w:t>
            </w:r>
          </w:p>
          <w:p w14:paraId="3C3BADB4" w14:textId="77777777" w:rsidR="004863D2" w:rsidRPr="008504BA" w:rsidRDefault="004863D2" w:rsidP="00D8625E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8504BA">
              <w:rPr>
                <w:color w:val="000000" w:themeColor="text1"/>
                <w:sz w:val="19"/>
                <w:szCs w:val="19"/>
              </w:rPr>
              <w:t>(0.0</w:t>
            </w:r>
            <w:r>
              <w:rPr>
                <w:color w:val="000000" w:themeColor="text1"/>
                <w:sz w:val="19"/>
                <w:szCs w:val="19"/>
              </w:rPr>
              <w:t>30</w:t>
            </w:r>
            <w:r w:rsidRPr="008504BA">
              <w:rPr>
                <w:color w:val="000000" w:themeColor="text1"/>
                <w:sz w:val="19"/>
                <w:szCs w:val="19"/>
              </w:rPr>
              <w:t>)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883AD34" w14:textId="77777777" w:rsidR="004863D2" w:rsidRPr="008504BA" w:rsidRDefault="004863D2" w:rsidP="00D8625E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8504BA">
              <w:rPr>
                <w:color w:val="000000" w:themeColor="text1"/>
                <w:sz w:val="19"/>
                <w:szCs w:val="19"/>
              </w:rPr>
              <w:t>-0.0</w:t>
            </w:r>
            <w:r>
              <w:rPr>
                <w:color w:val="000000" w:themeColor="text1"/>
                <w:sz w:val="19"/>
                <w:szCs w:val="19"/>
              </w:rPr>
              <w:t>54</w:t>
            </w:r>
          </w:p>
          <w:p w14:paraId="4E98836C" w14:textId="77777777" w:rsidR="004863D2" w:rsidRPr="008504BA" w:rsidRDefault="004863D2" w:rsidP="00D8625E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8504BA">
              <w:rPr>
                <w:color w:val="000000" w:themeColor="text1"/>
                <w:sz w:val="19"/>
                <w:szCs w:val="19"/>
              </w:rPr>
              <w:t>(0.03</w:t>
            </w:r>
            <w:r>
              <w:rPr>
                <w:color w:val="000000" w:themeColor="text1"/>
                <w:sz w:val="19"/>
                <w:szCs w:val="19"/>
              </w:rPr>
              <w:t>5</w:t>
            </w:r>
            <w:r w:rsidRPr="008504BA">
              <w:rPr>
                <w:color w:val="000000" w:themeColor="text1"/>
                <w:sz w:val="19"/>
                <w:szCs w:val="19"/>
              </w:rPr>
              <w:t>)</w:t>
            </w:r>
          </w:p>
        </w:tc>
        <w:tc>
          <w:tcPr>
            <w:tcW w:w="99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BF6B6C7" w14:textId="77777777" w:rsidR="004863D2" w:rsidRPr="008504BA" w:rsidRDefault="004863D2" w:rsidP="00D8625E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8504BA">
              <w:rPr>
                <w:color w:val="000000" w:themeColor="text1"/>
                <w:sz w:val="19"/>
                <w:szCs w:val="19"/>
              </w:rPr>
              <w:t>0.0</w:t>
            </w:r>
            <w:r>
              <w:rPr>
                <w:color w:val="000000" w:themeColor="text1"/>
                <w:sz w:val="19"/>
                <w:szCs w:val="19"/>
              </w:rPr>
              <w:t>41</w:t>
            </w:r>
          </w:p>
          <w:p w14:paraId="52CEC363" w14:textId="77777777" w:rsidR="004863D2" w:rsidRPr="008504BA" w:rsidRDefault="004863D2" w:rsidP="00D8625E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8504BA">
              <w:rPr>
                <w:color w:val="000000" w:themeColor="text1"/>
                <w:sz w:val="19"/>
                <w:szCs w:val="19"/>
              </w:rPr>
              <w:t>(0.0</w:t>
            </w:r>
            <w:r>
              <w:rPr>
                <w:color w:val="000000" w:themeColor="text1"/>
                <w:sz w:val="19"/>
                <w:szCs w:val="19"/>
              </w:rPr>
              <w:t>31</w:t>
            </w:r>
            <w:r w:rsidRPr="008504BA">
              <w:rPr>
                <w:color w:val="000000" w:themeColor="text1"/>
                <w:sz w:val="19"/>
                <w:szCs w:val="19"/>
              </w:rPr>
              <w:t>)</w:t>
            </w:r>
          </w:p>
        </w:tc>
      </w:tr>
      <w:tr w:rsidR="004863D2" w:rsidRPr="00DB1E85" w14:paraId="4711E831" w14:textId="77777777" w:rsidTr="00D8625E">
        <w:tc>
          <w:tcPr>
            <w:tcW w:w="45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A092169" w14:textId="77777777" w:rsidR="004863D2" w:rsidRPr="005F66DE" w:rsidRDefault="004863D2" w:rsidP="00D8625E">
            <w:pPr>
              <w:jc w:val="center"/>
              <w:rPr>
                <w:sz w:val="19"/>
                <w:szCs w:val="19"/>
              </w:rPr>
            </w:pPr>
            <w:r w:rsidRPr="005F66DE">
              <w:rPr>
                <w:sz w:val="19"/>
                <w:szCs w:val="19"/>
              </w:rPr>
              <w:t>11</w:t>
            </w:r>
          </w:p>
        </w:tc>
        <w:tc>
          <w:tcPr>
            <w:tcW w:w="3389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B538C05" w14:textId="77777777" w:rsidR="004863D2" w:rsidRPr="005F66DE" w:rsidRDefault="004863D2" w:rsidP="00D8625E">
            <w:pPr>
              <w:jc w:val="center"/>
              <w:rPr>
                <w:sz w:val="19"/>
                <w:szCs w:val="19"/>
              </w:rPr>
            </w:pPr>
            <w:r w:rsidRPr="005F66DE">
              <w:rPr>
                <w:sz w:val="19"/>
                <w:szCs w:val="19"/>
              </w:rPr>
              <w:t>Percentage</w:t>
            </w:r>
            <w:r>
              <w:rPr>
                <w:sz w:val="19"/>
                <w:szCs w:val="19"/>
              </w:rPr>
              <w:t xml:space="preserve"> </w:t>
            </w:r>
            <w:r w:rsidRPr="005F66DE">
              <w:rPr>
                <w:sz w:val="19"/>
                <w:szCs w:val="19"/>
              </w:rPr>
              <w:t>of</w:t>
            </w:r>
            <w:r>
              <w:rPr>
                <w:sz w:val="19"/>
                <w:szCs w:val="19"/>
              </w:rPr>
              <w:t xml:space="preserve"> </w:t>
            </w:r>
            <w:r w:rsidRPr="005F66DE">
              <w:rPr>
                <w:sz w:val="19"/>
                <w:szCs w:val="19"/>
              </w:rPr>
              <w:t>Banks</w:t>
            </w:r>
            <w:r>
              <w:rPr>
                <w:sz w:val="19"/>
                <w:szCs w:val="19"/>
              </w:rPr>
              <w:t xml:space="preserve"> </w:t>
            </w:r>
            <w:r w:rsidRPr="005F66DE">
              <w:rPr>
                <w:sz w:val="19"/>
                <w:szCs w:val="19"/>
              </w:rPr>
              <w:t>that</w:t>
            </w:r>
            <w:r>
              <w:rPr>
                <w:sz w:val="19"/>
                <w:szCs w:val="19"/>
              </w:rPr>
              <w:t xml:space="preserve"> </w:t>
            </w:r>
            <w:r w:rsidRPr="005F66DE">
              <w:rPr>
                <w:sz w:val="19"/>
                <w:szCs w:val="19"/>
              </w:rPr>
              <w:t>Chose</w:t>
            </w:r>
            <w:r>
              <w:rPr>
                <w:sz w:val="19"/>
                <w:szCs w:val="19"/>
              </w:rPr>
              <w:t xml:space="preserve"> </w:t>
            </w:r>
            <w:r w:rsidRPr="005F66DE">
              <w:rPr>
                <w:sz w:val="19"/>
                <w:szCs w:val="19"/>
              </w:rPr>
              <w:t>to</w:t>
            </w:r>
            <w:r>
              <w:rPr>
                <w:sz w:val="19"/>
                <w:szCs w:val="19"/>
              </w:rPr>
              <w:t xml:space="preserve"> </w:t>
            </w:r>
            <w:r w:rsidRPr="005F66DE">
              <w:rPr>
                <w:sz w:val="19"/>
                <w:szCs w:val="19"/>
              </w:rPr>
              <w:t>Borrow</w:t>
            </w:r>
            <w:r>
              <w:rPr>
                <w:sz w:val="19"/>
                <w:szCs w:val="19"/>
              </w:rPr>
              <w:t xml:space="preserve"> </w:t>
            </w:r>
            <w:r w:rsidRPr="005F66DE">
              <w:rPr>
                <w:sz w:val="19"/>
                <w:szCs w:val="19"/>
              </w:rPr>
              <w:t>at</w:t>
            </w:r>
            <w:r>
              <w:rPr>
                <w:sz w:val="19"/>
                <w:szCs w:val="19"/>
              </w:rPr>
              <w:t xml:space="preserve"> </w:t>
            </w:r>
            <w:r w:rsidRPr="005F66DE">
              <w:rPr>
                <w:sz w:val="19"/>
                <w:szCs w:val="19"/>
              </w:rPr>
              <w:t>DW</w:t>
            </w:r>
            <w:r>
              <w:rPr>
                <w:sz w:val="19"/>
                <w:szCs w:val="19"/>
              </w:rPr>
              <w:t xml:space="preserve"> </w:t>
            </w:r>
            <w:r w:rsidRPr="005F66DE">
              <w:rPr>
                <w:sz w:val="19"/>
                <w:szCs w:val="19"/>
              </w:rPr>
              <w:t>if</w:t>
            </w:r>
            <w:r>
              <w:rPr>
                <w:sz w:val="19"/>
                <w:szCs w:val="19"/>
              </w:rPr>
              <w:t xml:space="preserve"> Solvent-illiquid </w:t>
            </w:r>
            <w:r w:rsidRPr="005F66DE">
              <w:rPr>
                <w:sz w:val="19"/>
                <w:szCs w:val="19"/>
              </w:rPr>
              <w:t>in</w:t>
            </w:r>
            <w:r>
              <w:rPr>
                <w:sz w:val="19"/>
                <w:szCs w:val="19"/>
              </w:rPr>
              <w:t xml:space="preserve"> </w:t>
            </w:r>
            <w:r w:rsidRPr="005F66DE">
              <w:rPr>
                <w:i/>
                <w:sz w:val="19"/>
                <w:szCs w:val="19"/>
              </w:rPr>
              <w:t>t-1</w:t>
            </w:r>
          </w:p>
        </w:tc>
        <w:tc>
          <w:tcPr>
            <w:tcW w:w="1080" w:type="dxa"/>
            <w:tcBorders>
              <w:left w:val="single" w:sz="12" w:space="0" w:color="auto"/>
            </w:tcBorders>
            <w:vAlign w:val="center"/>
          </w:tcPr>
          <w:p w14:paraId="1F2F4B40" w14:textId="77777777" w:rsidR="004863D2" w:rsidRPr="008504BA" w:rsidRDefault="004863D2" w:rsidP="00D8625E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__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vAlign w:val="center"/>
          </w:tcPr>
          <w:p w14:paraId="746688E6" w14:textId="77777777" w:rsidR="004863D2" w:rsidRPr="008504BA" w:rsidRDefault="004863D2" w:rsidP="00D8625E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__</w:t>
            </w:r>
          </w:p>
        </w:tc>
        <w:tc>
          <w:tcPr>
            <w:tcW w:w="1080" w:type="dxa"/>
            <w:tcBorders>
              <w:left w:val="single" w:sz="12" w:space="0" w:color="auto"/>
            </w:tcBorders>
            <w:vAlign w:val="center"/>
          </w:tcPr>
          <w:p w14:paraId="1C9ED7AB" w14:textId="77777777" w:rsidR="004863D2" w:rsidRPr="008504BA" w:rsidRDefault="004863D2" w:rsidP="00D8625E">
            <w:pPr>
              <w:jc w:val="center"/>
              <w:rPr>
                <w:color w:val="000000" w:themeColor="text1"/>
                <w:sz w:val="19"/>
                <w:szCs w:val="19"/>
                <w:vertAlign w:val="superscript"/>
              </w:rPr>
            </w:pPr>
            <w:r w:rsidRPr="008504BA">
              <w:rPr>
                <w:color w:val="000000" w:themeColor="text1"/>
                <w:sz w:val="19"/>
                <w:szCs w:val="19"/>
              </w:rPr>
              <w:t>0.1</w:t>
            </w:r>
            <w:r>
              <w:rPr>
                <w:color w:val="000000" w:themeColor="text1"/>
                <w:sz w:val="19"/>
                <w:szCs w:val="19"/>
              </w:rPr>
              <w:t>38</w:t>
            </w:r>
            <w:r w:rsidRPr="008504BA">
              <w:rPr>
                <w:color w:val="000000" w:themeColor="text1"/>
                <w:sz w:val="19"/>
                <w:szCs w:val="19"/>
                <w:vertAlign w:val="superscript"/>
              </w:rPr>
              <w:t>**</w:t>
            </w:r>
          </w:p>
          <w:p w14:paraId="14C47532" w14:textId="77777777" w:rsidR="004863D2" w:rsidRPr="008504BA" w:rsidRDefault="004863D2" w:rsidP="00D8625E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8504BA">
              <w:rPr>
                <w:color w:val="000000" w:themeColor="text1"/>
                <w:sz w:val="19"/>
                <w:szCs w:val="19"/>
              </w:rPr>
              <w:t>(0.04</w:t>
            </w:r>
            <w:r>
              <w:rPr>
                <w:color w:val="000000" w:themeColor="text1"/>
                <w:sz w:val="19"/>
                <w:szCs w:val="19"/>
              </w:rPr>
              <w:t>5</w:t>
            </w:r>
            <w:r w:rsidRPr="008504BA">
              <w:rPr>
                <w:color w:val="000000" w:themeColor="text1"/>
                <w:sz w:val="19"/>
                <w:szCs w:val="19"/>
              </w:rPr>
              <w:t>)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vAlign w:val="center"/>
          </w:tcPr>
          <w:p w14:paraId="4FD0A9DF" w14:textId="77777777" w:rsidR="004863D2" w:rsidRPr="008504BA" w:rsidRDefault="004863D2" w:rsidP="00D8625E">
            <w:pPr>
              <w:jc w:val="center"/>
              <w:rPr>
                <w:color w:val="000000" w:themeColor="text1"/>
                <w:sz w:val="19"/>
                <w:szCs w:val="19"/>
                <w:vertAlign w:val="superscript"/>
              </w:rPr>
            </w:pPr>
            <w:r w:rsidRPr="008504BA">
              <w:rPr>
                <w:color w:val="000000" w:themeColor="text1"/>
                <w:sz w:val="19"/>
                <w:szCs w:val="19"/>
              </w:rPr>
              <w:t>-0.05</w:t>
            </w:r>
            <w:r>
              <w:rPr>
                <w:color w:val="000000" w:themeColor="text1"/>
                <w:sz w:val="19"/>
                <w:szCs w:val="19"/>
              </w:rPr>
              <w:t>5</w:t>
            </w:r>
          </w:p>
          <w:p w14:paraId="1311BE62" w14:textId="77777777" w:rsidR="004863D2" w:rsidRPr="008504BA" w:rsidRDefault="004863D2" w:rsidP="00D8625E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8504BA">
              <w:rPr>
                <w:color w:val="000000" w:themeColor="text1"/>
                <w:sz w:val="19"/>
                <w:szCs w:val="19"/>
              </w:rPr>
              <w:t>(0.03</w:t>
            </w:r>
            <w:r>
              <w:rPr>
                <w:color w:val="000000" w:themeColor="text1"/>
                <w:sz w:val="19"/>
                <w:szCs w:val="19"/>
              </w:rPr>
              <w:t>5</w:t>
            </w:r>
            <w:r w:rsidRPr="008504BA">
              <w:rPr>
                <w:color w:val="000000" w:themeColor="text1"/>
                <w:sz w:val="19"/>
                <w:szCs w:val="19"/>
              </w:rPr>
              <w:t>)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vAlign w:val="center"/>
          </w:tcPr>
          <w:p w14:paraId="2AC17E6F" w14:textId="77777777" w:rsidR="004863D2" w:rsidRPr="008504BA" w:rsidRDefault="004863D2" w:rsidP="00D8625E">
            <w:pPr>
              <w:jc w:val="center"/>
              <w:rPr>
                <w:color w:val="000000" w:themeColor="text1"/>
                <w:sz w:val="19"/>
                <w:szCs w:val="19"/>
                <w:vertAlign w:val="superscript"/>
              </w:rPr>
            </w:pPr>
            <w:r w:rsidRPr="008504BA">
              <w:rPr>
                <w:color w:val="000000" w:themeColor="text1"/>
                <w:sz w:val="19"/>
                <w:szCs w:val="19"/>
              </w:rPr>
              <w:t>0.1</w:t>
            </w:r>
            <w:r>
              <w:rPr>
                <w:color w:val="000000" w:themeColor="text1"/>
                <w:sz w:val="19"/>
                <w:szCs w:val="19"/>
              </w:rPr>
              <w:t>72</w:t>
            </w:r>
            <w:r w:rsidRPr="008504BA">
              <w:rPr>
                <w:color w:val="000000" w:themeColor="text1"/>
                <w:sz w:val="19"/>
                <w:szCs w:val="19"/>
                <w:vertAlign w:val="superscript"/>
              </w:rPr>
              <w:t>***</w:t>
            </w:r>
          </w:p>
          <w:p w14:paraId="5C1C3114" w14:textId="77777777" w:rsidR="004863D2" w:rsidRPr="008504BA" w:rsidRDefault="004863D2" w:rsidP="00D8625E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8504BA">
              <w:rPr>
                <w:color w:val="000000" w:themeColor="text1"/>
                <w:sz w:val="19"/>
                <w:szCs w:val="19"/>
              </w:rPr>
              <w:t>(0.04</w:t>
            </w:r>
            <w:r>
              <w:rPr>
                <w:color w:val="000000" w:themeColor="text1"/>
                <w:sz w:val="19"/>
                <w:szCs w:val="19"/>
              </w:rPr>
              <w:t>1</w:t>
            </w:r>
            <w:r w:rsidRPr="008504BA">
              <w:rPr>
                <w:color w:val="000000" w:themeColor="text1"/>
                <w:sz w:val="19"/>
                <w:szCs w:val="19"/>
              </w:rPr>
              <w:t>)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vAlign w:val="center"/>
          </w:tcPr>
          <w:p w14:paraId="4093B46B" w14:textId="77777777" w:rsidR="004863D2" w:rsidRPr="008504BA" w:rsidRDefault="004863D2" w:rsidP="00D8625E">
            <w:pPr>
              <w:jc w:val="center"/>
              <w:rPr>
                <w:color w:val="000000" w:themeColor="text1"/>
                <w:sz w:val="19"/>
                <w:szCs w:val="19"/>
                <w:vertAlign w:val="superscript"/>
              </w:rPr>
            </w:pPr>
            <w:r w:rsidRPr="008504BA">
              <w:rPr>
                <w:color w:val="000000" w:themeColor="text1"/>
                <w:sz w:val="19"/>
                <w:szCs w:val="19"/>
              </w:rPr>
              <w:t>-0.0</w:t>
            </w:r>
            <w:r>
              <w:rPr>
                <w:color w:val="000000" w:themeColor="text1"/>
                <w:sz w:val="19"/>
                <w:szCs w:val="19"/>
              </w:rPr>
              <w:t>41</w:t>
            </w:r>
          </w:p>
          <w:p w14:paraId="7D7D32C7" w14:textId="77777777" w:rsidR="004863D2" w:rsidRPr="008504BA" w:rsidRDefault="004863D2" w:rsidP="00D8625E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8504BA">
              <w:rPr>
                <w:color w:val="000000" w:themeColor="text1"/>
                <w:sz w:val="19"/>
                <w:szCs w:val="19"/>
              </w:rPr>
              <w:t>(0.03</w:t>
            </w:r>
            <w:r>
              <w:rPr>
                <w:color w:val="000000" w:themeColor="text1"/>
                <w:sz w:val="19"/>
                <w:szCs w:val="19"/>
              </w:rPr>
              <w:t>6</w:t>
            </w:r>
            <w:r w:rsidRPr="008504BA">
              <w:rPr>
                <w:color w:val="000000" w:themeColor="text1"/>
                <w:sz w:val="19"/>
                <w:szCs w:val="19"/>
              </w:rPr>
              <w:t>)</w:t>
            </w:r>
          </w:p>
        </w:tc>
      </w:tr>
      <w:tr w:rsidR="004863D2" w:rsidRPr="00DB1E85" w14:paraId="4A59A646" w14:textId="77777777" w:rsidTr="00D8625E">
        <w:tc>
          <w:tcPr>
            <w:tcW w:w="45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50568DC" w14:textId="77777777" w:rsidR="004863D2" w:rsidRPr="005F66DE" w:rsidRDefault="004863D2" w:rsidP="00D8625E">
            <w:pPr>
              <w:jc w:val="center"/>
              <w:rPr>
                <w:sz w:val="19"/>
                <w:szCs w:val="19"/>
              </w:rPr>
            </w:pPr>
            <w:r w:rsidRPr="005F66DE">
              <w:rPr>
                <w:sz w:val="19"/>
                <w:szCs w:val="19"/>
              </w:rPr>
              <w:t>12</w:t>
            </w:r>
          </w:p>
        </w:tc>
        <w:tc>
          <w:tcPr>
            <w:tcW w:w="3389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B947739" w14:textId="77777777" w:rsidR="004863D2" w:rsidRPr="005F66DE" w:rsidRDefault="004863D2" w:rsidP="00D8625E">
            <w:pPr>
              <w:jc w:val="center"/>
              <w:rPr>
                <w:sz w:val="19"/>
                <w:szCs w:val="19"/>
              </w:rPr>
            </w:pPr>
            <w:r w:rsidRPr="005F66DE">
              <w:rPr>
                <w:sz w:val="19"/>
                <w:szCs w:val="19"/>
              </w:rPr>
              <w:t>Percentage</w:t>
            </w:r>
            <w:r>
              <w:rPr>
                <w:sz w:val="19"/>
                <w:szCs w:val="19"/>
              </w:rPr>
              <w:t xml:space="preserve"> </w:t>
            </w:r>
            <w:r w:rsidRPr="005F66DE">
              <w:rPr>
                <w:sz w:val="19"/>
                <w:szCs w:val="19"/>
              </w:rPr>
              <w:t>of</w:t>
            </w:r>
            <w:r>
              <w:rPr>
                <w:sz w:val="19"/>
                <w:szCs w:val="19"/>
              </w:rPr>
              <w:t xml:space="preserve"> </w:t>
            </w:r>
            <w:r w:rsidRPr="005F66DE">
              <w:rPr>
                <w:sz w:val="19"/>
                <w:szCs w:val="19"/>
              </w:rPr>
              <w:t>Banks</w:t>
            </w:r>
            <w:r>
              <w:rPr>
                <w:sz w:val="19"/>
                <w:szCs w:val="19"/>
              </w:rPr>
              <w:t xml:space="preserve"> </w:t>
            </w:r>
            <w:r w:rsidRPr="005F66DE">
              <w:rPr>
                <w:sz w:val="19"/>
                <w:szCs w:val="19"/>
              </w:rPr>
              <w:t>that</w:t>
            </w:r>
            <w:r>
              <w:rPr>
                <w:sz w:val="19"/>
                <w:szCs w:val="19"/>
              </w:rPr>
              <w:t xml:space="preserve"> </w:t>
            </w:r>
            <w:r w:rsidRPr="005F66DE">
              <w:rPr>
                <w:sz w:val="19"/>
                <w:szCs w:val="19"/>
              </w:rPr>
              <w:t>Chose</w:t>
            </w:r>
            <w:r>
              <w:rPr>
                <w:sz w:val="19"/>
                <w:szCs w:val="19"/>
              </w:rPr>
              <w:t xml:space="preserve"> </w:t>
            </w:r>
            <w:r w:rsidRPr="005F66DE">
              <w:rPr>
                <w:sz w:val="19"/>
                <w:szCs w:val="19"/>
              </w:rPr>
              <w:t>to</w:t>
            </w:r>
            <w:r>
              <w:rPr>
                <w:sz w:val="19"/>
                <w:szCs w:val="19"/>
              </w:rPr>
              <w:t xml:space="preserve"> </w:t>
            </w:r>
            <w:r w:rsidRPr="005F66DE">
              <w:rPr>
                <w:sz w:val="19"/>
                <w:szCs w:val="19"/>
              </w:rPr>
              <w:t>Borrow</w:t>
            </w:r>
            <w:r>
              <w:rPr>
                <w:sz w:val="19"/>
                <w:szCs w:val="19"/>
              </w:rPr>
              <w:t xml:space="preserve"> </w:t>
            </w:r>
            <w:r w:rsidRPr="005F66DE">
              <w:rPr>
                <w:sz w:val="19"/>
                <w:szCs w:val="19"/>
              </w:rPr>
              <w:t>at</w:t>
            </w:r>
            <w:r>
              <w:rPr>
                <w:sz w:val="19"/>
                <w:szCs w:val="19"/>
              </w:rPr>
              <w:t xml:space="preserve"> </w:t>
            </w:r>
            <w:r w:rsidRPr="005F66DE">
              <w:rPr>
                <w:sz w:val="19"/>
                <w:szCs w:val="19"/>
              </w:rPr>
              <w:t>DW</w:t>
            </w:r>
            <w:r>
              <w:rPr>
                <w:sz w:val="19"/>
                <w:szCs w:val="19"/>
              </w:rPr>
              <w:t xml:space="preserve"> </w:t>
            </w:r>
            <w:r w:rsidRPr="005F66DE">
              <w:rPr>
                <w:sz w:val="19"/>
                <w:szCs w:val="19"/>
              </w:rPr>
              <w:t>if</w:t>
            </w:r>
            <w:r>
              <w:rPr>
                <w:sz w:val="19"/>
                <w:szCs w:val="19"/>
              </w:rPr>
              <w:t xml:space="preserve"> Insolvent-illiquid </w:t>
            </w:r>
            <w:r w:rsidRPr="005F66DE">
              <w:rPr>
                <w:sz w:val="19"/>
                <w:szCs w:val="19"/>
              </w:rPr>
              <w:t>in</w:t>
            </w:r>
            <w:r>
              <w:rPr>
                <w:sz w:val="19"/>
                <w:szCs w:val="19"/>
              </w:rPr>
              <w:t xml:space="preserve"> </w:t>
            </w:r>
            <w:r w:rsidRPr="005F66DE">
              <w:rPr>
                <w:i/>
                <w:sz w:val="19"/>
                <w:szCs w:val="19"/>
              </w:rPr>
              <w:t>t-1</w:t>
            </w:r>
          </w:p>
        </w:tc>
        <w:tc>
          <w:tcPr>
            <w:tcW w:w="1080" w:type="dxa"/>
            <w:tcBorders>
              <w:left w:val="single" w:sz="12" w:space="0" w:color="auto"/>
            </w:tcBorders>
            <w:vAlign w:val="center"/>
          </w:tcPr>
          <w:p w14:paraId="59AE7B21" w14:textId="77777777" w:rsidR="004863D2" w:rsidRPr="008504BA" w:rsidRDefault="004863D2" w:rsidP="00D8625E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__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vAlign w:val="center"/>
          </w:tcPr>
          <w:p w14:paraId="15B68E63" w14:textId="77777777" w:rsidR="004863D2" w:rsidRPr="008504BA" w:rsidRDefault="004863D2" w:rsidP="00D8625E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__</w:t>
            </w:r>
          </w:p>
        </w:tc>
        <w:tc>
          <w:tcPr>
            <w:tcW w:w="1080" w:type="dxa"/>
            <w:tcBorders>
              <w:left w:val="single" w:sz="12" w:space="0" w:color="auto"/>
            </w:tcBorders>
            <w:vAlign w:val="center"/>
          </w:tcPr>
          <w:p w14:paraId="178126F0" w14:textId="77777777" w:rsidR="004863D2" w:rsidRPr="008504BA" w:rsidRDefault="004863D2" w:rsidP="00D8625E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8504BA">
              <w:rPr>
                <w:color w:val="000000" w:themeColor="text1"/>
                <w:sz w:val="19"/>
                <w:szCs w:val="19"/>
              </w:rPr>
              <w:t>0.0</w:t>
            </w:r>
            <w:r>
              <w:rPr>
                <w:color w:val="000000" w:themeColor="text1"/>
                <w:sz w:val="19"/>
                <w:szCs w:val="19"/>
              </w:rPr>
              <w:t>42</w:t>
            </w:r>
          </w:p>
          <w:p w14:paraId="50BF76CA" w14:textId="77777777" w:rsidR="004863D2" w:rsidRPr="008504BA" w:rsidRDefault="004863D2" w:rsidP="00D8625E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8504BA">
              <w:rPr>
                <w:color w:val="000000" w:themeColor="text1"/>
                <w:sz w:val="19"/>
                <w:szCs w:val="19"/>
              </w:rPr>
              <w:t>(0.04</w:t>
            </w:r>
            <w:r>
              <w:rPr>
                <w:color w:val="000000" w:themeColor="text1"/>
                <w:sz w:val="19"/>
                <w:szCs w:val="19"/>
              </w:rPr>
              <w:t>5</w:t>
            </w:r>
            <w:r w:rsidRPr="008504BA">
              <w:rPr>
                <w:color w:val="000000" w:themeColor="text1"/>
                <w:sz w:val="19"/>
                <w:szCs w:val="19"/>
              </w:rPr>
              <w:t>)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vAlign w:val="center"/>
          </w:tcPr>
          <w:p w14:paraId="5C3D06A9" w14:textId="77777777" w:rsidR="004863D2" w:rsidRPr="008504BA" w:rsidRDefault="004863D2" w:rsidP="00D8625E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-</w:t>
            </w:r>
            <w:r w:rsidRPr="008504BA">
              <w:rPr>
                <w:color w:val="000000" w:themeColor="text1"/>
                <w:sz w:val="19"/>
                <w:szCs w:val="19"/>
              </w:rPr>
              <w:t>0.00</w:t>
            </w:r>
            <w:r>
              <w:rPr>
                <w:color w:val="000000" w:themeColor="text1"/>
                <w:sz w:val="19"/>
                <w:szCs w:val="19"/>
              </w:rPr>
              <w:t>1</w:t>
            </w:r>
          </w:p>
          <w:p w14:paraId="2C357516" w14:textId="77777777" w:rsidR="004863D2" w:rsidRPr="008504BA" w:rsidRDefault="004863D2" w:rsidP="00D8625E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8504BA">
              <w:rPr>
                <w:color w:val="000000" w:themeColor="text1"/>
                <w:sz w:val="19"/>
                <w:szCs w:val="19"/>
              </w:rPr>
              <w:t>(0.044)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vAlign w:val="center"/>
          </w:tcPr>
          <w:p w14:paraId="19D991DB" w14:textId="77777777" w:rsidR="004863D2" w:rsidRPr="008504BA" w:rsidRDefault="004863D2" w:rsidP="00D8625E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8504BA">
              <w:rPr>
                <w:color w:val="000000" w:themeColor="text1"/>
                <w:sz w:val="19"/>
                <w:szCs w:val="19"/>
              </w:rPr>
              <w:t>0.0</w:t>
            </w:r>
            <w:r>
              <w:rPr>
                <w:color w:val="000000" w:themeColor="text1"/>
                <w:sz w:val="19"/>
                <w:szCs w:val="19"/>
              </w:rPr>
              <w:t>16</w:t>
            </w:r>
          </w:p>
          <w:p w14:paraId="4ABD2F43" w14:textId="77777777" w:rsidR="004863D2" w:rsidRPr="008504BA" w:rsidRDefault="004863D2" w:rsidP="00D8625E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8504BA">
              <w:rPr>
                <w:color w:val="000000" w:themeColor="text1"/>
                <w:sz w:val="19"/>
                <w:szCs w:val="19"/>
              </w:rPr>
              <w:t>(0.04</w:t>
            </w:r>
            <w:r>
              <w:rPr>
                <w:color w:val="000000" w:themeColor="text1"/>
                <w:sz w:val="19"/>
                <w:szCs w:val="19"/>
              </w:rPr>
              <w:t>5</w:t>
            </w:r>
            <w:r w:rsidRPr="008504BA">
              <w:rPr>
                <w:color w:val="000000" w:themeColor="text1"/>
                <w:sz w:val="19"/>
                <w:szCs w:val="19"/>
              </w:rPr>
              <w:t>)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vAlign w:val="center"/>
          </w:tcPr>
          <w:p w14:paraId="56CAF9BA" w14:textId="77777777" w:rsidR="004863D2" w:rsidRPr="008504BA" w:rsidRDefault="004863D2" w:rsidP="00D8625E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8504BA">
              <w:rPr>
                <w:color w:val="000000" w:themeColor="text1"/>
                <w:sz w:val="19"/>
                <w:szCs w:val="19"/>
              </w:rPr>
              <w:t>-0.01</w:t>
            </w:r>
            <w:r>
              <w:rPr>
                <w:color w:val="000000" w:themeColor="text1"/>
                <w:sz w:val="19"/>
                <w:szCs w:val="19"/>
              </w:rPr>
              <w:t>3</w:t>
            </w:r>
          </w:p>
          <w:p w14:paraId="43DB2CFC" w14:textId="77777777" w:rsidR="004863D2" w:rsidRPr="008504BA" w:rsidRDefault="004863D2" w:rsidP="00D8625E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8504BA">
              <w:rPr>
                <w:color w:val="000000" w:themeColor="text1"/>
                <w:sz w:val="19"/>
                <w:szCs w:val="19"/>
              </w:rPr>
              <w:t>(0.043)</w:t>
            </w:r>
          </w:p>
        </w:tc>
      </w:tr>
      <w:tr w:rsidR="004863D2" w:rsidRPr="00DB1E85" w14:paraId="0894A9A3" w14:textId="77777777" w:rsidTr="00D8625E">
        <w:tc>
          <w:tcPr>
            <w:tcW w:w="45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C4CA664" w14:textId="77777777" w:rsidR="004863D2" w:rsidRPr="005F66DE" w:rsidRDefault="004863D2" w:rsidP="00D8625E">
            <w:pPr>
              <w:jc w:val="center"/>
              <w:rPr>
                <w:sz w:val="19"/>
                <w:szCs w:val="19"/>
              </w:rPr>
            </w:pPr>
            <w:r w:rsidRPr="005F66DE">
              <w:rPr>
                <w:sz w:val="19"/>
                <w:szCs w:val="19"/>
              </w:rPr>
              <w:t>13</w:t>
            </w:r>
          </w:p>
        </w:tc>
        <w:tc>
          <w:tcPr>
            <w:tcW w:w="3389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39837CC" w14:textId="77777777" w:rsidR="004863D2" w:rsidRPr="005F66DE" w:rsidRDefault="004863D2" w:rsidP="00D8625E">
            <w:pPr>
              <w:jc w:val="center"/>
              <w:rPr>
                <w:sz w:val="19"/>
                <w:szCs w:val="19"/>
              </w:rPr>
            </w:pPr>
            <w:r w:rsidRPr="005F66DE">
              <w:rPr>
                <w:sz w:val="19"/>
                <w:szCs w:val="19"/>
              </w:rPr>
              <w:t>Percentage</w:t>
            </w:r>
            <w:r>
              <w:rPr>
                <w:sz w:val="19"/>
                <w:szCs w:val="19"/>
              </w:rPr>
              <w:t xml:space="preserve"> </w:t>
            </w:r>
            <w:r w:rsidRPr="005F66DE">
              <w:rPr>
                <w:sz w:val="19"/>
                <w:szCs w:val="19"/>
              </w:rPr>
              <w:t>of</w:t>
            </w:r>
            <w:r>
              <w:rPr>
                <w:sz w:val="19"/>
                <w:szCs w:val="19"/>
              </w:rPr>
              <w:t xml:space="preserve"> </w:t>
            </w:r>
            <w:r w:rsidRPr="005F66DE">
              <w:rPr>
                <w:sz w:val="19"/>
                <w:szCs w:val="19"/>
              </w:rPr>
              <w:t>Investors</w:t>
            </w:r>
            <w:r>
              <w:rPr>
                <w:sz w:val="19"/>
                <w:szCs w:val="19"/>
              </w:rPr>
              <w:t xml:space="preserve"> </w:t>
            </w:r>
            <w:r w:rsidRPr="005F66DE">
              <w:rPr>
                <w:sz w:val="19"/>
                <w:szCs w:val="19"/>
              </w:rPr>
              <w:t>that</w:t>
            </w:r>
            <w:r>
              <w:rPr>
                <w:sz w:val="19"/>
                <w:szCs w:val="19"/>
              </w:rPr>
              <w:t xml:space="preserve"> </w:t>
            </w:r>
            <w:r w:rsidRPr="005F66DE">
              <w:rPr>
                <w:sz w:val="19"/>
                <w:szCs w:val="19"/>
              </w:rPr>
              <w:t>Chose</w:t>
            </w:r>
            <w:r>
              <w:rPr>
                <w:sz w:val="19"/>
                <w:szCs w:val="19"/>
              </w:rPr>
              <w:t xml:space="preserve"> </w:t>
            </w:r>
            <w:r w:rsidRPr="005F66DE">
              <w:rPr>
                <w:sz w:val="19"/>
                <w:szCs w:val="19"/>
              </w:rPr>
              <w:t>to</w:t>
            </w:r>
            <w:r>
              <w:rPr>
                <w:sz w:val="19"/>
                <w:szCs w:val="19"/>
              </w:rPr>
              <w:t xml:space="preserve"> </w:t>
            </w:r>
          </w:p>
          <w:p w14:paraId="11A1757D" w14:textId="77777777" w:rsidR="004863D2" w:rsidRPr="005F66DE" w:rsidRDefault="004863D2" w:rsidP="00D8625E">
            <w:pPr>
              <w:jc w:val="center"/>
              <w:rPr>
                <w:sz w:val="19"/>
                <w:szCs w:val="19"/>
              </w:rPr>
            </w:pPr>
            <w:r w:rsidRPr="005F66DE">
              <w:rPr>
                <w:sz w:val="19"/>
                <w:szCs w:val="19"/>
              </w:rPr>
              <w:t>Invest</w:t>
            </w:r>
            <w:r>
              <w:rPr>
                <w:sz w:val="19"/>
                <w:szCs w:val="19"/>
              </w:rPr>
              <w:t xml:space="preserve"> </w:t>
            </w:r>
            <w:r w:rsidRPr="005F66DE">
              <w:rPr>
                <w:sz w:val="19"/>
                <w:szCs w:val="19"/>
              </w:rPr>
              <w:t>in</w:t>
            </w:r>
            <w:r>
              <w:rPr>
                <w:sz w:val="19"/>
                <w:szCs w:val="19"/>
              </w:rPr>
              <w:t xml:space="preserve"> </w:t>
            </w:r>
            <w:r w:rsidRPr="005F66DE">
              <w:rPr>
                <w:sz w:val="19"/>
                <w:szCs w:val="19"/>
              </w:rPr>
              <w:t>Bank</w:t>
            </w:r>
            <w:r>
              <w:rPr>
                <w:sz w:val="19"/>
                <w:szCs w:val="19"/>
              </w:rPr>
              <w:t xml:space="preserve"> </w:t>
            </w:r>
            <w:r w:rsidRPr="005F66DE">
              <w:rPr>
                <w:sz w:val="19"/>
                <w:szCs w:val="19"/>
              </w:rPr>
              <w:t>not</w:t>
            </w:r>
            <w:r>
              <w:rPr>
                <w:sz w:val="19"/>
                <w:szCs w:val="19"/>
              </w:rPr>
              <w:t xml:space="preserve"> </w:t>
            </w:r>
            <w:r w:rsidRPr="005F66DE">
              <w:rPr>
                <w:sz w:val="19"/>
                <w:szCs w:val="19"/>
              </w:rPr>
              <w:t>Detected</w:t>
            </w:r>
            <w:r>
              <w:rPr>
                <w:sz w:val="19"/>
                <w:szCs w:val="19"/>
              </w:rPr>
              <w:t xml:space="preserve"> </w:t>
            </w:r>
            <w:r w:rsidRPr="005F66DE">
              <w:rPr>
                <w:sz w:val="19"/>
                <w:szCs w:val="19"/>
              </w:rPr>
              <w:t>at</w:t>
            </w:r>
            <w:r>
              <w:rPr>
                <w:sz w:val="19"/>
                <w:szCs w:val="19"/>
              </w:rPr>
              <w:t xml:space="preserve"> </w:t>
            </w:r>
            <w:r w:rsidRPr="005F66DE">
              <w:rPr>
                <w:sz w:val="19"/>
                <w:szCs w:val="19"/>
              </w:rPr>
              <w:t>DW</w:t>
            </w:r>
            <w:r>
              <w:rPr>
                <w:sz w:val="19"/>
                <w:szCs w:val="19"/>
              </w:rPr>
              <w:t xml:space="preserve"> </w:t>
            </w:r>
            <w:r w:rsidRPr="005F66DE">
              <w:rPr>
                <w:sz w:val="19"/>
                <w:szCs w:val="19"/>
              </w:rPr>
              <w:t>in</w:t>
            </w:r>
            <w:r>
              <w:rPr>
                <w:sz w:val="19"/>
                <w:szCs w:val="19"/>
              </w:rPr>
              <w:t xml:space="preserve"> </w:t>
            </w:r>
            <w:r w:rsidRPr="005F66DE">
              <w:rPr>
                <w:i/>
                <w:sz w:val="19"/>
                <w:szCs w:val="19"/>
              </w:rPr>
              <w:t>t-1</w:t>
            </w:r>
          </w:p>
        </w:tc>
        <w:tc>
          <w:tcPr>
            <w:tcW w:w="1080" w:type="dxa"/>
            <w:tcBorders>
              <w:left w:val="single" w:sz="12" w:space="0" w:color="auto"/>
            </w:tcBorders>
            <w:vAlign w:val="center"/>
          </w:tcPr>
          <w:p w14:paraId="7A24F0DB" w14:textId="77777777" w:rsidR="004863D2" w:rsidRPr="008504BA" w:rsidRDefault="004863D2" w:rsidP="00D8625E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__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vAlign w:val="center"/>
          </w:tcPr>
          <w:p w14:paraId="76390774" w14:textId="77777777" w:rsidR="004863D2" w:rsidRPr="008504BA" w:rsidRDefault="004863D2" w:rsidP="00D8625E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__</w:t>
            </w:r>
          </w:p>
        </w:tc>
        <w:tc>
          <w:tcPr>
            <w:tcW w:w="1080" w:type="dxa"/>
            <w:tcBorders>
              <w:left w:val="single" w:sz="12" w:space="0" w:color="auto"/>
            </w:tcBorders>
            <w:vAlign w:val="center"/>
          </w:tcPr>
          <w:p w14:paraId="04DFDDC3" w14:textId="77777777" w:rsidR="004863D2" w:rsidRPr="008504BA" w:rsidRDefault="004863D2" w:rsidP="00D8625E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8504BA">
              <w:rPr>
                <w:color w:val="000000" w:themeColor="text1"/>
                <w:sz w:val="19"/>
                <w:szCs w:val="19"/>
              </w:rPr>
              <w:t>0.0</w:t>
            </w:r>
            <w:r>
              <w:rPr>
                <w:color w:val="000000" w:themeColor="text1"/>
                <w:sz w:val="19"/>
                <w:szCs w:val="19"/>
              </w:rPr>
              <w:t>18</w:t>
            </w:r>
          </w:p>
          <w:p w14:paraId="1B4B359E" w14:textId="77777777" w:rsidR="004863D2" w:rsidRPr="008504BA" w:rsidRDefault="004863D2" w:rsidP="00D8625E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8504BA">
              <w:rPr>
                <w:color w:val="000000" w:themeColor="text1"/>
                <w:sz w:val="19"/>
                <w:szCs w:val="19"/>
              </w:rPr>
              <w:t>(0.04</w:t>
            </w:r>
            <w:r>
              <w:rPr>
                <w:color w:val="000000" w:themeColor="text1"/>
                <w:sz w:val="19"/>
                <w:szCs w:val="19"/>
              </w:rPr>
              <w:t>8</w:t>
            </w:r>
            <w:r w:rsidRPr="008504BA">
              <w:rPr>
                <w:color w:val="000000" w:themeColor="text1"/>
                <w:sz w:val="19"/>
                <w:szCs w:val="19"/>
              </w:rPr>
              <w:t>)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vAlign w:val="center"/>
          </w:tcPr>
          <w:p w14:paraId="2F54B595" w14:textId="77777777" w:rsidR="004863D2" w:rsidRPr="008504BA" w:rsidRDefault="004863D2" w:rsidP="00D8625E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8504BA">
              <w:rPr>
                <w:color w:val="000000" w:themeColor="text1"/>
                <w:sz w:val="19"/>
                <w:szCs w:val="19"/>
              </w:rPr>
              <w:t>0.0</w:t>
            </w:r>
            <w:r>
              <w:rPr>
                <w:color w:val="000000" w:themeColor="text1"/>
                <w:sz w:val="19"/>
                <w:szCs w:val="19"/>
              </w:rPr>
              <w:t>75</w:t>
            </w:r>
          </w:p>
          <w:p w14:paraId="5FC6DE08" w14:textId="77777777" w:rsidR="004863D2" w:rsidRPr="008504BA" w:rsidRDefault="004863D2" w:rsidP="00D8625E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8504BA">
              <w:rPr>
                <w:color w:val="000000" w:themeColor="text1"/>
                <w:sz w:val="19"/>
                <w:szCs w:val="19"/>
              </w:rPr>
              <w:t>(0.04</w:t>
            </w:r>
            <w:r>
              <w:rPr>
                <w:color w:val="000000" w:themeColor="text1"/>
                <w:sz w:val="19"/>
                <w:szCs w:val="19"/>
              </w:rPr>
              <w:t>5</w:t>
            </w:r>
            <w:r w:rsidRPr="008504BA">
              <w:rPr>
                <w:color w:val="000000" w:themeColor="text1"/>
                <w:sz w:val="19"/>
                <w:szCs w:val="19"/>
              </w:rPr>
              <w:t>)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vAlign w:val="center"/>
          </w:tcPr>
          <w:p w14:paraId="6B40CEFE" w14:textId="77777777" w:rsidR="004863D2" w:rsidRPr="008504BA" w:rsidRDefault="004863D2" w:rsidP="00D8625E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8504BA">
              <w:rPr>
                <w:color w:val="000000" w:themeColor="text1"/>
                <w:sz w:val="19"/>
                <w:szCs w:val="19"/>
              </w:rPr>
              <w:t>0.02</w:t>
            </w:r>
            <w:r>
              <w:rPr>
                <w:color w:val="000000" w:themeColor="text1"/>
                <w:sz w:val="19"/>
                <w:szCs w:val="19"/>
              </w:rPr>
              <w:t>6</w:t>
            </w:r>
          </w:p>
          <w:p w14:paraId="3051CA4E" w14:textId="77777777" w:rsidR="004863D2" w:rsidRPr="008504BA" w:rsidRDefault="004863D2" w:rsidP="00D8625E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8504BA">
              <w:rPr>
                <w:color w:val="000000" w:themeColor="text1"/>
                <w:sz w:val="19"/>
                <w:szCs w:val="19"/>
              </w:rPr>
              <w:t>(0.048)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vAlign w:val="center"/>
          </w:tcPr>
          <w:p w14:paraId="4CCAD8B1" w14:textId="77777777" w:rsidR="004863D2" w:rsidRPr="008504BA" w:rsidRDefault="004863D2" w:rsidP="00D8625E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8504BA">
              <w:rPr>
                <w:color w:val="000000" w:themeColor="text1"/>
                <w:sz w:val="19"/>
                <w:szCs w:val="19"/>
              </w:rPr>
              <w:t>0.0</w:t>
            </w:r>
            <w:r>
              <w:rPr>
                <w:color w:val="000000" w:themeColor="text1"/>
                <w:sz w:val="19"/>
                <w:szCs w:val="19"/>
              </w:rPr>
              <w:t>69</w:t>
            </w:r>
          </w:p>
          <w:p w14:paraId="1CE7EDA6" w14:textId="77777777" w:rsidR="004863D2" w:rsidRPr="008504BA" w:rsidRDefault="004863D2" w:rsidP="00D8625E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8504BA">
              <w:rPr>
                <w:color w:val="000000" w:themeColor="text1"/>
                <w:sz w:val="19"/>
                <w:szCs w:val="19"/>
              </w:rPr>
              <w:t>(0.046)</w:t>
            </w:r>
          </w:p>
        </w:tc>
      </w:tr>
      <w:tr w:rsidR="004863D2" w:rsidRPr="00DB1E85" w14:paraId="31E87A20" w14:textId="77777777" w:rsidTr="00D8625E"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C8BC2" w14:textId="77777777" w:rsidR="004863D2" w:rsidRPr="005F66DE" w:rsidRDefault="004863D2" w:rsidP="00D8625E">
            <w:pPr>
              <w:jc w:val="center"/>
              <w:rPr>
                <w:sz w:val="19"/>
                <w:szCs w:val="19"/>
              </w:rPr>
            </w:pPr>
            <w:r w:rsidRPr="005F66DE">
              <w:rPr>
                <w:sz w:val="19"/>
                <w:szCs w:val="19"/>
              </w:rPr>
              <w:t>14</w:t>
            </w:r>
          </w:p>
        </w:tc>
        <w:tc>
          <w:tcPr>
            <w:tcW w:w="3389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CA7E80" w14:textId="77777777" w:rsidR="004863D2" w:rsidRPr="005F66DE" w:rsidRDefault="004863D2" w:rsidP="00D8625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  <w:r w:rsidRPr="005F66DE">
              <w:rPr>
                <w:sz w:val="19"/>
                <w:szCs w:val="19"/>
              </w:rPr>
              <w:t>Percentage</w:t>
            </w:r>
            <w:r>
              <w:rPr>
                <w:sz w:val="19"/>
                <w:szCs w:val="19"/>
              </w:rPr>
              <w:t xml:space="preserve"> </w:t>
            </w:r>
            <w:r w:rsidRPr="005F66DE">
              <w:rPr>
                <w:sz w:val="19"/>
                <w:szCs w:val="19"/>
              </w:rPr>
              <w:t>of</w:t>
            </w:r>
            <w:r>
              <w:rPr>
                <w:sz w:val="19"/>
                <w:szCs w:val="19"/>
              </w:rPr>
              <w:t xml:space="preserve"> </w:t>
            </w:r>
            <w:r w:rsidRPr="005F66DE">
              <w:rPr>
                <w:sz w:val="19"/>
                <w:szCs w:val="19"/>
              </w:rPr>
              <w:t>Investors</w:t>
            </w:r>
            <w:r>
              <w:rPr>
                <w:sz w:val="19"/>
                <w:szCs w:val="19"/>
              </w:rPr>
              <w:t xml:space="preserve"> </w:t>
            </w:r>
            <w:r w:rsidRPr="005F66DE">
              <w:rPr>
                <w:sz w:val="19"/>
                <w:szCs w:val="19"/>
              </w:rPr>
              <w:t>that</w:t>
            </w:r>
            <w:r>
              <w:rPr>
                <w:sz w:val="19"/>
                <w:szCs w:val="19"/>
              </w:rPr>
              <w:t xml:space="preserve"> </w:t>
            </w:r>
            <w:r w:rsidRPr="005F66DE">
              <w:rPr>
                <w:sz w:val="19"/>
                <w:szCs w:val="19"/>
              </w:rPr>
              <w:t>Chose</w:t>
            </w:r>
            <w:r>
              <w:rPr>
                <w:sz w:val="19"/>
                <w:szCs w:val="19"/>
              </w:rPr>
              <w:t xml:space="preserve"> </w:t>
            </w:r>
            <w:r w:rsidRPr="005F66DE">
              <w:rPr>
                <w:sz w:val="19"/>
                <w:szCs w:val="19"/>
              </w:rPr>
              <w:t>to</w:t>
            </w:r>
          </w:p>
          <w:p w14:paraId="6663B2FD" w14:textId="77777777" w:rsidR="004863D2" w:rsidRPr="005F66DE" w:rsidRDefault="004863D2" w:rsidP="00D8625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  <w:r w:rsidRPr="005F66DE">
              <w:rPr>
                <w:sz w:val="19"/>
                <w:szCs w:val="19"/>
              </w:rPr>
              <w:t>Invest</w:t>
            </w:r>
            <w:r>
              <w:rPr>
                <w:sz w:val="19"/>
                <w:szCs w:val="19"/>
              </w:rPr>
              <w:t xml:space="preserve"> </w:t>
            </w:r>
            <w:r w:rsidRPr="005F66DE">
              <w:rPr>
                <w:sz w:val="19"/>
                <w:szCs w:val="19"/>
              </w:rPr>
              <w:t>in</w:t>
            </w:r>
            <w:r>
              <w:rPr>
                <w:sz w:val="19"/>
                <w:szCs w:val="19"/>
              </w:rPr>
              <w:t xml:space="preserve"> </w:t>
            </w:r>
            <w:r w:rsidRPr="005F66DE">
              <w:rPr>
                <w:sz w:val="19"/>
                <w:szCs w:val="19"/>
              </w:rPr>
              <w:t>Bank</w:t>
            </w:r>
            <w:r>
              <w:rPr>
                <w:sz w:val="19"/>
                <w:szCs w:val="19"/>
              </w:rPr>
              <w:t xml:space="preserve"> </w:t>
            </w:r>
            <w:r w:rsidRPr="005F66DE">
              <w:rPr>
                <w:sz w:val="19"/>
                <w:szCs w:val="19"/>
              </w:rPr>
              <w:t>Detected</w:t>
            </w:r>
            <w:r>
              <w:rPr>
                <w:sz w:val="19"/>
                <w:szCs w:val="19"/>
              </w:rPr>
              <w:t xml:space="preserve"> </w:t>
            </w:r>
            <w:r w:rsidRPr="005F66DE">
              <w:rPr>
                <w:sz w:val="19"/>
                <w:szCs w:val="19"/>
              </w:rPr>
              <w:t>at</w:t>
            </w:r>
            <w:r>
              <w:rPr>
                <w:sz w:val="19"/>
                <w:szCs w:val="19"/>
              </w:rPr>
              <w:t xml:space="preserve"> </w:t>
            </w:r>
            <w:r w:rsidRPr="005F66DE">
              <w:rPr>
                <w:sz w:val="19"/>
                <w:szCs w:val="19"/>
              </w:rPr>
              <w:t>DW</w:t>
            </w:r>
            <w:r>
              <w:rPr>
                <w:sz w:val="19"/>
                <w:szCs w:val="19"/>
              </w:rPr>
              <w:t xml:space="preserve"> </w:t>
            </w:r>
            <w:r w:rsidRPr="005F66DE">
              <w:rPr>
                <w:sz w:val="19"/>
                <w:szCs w:val="19"/>
              </w:rPr>
              <w:t>in</w:t>
            </w:r>
            <w:r>
              <w:rPr>
                <w:sz w:val="19"/>
                <w:szCs w:val="19"/>
              </w:rPr>
              <w:t xml:space="preserve"> </w:t>
            </w:r>
            <w:r w:rsidRPr="005F66DE">
              <w:rPr>
                <w:i/>
                <w:sz w:val="19"/>
                <w:szCs w:val="19"/>
              </w:rPr>
              <w:t>t-1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9D6807C" w14:textId="77777777" w:rsidR="004863D2" w:rsidRPr="008504BA" w:rsidRDefault="004863D2" w:rsidP="00D8625E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__</w:t>
            </w:r>
          </w:p>
        </w:tc>
        <w:tc>
          <w:tcPr>
            <w:tcW w:w="99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50BD017" w14:textId="77777777" w:rsidR="004863D2" w:rsidRPr="008504BA" w:rsidRDefault="004863D2" w:rsidP="00D8625E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__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13AE14A" w14:textId="77777777" w:rsidR="004863D2" w:rsidRPr="008504BA" w:rsidRDefault="004863D2" w:rsidP="00D8625E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8504BA">
              <w:rPr>
                <w:color w:val="000000" w:themeColor="text1"/>
                <w:sz w:val="19"/>
                <w:szCs w:val="19"/>
              </w:rPr>
              <w:t>0.07</w:t>
            </w:r>
            <w:r>
              <w:rPr>
                <w:color w:val="000000" w:themeColor="text1"/>
                <w:sz w:val="19"/>
                <w:szCs w:val="19"/>
              </w:rPr>
              <w:t>2</w:t>
            </w:r>
          </w:p>
          <w:p w14:paraId="0AE1B30C" w14:textId="77777777" w:rsidR="004863D2" w:rsidRPr="008504BA" w:rsidRDefault="004863D2" w:rsidP="00D8625E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8504BA">
              <w:rPr>
                <w:color w:val="000000" w:themeColor="text1"/>
                <w:sz w:val="19"/>
                <w:szCs w:val="19"/>
              </w:rPr>
              <w:t>(0.06</w:t>
            </w:r>
            <w:r>
              <w:rPr>
                <w:color w:val="000000" w:themeColor="text1"/>
                <w:sz w:val="19"/>
                <w:szCs w:val="19"/>
              </w:rPr>
              <w:t>3</w:t>
            </w:r>
            <w:r w:rsidRPr="008504BA">
              <w:rPr>
                <w:color w:val="000000" w:themeColor="text1"/>
                <w:sz w:val="19"/>
                <w:szCs w:val="19"/>
              </w:rPr>
              <w:t>)</w:t>
            </w:r>
          </w:p>
        </w:tc>
        <w:tc>
          <w:tcPr>
            <w:tcW w:w="99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F9E7AB3" w14:textId="77777777" w:rsidR="004863D2" w:rsidRPr="008504BA" w:rsidRDefault="004863D2" w:rsidP="00D8625E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8504BA">
              <w:rPr>
                <w:color w:val="000000" w:themeColor="text1"/>
                <w:sz w:val="19"/>
                <w:szCs w:val="19"/>
              </w:rPr>
              <w:t>-0.0</w:t>
            </w:r>
            <w:r>
              <w:rPr>
                <w:color w:val="000000" w:themeColor="text1"/>
                <w:sz w:val="19"/>
                <w:szCs w:val="19"/>
              </w:rPr>
              <w:t>50</w:t>
            </w:r>
          </w:p>
          <w:p w14:paraId="4DD5E65D" w14:textId="77777777" w:rsidR="004863D2" w:rsidRPr="008504BA" w:rsidRDefault="004863D2" w:rsidP="00D8625E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8504BA">
              <w:rPr>
                <w:color w:val="000000" w:themeColor="text1"/>
                <w:sz w:val="19"/>
                <w:szCs w:val="19"/>
              </w:rPr>
              <w:t>(0.04</w:t>
            </w:r>
            <w:r>
              <w:rPr>
                <w:color w:val="000000" w:themeColor="text1"/>
                <w:sz w:val="19"/>
                <w:szCs w:val="19"/>
              </w:rPr>
              <w:t>7</w:t>
            </w:r>
            <w:r w:rsidRPr="008504BA">
              <w:rPr>
                <w:color w:val="000000" w:themeColor="text1"/>
                <w:sz w:val="19"/>
                <w:szCs w:val="19"/>
              </w:rPr>
              <w:t>)</w:t>
            </w:r>
          </w:p>
        </w:tc>
        <w:tc>
          <w:tcPr>
            <w:tcW w:w="99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1F3669D" w14:textId="77777777" w:rsidR="004863D2" w:rsidRPr="008504BA" w:rsidRDefault="004863D2" w:rsidP="00D8625E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8504BA">
              <w:rPr>
                <w:color w:val="000000" w:themeColor="text1"/>
                <w:sz w:val="19"/>
                <w:szCs w:val="19"/>
              </w:rPr>
              <w:t>0.0</w:t>
            </w:r>
            <w:r>
              <w:rPr>
                <w:color w:val="000000" w:themeColor="text1"/>
                <w:sz w:val="19"/>
                <w:szCs w:val="19"/>
              </w:rPr>
              <w:t>89</w:t>
            </w:r>
          </w:p>
          <w:p w14:paraId="11B44CEF" w14:textId="77777777" w:rsidR="004863D2" w:rsidRPr="008504BA" w:rsidRDefault="004863D2" w:rsidP="00D8625E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8504BA">
              <w:rPr>
                <w:color w:val="000000" w:themeColor="text1"/>
                <w:sz w:val="19"/>
                <w:szCs w:val="19"/>
              </w:rPr>
              <w:t>(0.06</w:t>
            </w:r>
            <w:r>
              <w:rPr>
                <w:color w:val="000000" w:themeColor="text1"/>
                <w:sz w:val="19"/>
                <w:szCs w:val="19"/>
              </w:rPr>
              <w:t>0</w:t>
            </w:r>
            <w:r w:rsidRPr="008504BA">
              <w:rPr>
                <w:color w:val="000000" w:themeColor="text1"/>
                <w:sz w:val="19"/>
                <w:szCs w:val="19"/>
              </w:rPr>
              <w:t>)</w:t>
            </w:r>
          </w:p>
        </w:tc>
        <w:tc>
          <w:tcPr>
            <w:tcW w:w="99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CF833A2" w14:textId="77777777" w:rsidR="004863D2" w:rsidRPr="008504BA" w:rsidRDefault="004863D2" w:rsidP="00D8625E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8504BA">
              <w:rPr>
                <w:color w:val="000000" w:themeColor="text1"/>
                <w:sz w:val="19"/>
                <w:szCs w:val="19"/>
              </w:rPr>
              <w:t>-0.0</w:t>
            </w:r>
            <w:r>
              <w:rPr>
                <w:color w:val="000000" w:themeColor="text1"/>
                <w:sz w:val="19"/>
                <w:szCs w:val="19"/>
              </w:rPr>
              <w:t>62</w:t>
            </w:r>
          </w:p>
          <w:p w14:paraId="68E19A47" w14:textId="77777777" w:rsidR="004863D2" w:rsidRPr="008504BA" w:rsidRDefault="004863D2" w:rsidP="00D8625E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8504BA">
              <w:rPr>
                <w:color w:val="000000" w:themeColor="text1"/>
                <w:sz w:val="19"/>
                <w:szCs w:val="19"/>
              </w:rPr>
              <w:t>(0.04</w:t>
            </w:r>
            <w:r>
              <w:rPr>
                <w:color w:val="000000" w:themeColor="text1"/>
                <w:sz w:val="19"/>
                <w:szCs w:val="19"/>
              </w:rPr>
              <w:t>3</w:t>
            </w:r>
            <w:r w:rsidRPr="008504BA">
              <w:rPr>
                <w:color w:val="000000" w:themeColor="text1"/>
                <w:sz w:val="19"/>
                <w:szCs w:val="19"/>
              </w:rPr>
              <w:t>)</w:t>
            </w:r>
          </w:p>
        </w:tc>
      </w:tr>
      <w:tr w:rsidR="004863D2" w:rsidRPr="00DB1E85" w14:paraId="624443E2" w14:textId="77777777" w:rsidTr="00D8625E">
        <w:tc>
          <w:tcPr>
            <w:tcW w:w="45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EA1D96B" w14:textId="77777777" w:rsidR="004863D2" w:rsidRPr="005F66DE" w:rsidRDefault="004863D2" w:rsidP="00D8625E">
            <w:pPr>
              <w:jc w:val="center"/>
              <w:rPr>
                <w:sz w:val="19"/>
                <w:szCs w:val="19"/>
              </w:rPr>
            </w:pPr>
            <w:r w:rsidRPr="005F66DE">
              <w:rPr>
                <w:sz w:val="19"/>
                <w:szCs w:val="19"/>
              </w:rPr>
              <w:t>15</w:t>
            </w:r>
          </w:p>
        </w:tc>
        <w:tc>
          <w:tcPr>
            <w:tcW w:w="3389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21EB5C3" w14:textId="77777777" w:rsidR="004863D2" w:rsidRPr="005F66DE" w:rsidRDefault="004863D2" w:rsidP="00D8625E">
            <w:pPr>
              <w:jc w:val="center"/>
              <w:rPr>
                <w:sz w:val="19"/>
                <w:szCs w:val="19"/>
              </w:rPr>
            </w:pPr>
            <w:r w:rsidRPr="005F66DE">
              <w:rPr>
                <w:sz w:val="19"/>
                <w:szCs w:val="19"/>
              </w:rPr>
              <w:t>Risk</w:t>
            </w:r>
            <w:r>
              <w:rPr>
                <w:sz w:val="19"/>
                <w:szCs w:val="19"/>
              </w:rPr>
              <w:t xml:space="preserve"> </w:t>
            </w:r>
            <w:r w:rsidRPr="005F66DE">
              <w:rPr>
                <w:sz w:val="19"/>
                <w:szCs w:val="19"/>
              </w:rPr>
              <w:t>Attitude</w:t>
            </w:r>
            <w:r>
              <w:rPr>
                <w:sz w:val="19"/>
                <w:szCs w:val="19"/>
              </w:rPr>
              <w:t xml:space="preserve"> </w:t>
            </w:r>
            <w:r w:rsidRPr="005F66DE">
              <w:rPr>
                <w:sz w:val="19"/>
                <w:szCs w:val="19"/>
              </w:rPr>
              <w:t>Measure</w:t>
            </w:r>
            <w:r>
              <w:rPr>
                <w:sz w:val="19"/>
                <w:szCs w:val="19"/>
              </w:rPr>
              <w:t xml:space="preserve"> </w:t>
            </w:r>
            <w:r w:rsidRPr="005F66DE">
              <w:rPr>
                <w:sz w:val="19"/>
                <w:szCs w:val="19"/>
              </w:rPr>
              <w:t>(BRET)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F2FD627" w14:textId="77777777" w:rsidR="004863D2" w:rsidRPr="008504BA" w:rsidRDefault="004863D2" w:rsidP="00D8625E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__</w:t>
            </w:r>
          </w:p>
        </w:tc>
        <w:tc>
          <w:tcPr>
            <w:tcW w:w="99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937679D" w14:textId="77777777" w:rsidR="004863D2" w:rsidRPr="008504BA" w:rsidRDefault="004863D2" w:rsidP="00D8625E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__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D8EDCE2" w14:textId="77777777" w:rsidR="004863D2" w:rsidRPr="008504BA" w:rsidRDefault="004863D2" w:rsidP="00D8625E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__</w:t>
            </w:r>
          </w:p>
        </w:tc>
        <w:tc>
          <w:tcPr>
            <w:tcW w:w="99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CBCA4D7" w14:textId="77777777" w:rsidR="004863D2" w:rsidRPr="008504BA" w:rsidRDefault="004863D2" w:rsidP="00D8625E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__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C0CA4AB" w14:textId="77777777" w:rsidR="004863D2" w:rsidRPr="008504BA" w:rsidRDefault="004863D2" w:rsidP="00D8625E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8504BA">
              <w:rPr>
                <w:color w:val="000000" w:themeColor="text1"/>
                <w:sz w:val="19"/>
                <w:szCs w:val="19"/>
              </w:rPr>
              <w:t>0.00</w:t>
            </w:r>
            <w:r>
              <w:rPr>
                <w:color w:val="000000" w:themeColor="text1"/>
                <w:sz w:val="19"/>
                <w:szCs w:val="19"/>
              </w:rPr>
              <w:t>3</w:t>
            </w:r>
            <w:r w:rsidRPr="008504BA">
              <w:rPr>
                <w:color w:val="000000" w:themeColor="text1"/>
                <w:sz w:val="19"/>
                <w:szCs w:val="19"/>
                <w:vertAlign w:val="superscript"/>
              </w:rPr>
              <w:t>**</w:t>
            </w:r>
          </w:p>
          <w:p w14:paraId="0C1628CA" w14:textId="77777777" w:rsidR="004863D2" w:rsidRPr="008504BA" w:rsidRDefault="004863D2" w:rsidP="00D8625E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8504BA">
              <w:rPr>
                <w:color w:val="000000" w:themeColor="text1"/>
                <w:sz w:val="19"/>
                <w:szCs w:val="19"/>
              </w:rPr>
              <w:t>(0.001)</w:t>
            </w:r>
          </w:p>
        </w:tc>
        <w:tc>
          <w:tcPr>
            <w:tcW w:w="99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92779D1" w14:textId="77777777" w:rsidR="004863D2" w:rsidRPr="008504BA" w:rsidRDefault="004863D2" w:rsidP="00D8625E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8504BA">
              <w:rPr>
                <w:color w:val="000000" w:themeColor="text1"/>
                <w:sz w:val="19"/>
                <w:szCs w:val="19"/>
              </w:rPr>
              <w:t>0.001</w:t>
            </w:r>
          </w:p>
          <w:p w14:paraId="0A7915C1" w14:textId="77777777" w:rsidR="004863D2" w:rsidRPr="008504BA" w:rsidRDefault="004863D2" w:rsidP="00D8625E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8504BA">
              <w:rPr>
                <w:color w:val="000000" w:themeColor="text1"/>
                <w:sz w:val="19"/>
                <w:szCs w:val="19"/>
              </w:rPr>
              <w:t>(0.001)</w:t>
            </w:r>
          </w:p>
        </w:tc>
      </w:tr>
      <w:tr w:rsidR="004863D2" w:rsidRPr="00DB1E85" w14:paraId="301A3DBC" w14:textId="77777777" w:rsidTr="00D8625E">
        <w:tc>
          <w:tcPr>
            <w:tcW w:w="45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FED2CD6" w14:textId="77777777" w:rsidR="004863D2" w:rsidRPr="005F66DE" w:rsidRDefault="004863D2" w:rsidP="00D8625E">
            <w:pPr>
              <w:jc w:val="center"/>
              <w:rPr>
                <w:sz w:val="19"/>
                <w:szCs w:val="19"/>
              </w:rPr>
            </w:pPr>
            <w:r w:rsidRPr="005F66DE">
              <w:rPr>
                <w:sz w:val="19"/>
                <w:szCs w:val="19"/>
              </w:rPr>
              <w:t>16</w:t>
            </w:r>
          </w:p>
        </w:tc>
        <w:tc>
          <w:tcPr>
            <w:tcW w:w="3389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8DDF19E" w14:textId="77777777" w:rsidR="004863D2" w:rsidRPr="005F66DE" w:rsidRDefault="004863D2" w:rsidP="00D8625E">
            <w:pPr>
              <w:jc w:val="center"/>
              <w:rPr>
                <w:sz w:val="19"/>
                <w:szCs w:val="19"/>
              </w:rPr>
            </w:pPr>
            <w:r w:rsidRPr="005F66DE">
              <w:rPr>
                <w:sz w:val="19"/>
                <w:szCs w:val="19"/>
              </w:rPr>
              <w:t>Female</w:t>
            </w:r>
          </w:p>
        </w:tc>
        <w:tc>
          <w:tcPr>
            <w:tcW w:w="1080" w:type="dxa"/>
            <w:tcBorders>
              <w:left w:val="single" w:sz="12" w:space="0" w:color="auto"/>
            </w:tcBorders>
            <w:vAlign w:val="center"/>
          </w:tcPr>
          <w:p w14:paraId="758B3F8B" w14:textId="77777777" w:rsidR="004863D2" w:rsidRPr="008504BA" w:rsidRDefault="004863D2" w:rsidP="00D8625E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__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vAlign w:val="center"/>
          </w:tcPr>
          <w:p w14:paraId="7A11AF27" w14:textId="77777777" w:rsidR="004863D2" w:rsidRPr="008504BA" w:rsidRDefault="004863D2" w:rsidP="00D8625E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__</w:t>
            </w:r>
          </w:p>
        </w:tc>
        <w:tc>
          <w:tcPr>
            <w:tcW w:w="1080" w:type="dxa"/>
            <w:tcBorders>
              <w:left w:val="single" w:sz="12" w:space="0" w:color="auto"/>
            </w:tcBorders>
            <w:vAlign w:val="center"/>
          </w:tcPr>
          <w:p w14:paraId="13796E85" w14:textId="77777777" w:rsidR="004863D2" w:rsidRPr="008504BA" w:rsidRDefault="004863D2" w:rsidP="00D8625E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__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vAlign w:val="center"/>
          </w:tcPr>
          <w:p w14:paraId="3491A7D4" w14:textId="77777777" w:rsidR="004863D2" w:rsidRPr="008504BA" w:rsidRDefault="004863D2" w:rsidP="00D8625E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__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vAlign w:val="center"/>
          </w:tcPr>
          <w:p w14:paraId="52E03CBE" w14:textId="77777777" w:rsidR="004863D2" w:rsidRPr="008504BA" w:rsidRDefault="004863D2" w:rsidP="00D8625E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-</w:t>
            </w:r>
            <w:r w:rsidRPr="008504BA">
              <w:rPr>
                <w:color w:val="000000" w:themeColor="text1"/>
                <w:sz w:val="19"/>
                <w:szCs w:val="19"/>
              </w:rPr>
              <w:t>0.0</w:t>
            </w:r>
            <w:r>
              <w:rPr>
                <w:color w:val="000000" w:themeColor="text1"/>
                <w:sz w:val="19"/>
                <w:szCs w:val="19"/>
              </w:rPr>
              <w:t>11</w:t>
            </w:r>
          </w:p>
          <w:p w14:paraId="7F871EDC" w14:textId="77777777" w:rsidR="004863D2" w:rsidRPr="008504BA" w:rsidRDefault="004863D2" w:rsidP="00D8625E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8504BA">
              <w:rPr>
                <w:color w:val="000000" w:themeColor="text1"/>
                <w:sz w:val="19"/>
                <w:szCs w:val="19"/>
              </w:rPr>
              <w:t>(0.02</w:t>
            </w:r>
            <w:r>
              <w:rPr>
                <w:color w:val="000000" w:themeColor="text1"/>
                <w:sz w:val="19"/>
                <w:szCs w:val="19"/>
              </w:rPr>
              <w:t>4</w:t>
            </w:r>
            <w:r w:rsidRPr="008504BA">
              <w:rPr>
                <w:color w:val="000000" w:themeColor="text1"/>
                <w:sz w:val="19"/>
                <w:szCs w:val="19"/>
              </w:rPr>
              <w:t>)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vAlign w:val="center"/>
          </w:tcPr>
          <w:p w14:paraId="7DB7D5F4" w14:textId="77777777" w:rsidR="004863D2" w:rsidRPr="008504BA" w:rsidRDefault="004863D2" w:rsidP="00D8625E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8504BA">
              <w:rPr>
                <w:color w:val="000000" w:themeColor="text1"/>
                <w:sz w:val="19"/>
                <w:szCs w:val="19"/>
              </w:rPr>
              <w:t>0.02</w:t>
            </w:r>
            <w:r>
              <w:rPr>
                <w:color w:val="000000" w:themeColor="text1"/>
                <w:sz w:val="19"/>
                <w:szCs w:val="19"/>
              </w:rPr>
              <w:t>2</w:t>
            </w:r>
          </w:p>
          <w:p w14:paraId="1097F18C" w14:textId="77777777" w:rsidR="004863D2" w:rsidRPr="008504BA" w:rsidRDefault="004863D2" w:rsidP="00D8625E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8504BA">
              <w:rPr>
                <w:color w:val="000000" w:themeColor="text1"/>
                <w:sz w:val="19"/>
                <w:szCs w:val="19"/>
              </w:rPr>
              <w:t>(0.02</w:t>
            </w:r>
            <w:r>
              <w:rPr>
                <w:color w:val="000000" w:themeColor="text1"/>
                <w:sz w:val="19"/>
                <w:szCs w:val="19"/>
              </w:rPr>
              <w:t>2</w:t>
            </w:r>
            <w:r w:rsidRPr="008504BA">
              <w:rPr>
                <w:color w:val="000000" w:themeColor="text1"/>
                <w:sz w:val="19"/>
                <w:szCs w:val="19"/>
              </w:rPr>
              <w:t>)</w:t>
            </w:r>
          </w:p>
        </w:tc>
      </w:tr>
      <w:tr w:rsidR="004863D2" w:rsidRPr="00DB1E85" w14:paraId="4AD15C1E" w14:textId="77777777" w:rsidTr="00D8625E">
        <w:tc>
          <w:tcPr>
            <w:tcW w:w="45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9BF1FC6" w14:textId="77777777" w:rsidR="004863D2" w:rsidRPr="005F66DE" w:rsidRDefault="004863D2" w:rsidP="00D8625E">
            <w:pPr>
              <w:jc w:val="center"/>
              <w:rPr>
                <w:sz w:val="19"/>
                <w:szCs w:val="19"/>
              </w:rPr>
            </w:pPr>
            <w:r w:rsidRPr="005F66DE">
              <w:rPr>
                <w:sz w:val="19"/>
                <w:szCs w:val="19"/>
              </w:rPr>
              <w:t>17</w:t>
            </w:r>
          </w:p>
        </w:tc>
        <w:tc>
          <w:tcPr>
            <w:tcW w:w="3389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32DDE6" w14:textId="77777777" w:rsidR="004863D2" w:rsidRPr="005F66DE" w:rsidRDefault="004863D2" w:rsidP="00D8625E">
            <w:pPr>
              <w:jc w:val="center"/>
              <w:rPr>
                <w:sz w:val="19"/>
                <w:szCs w:val="19"/>
              </w:rPr>
            </w:pPr>
            <w:r w:rsidRPr="005F66DE">
              <w:rPr>
                <w:sz w:val="19"/>
                <w:szCs w:val="19"/>
              </w:rPr>
              <w:t>Age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E779AD8" w14:textId="77777777" w:rsidR="004863D2" w:rsidRPr="008504BA" w:rsidRDefault="004863D2" w:rsidP="00D8625E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__</w:t>
            </w:r>
          </w:p>
        </w:tc>
        <w:tc>
          <w:tcPr>
            <w:tcW w:w="99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D7C2596" w14:textId="77777777" w:rsidR="004863D2" w:rsidRPr="008504BA" w:rsidRDefault="004863D2" w:rsidP="00D8625E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__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EBAD285" w14:textId="77777777" w:rsidR="004863D2" w:rsidRPr="008504BA" w:rsidRDefault="004863D2" w:rsidP="00D8625E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__</w:t>
            </w:r>
          </w:p>
        </w:tc>
        <w:tc>
          <w:tcPr>
            <w:tcW w:w="99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02B08DD" w14:textId="77777777" w:rsidR="004863D2" w:rsidRPr="008504BA" w:rsidRDefault="004863D2" w:rsidP="00D8625E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__</w:t>
            </w:r>
          </w:p>
        </w:tc>
        <w:tc>
          <w:tcPr>
            <w:tcW w:w="99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DFFEA3D" w14:textId="77777777" w:rsidR="004863D2" w:rsidRPr="008504BA" w:rsidRDefault="004863D2" w:rsidP="00D8625E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8504BA">
              <w:rPr>
                <w:color w:val="000000" w:themeColor="text1"/>
                <w:sz w:val="19"/>
                <w:szCs w:val="19"/>
              </w:rPr>
              <w:t>-0.00</w:t>
            </w:r>
            <w:r>
              <w:rPr>
                <w:color w:val="000000" w:themeColor="text1"/>
                <w:sz w:val="19"/>
                <w:szCs w:val="19"/>
              </w:rPr>
              <w:t>7</w:t>
            </w:r>
          </w:p>
          <w:p w14:paraId="1DCA0BFD" w14:textId="77777777" w:rsidR="004863D2" w:rsidRPr="008504BA" w:rsidRDefault="004863D2" w:rsidP="00D8625E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8504BA">
              <w:rPr>
                <w:color w:val="000000" w:themeColor="text1"/>
                <w:sz w:val="19"/>
                <w:szCs w:val="19"/>
              </w:rPr>
              <w:t>(0.006)</w:t>
            </w:r>
          </w:p>
        </w:tc>
        <w:tc>
          <w:tcPr>
            <w:tcW w:w="99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B3ABCFA" w14:textId="77777777" w:rsidR="004863D2" w:rsidRPr="008504BA" w:rsidRDefault="004863D2" w:rsidP="00D8625E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8504BA">
              <w:rPr>
                <w:color w:val="000000" w:themeColor="text1"/>
                <w:sz w:val="19"/>
                <w:szCs w:val="19"/>
              </w:rPr>
              <w:t>0.00</w:t>
            </w:r>
            <w:r>
              <w:rPr>
                <w:color w:val="000000" w:themeColor="text1"/>
                <w:sz w:val="19"/>
                <w:szCs w:val="19"/>
              </w:rPr>
              <w:t>3</w:t>
            </w:r>
          </w:p>
          <w:p w14:paraId="4770BB61" w14:textId="77777777" w:rsidR="004863D2" w:rsidRPr="008504BA" w:rsidRDefault="004863D2" w:rsidP="00D8625E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8504BA">
              <w:rPr>
                <w:color w:val="000000" w:themeColor="text1"/>
                <w:sz w:val="19"/>
                <w:szCs w:val="19"/>
              </w:rPr>
              <w:t>(0.004)</w:t>
            </w:r>
          </w:p>
        </w:tc>
      </w:tr>
      <w:tr w:rsidR="004863D2" w:rsidRPr="00DB1E85" w14:paraId="5EC4D5F5" w14:textId="77777777" w:rsidTr="00D8625E"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CC7C99B" w14:textId="77777777" w:rsidR="004863D2" w:rsidRPr="005F66DE" w:rsidRDefault="004863D2" w:rsidP="00D8625E">
            <w:pPr>
              <w:jc w:val="center"/>
              <w:rPr>
                <w:sz w:val="19"/>
                <w:szCs w:val="19"/>
              </w:rPr>
            </w:pPr>
            <w:r w:rsidRPr="005F66DE">
              <w:rPr>
                <w:sz w:val="19"/>
                <w:szCs w:val="19"/>
              </w:rPr>
              <w:t>18</w:t>
            </w:r>
          </w:p>
        </w:tc>
        <w:tc>
          <w:tcPr>
            <w:tcW w:w="338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8E2FEC" w14:textId="77777777" w:rsidR="004863D2" w:rsidRPr="005F66DE" w:rsidRDefault="004863D2" w:rsidP="00D8625E">
            <w:pPr>
              <w:jc w:val="center"/>
              <w:rPr>
                <w:sz w:val="19"/>
                <w:szCs w:val="19"/>
              </w:rPr>
            </w:pPr>
            <m:oMathPara>
              <m:oMath>
                <m:r>
                  <w:rPr>
                    <w:rFonts w:ascii="Cambria Math" w:hAnsi="Cambria Math"/>
                    <w:sz w:val="19"/>
                    <w:szCs w:val="19"/>
                  </w:rPr>
                  <m:t>ρ</m:t>
                </m:r>
              </m:oMath>
            </m:oMathPara>
          </w:p>
        </w:tc>
        <w:tc>
          <w:tcPr>
            <w:tcW w:w="20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D1712A" w14:textId="77777777" w:rsidR="004863D2" w:rsidRPr="008504BA" w:rsidRDefault="004863D2" w:rsidP="00D8625E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8504BA">
              <w:rPr>
                <w:color w:val="000000" w:themeColor="text1"/>
                <w:sz w:val="19"/>
                <w:szCs w:val="19"/>
              </w:rPr>
              <w:t>-0.05</w:t>
            </w:r>
            <w:r>
              <w:rPr>
                <w:color w:val="000000" w:themeColor="text1"/>
                <w:sz w:val="19"/>
                <w:szCs w:val="19"/>
              </w:rPr>
              <w:t>2</w:t>
            </w:r>
            <w:r w:rsidRPr="008504BA">
              <w:rPr>
                <w:color w:val="000000" w:themeColor="text1"/>
                <w:sz w:val="19"/>
                <w:szCs w:val="19"/>
                <w:vertAlign w:val="superscript"/>
              </w:rPr>
              <w:t>***</w:t>
            </w:r>
          </w:p>
          <w:p w14:paraId="11EF18A0" w14:textId="77777777" w:rsidR="004863D2" w:rsidRPr="008504BA" w:rsidRDefault="004863D2" w:rsidP="00D8625E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8504BA">
              <w:rPr>
                <w:color w:val="000000" w:themeColor="text1"/>
                <w:sz w:val="19"/>
                <w:szCs w:val="19"/>
              </w:rPr>
              <w:t>(0.01</w:t>
            </w:r>
            <w:r>
              <w:rPr>
                <w:color w:val="000000" w:themeColor="text1"/>
                <w:sz w:val="19"/>
                <w:szCs w:val="19"/>
              </w:rPr>
              <w:t>8</w:t>
            </w:r>
            <w:r w:rsidRPr="008504BA">
              <w:rPr>
                <w:color w:val="000000" w:themeColor="text1"/>
                <w:sz w:val="19"/>
                <w:szCs w:val="19"/>
              </w:rPr>
              <w:t>)</w:t>
            </w:r>
          </w:p>
        </w:tc>
        <w:tc>
          <w:tcPr>
            <w:tcW w:w="20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9066BA" w14:textId="77777777" w:rsidR="004863D2" w:rsidRPr="008504BA" w:rsidRDefault="004863D2" w:rsidP="00D8625E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8504BA">
              <w:rPr>
                <w:color w:val="000000" w:themeColor="text1"/>
                <w:sz w:val="19"/>
                <w:szCs w:val="19"/>
              </w:rPr>
              <w:t>-0.045</w:t>
            </w:r>
            <w:r w:rsidRPr="008504BA">
              <w:rPr>
                <w:color w:val="000000" w:themeColor="text1"/>
                <w:sz w:val="19"/>
                <w:szCs w:val="19"/>
                <w:vertAlign w:val="superscript"/>
              </w:rPr>
              <w:t>***</w:t>
            </w:r>
          </w:p>
          <w:p w14:paraId="6AC1B4AD" w14:textId="77777777" w:rsidR="004863D2" w:rsidRPr="008504BA" w:rsidRDefault="004863D2" w:rsidP="00D8625E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8504BA">
              <w:rPr>
                <w:color w:val="000000" w:themeColor="text1"/>
                <w:sz w:val="19"/>
                <w:szCs w:val="19"/>
              </w:rPr>
              <w:t>(0.016)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3D3926" w14:textId="77777777" w:rsidR="004863D2" w:rsidRPr="008504BA" w:rsidRDefault="004863D2" w:rsidP="00D8625E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8504BA">
              <w:rPr>
                <w:color w:val="000000" w:themeColor="text1"/>
                <w:sz w:val="19"/>
                <w:szCs w:val="19"/>
              </w:rPr>
              <w:t>-0.06</w:t>
            </w:r>
            <w:r>
              <w:rPr>
                <w:color w:val="000000" w:themeColor="text1"/>
                <w:sz w:val="19"/>
                <w:szCs w:val="19"/>
              </w:rPr>
              <w:t>2</w:t>
            </w:r>
            <w:r w:rsidRPr="008504BA">
              <w:rPr>
                <w:color w:val="000000" w:themeColor="text1"/>
                <w:sz w:val="19"/>
                <w:szCs w:val="19"/>
                <w:vertAlign w:val="superscript"/>
              </w:rPr>
              <w:t>***</w:t>
            </w:r>
          </w:p>
          <w:p w14:paraId="5BC63AA6" w14:textId="77777777" w:rsidR="004863D2" w:rsidRPr="008504BA" w:rsidRDefault="004863D2" w:rsidP="00D8625E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8504BA">
              <w:rPr>
                <w:color w:val="000000" w:themeColor="text1"/>
                <w:sz w:val="19"/>
                <w:szCs w:val="19"/>
              </w:rPr>
              <w:t>(0.016)</w:t>
            </w:r>
          </w:p>
        </w:tc>
      </w:tr>
      <w:tr w:rsidR="004863D2" w:rsidRPr="00DB1E85" w14:paraId="3C7570F9" w14:textId="77777777" w:rsidTr="00D8625E">
        <w:tc>
          <w:tcPr>
            <w:tcW w:w="45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51082C" w14:textId="77777777" w:rsidR="004863D2" w:rsidRPr="005F66DE" w:rsidRDefault="004863D2" w:rsidP="00D8625E">
            <w:pPr>
              <w:jc w:val="center"/>
              <w:rPr>
                <w:sz w:val="19"/>
                <w:szCs w:val="19"/>
              </w:rPr>
            </w:pPr>
            <w:r w:rsidRPr="005F66DE">
              <w:rPr>
                <w:sz w:val="19"/>
                <w:szCs w:val="19"/>
              </w:rPr>
              <w:t>19</w:t>
            </w:r>
          </w:p>
        </w:tc>
        <w:tc>
          <w:tcPr>
            <w:tcW w:w="1859" w:type="dxa"/>
            <w:tcBorders>
              <w:left w:val="single" w:sz="4" w:space="0" w:color="auto"/>
              <w:bottom w:val="single" w:sz="12" w:space="0" w:color="auto"/>
            </w:tcBorders>
          </w:tcPr>
          <w:p w14:paraId="7FB35699" w14:textId="77777777" w:rsidR="004863D2" w:rsidRPr="005F66DE" w:rsidRDefault="004863D2" w:rsidP="00D8625E">
            <w:pPr>
              <w:jc w:val="center"/>
              <w:rPr>
                <w:sz w:val="19"/>
                <w:szCs w:val="19"/>
              </w:rPr>
            </w:pPr>
            <w:r w:rsidRPr="005F66DE">
              <w:rPr>
                <w:sz w:val="19"/>
                <w:szCs w:val="19"/>
              </w:rPr>
              <w:t>Log</w:t>
            </w:r>
            <w:r>
              <w:rPr>
                <w:sz w:val="19"/>
                <w:szCs w:val="19"/>
              </w:rPr>
              <w:t xml:space="preserve"> </w:t>
            </w:r>
            <w:r w:rsidRPr="005F66DE">
              <w:rPr>
                <w:sz w:val="19"/>
                <w:szCs w:val="19"/>
              </w:rPr>
              <w:t>Likelihood</w:t>
            </w:r>
          </w:p>
        </w:tc>
        <w:tc>
          <w:tcPr>
            <w:tcW w:w="1530" w:type="dxa"/>
            <w:tcBorders>
              <w:bottom w:val="single" w:sz="12" w:space="0" w:color="auto"/>
              <w:right w:val="single" w:sz="12" w:space="0" w:color="auto"/>
            </w:tcBorders>
          </w:tcPr>
          <w:p w14:paraId="1E0E2AE3" w14:textId="77777777" w:rsidR="004863D2" w:rsidRPr="005F66DE" w:rsidRDefault="004863D2" w:rsidP="00D8625E">
            <w:pPr>
              <w:jc w:val="center"/>
              <w:rPr>
                <w:sz w:val="19"/>
                <w:szCs w:val="19"/>
              </w:rPr>
            </w:pPr>
            <w:r w:rsidRPr="005F66DE">
              <w:rPr>
                <w:sz w:val="19"/>
                <w:szCs w:val="19"/>
              </w:rPr>
              <w:t>N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0901152" w14:textId="77777777" w:rsidR="004863D2" w:rsidRPr="008504BA" w:rsidRDefault="004863D2" w:rsidP="00D8625E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8504BA">
              <w:rPr>
                <w:color w:val="000000" w:themeColor="text1"/>
                <w:sz w:val="19"/>
                <w:szCs w:val="19"/>
              </w:rPr>
              <w:t>-3,62</w:t>
            </w:r>
            <w:r>
              <w:rPr>
                <w:color w:val="000000" w:themeColor="text1"/>
                <w:sz w:val="19"/>
                <w:szCs w:val="19"/>
              </w:rPr>
              <w:t>3</w:t>
            </w:r>
            <w:r w:rsidRPr="008504BA">
              <w:rPr>
                <w:color w:val="000000" w:themeColor="text1"/>
                <w:sz w:val="19"/>
                <w:szCs w:val="19"/>
              </w:rPr>
              <w:t>.</w:t>
            </w:r>
            <w:r>
              <w:rPr>
                <w:color w:val="000000" w:themeColor="text1"/>
                <w:sz w:val="19"/>
                <w:szCs w:val="19"/>
              </w:rPr>
              <w:t>5</w:t>
            </w:r>
          </w:p>
        </w:tc>
        <w:tc>
          <w:tcPr>
            <w:tcW w:w="99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1F53BDF" w14:textId="77777777" w:rsidR="004863D2" w:rsidRPr="008504BA" w:rsidRDefault="004863D2" w:rsidP="00D8625E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8504BA">
              <w:rPr>
                <w:color w:val="000000" w:themeColor="text1"/>
                <w:sz w:val="19"/>
                <w:szCs w:val="19"/>
              </w:rPr>
              <w:t>3,600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806C5FC" w14:textId="77777777" w:rsidR="004863D2" w:rsidRPr="008504BA" w:rsidRDefault="004863D2" w:rsidP="00D8625E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8504BA">
              <w:rPr>
                <w:color w:val="000000" w:themeColor="text1"/>
                <w:sz w:val="19"/>
                <w:szCs w:val="19"/>
              </w:rPr>
              <w:t>-2,6</w:t>
            </w:r>
            <w:r>
              <w:rPr>
                <w:color w:val="000000" w:themeColor="text1"/>
                <w:sz w:val="19"/>
                <w:szCs w:val="19"/>
              </w:rPr>
              <w:t>68</w:t>
            </w:r>
            <w:r w:rsidRPr="008504BA">
              <w:rPr>
                <w:color w:val="000000" w:themeColor="text1"/>
                <w:sz w:val="19"/>
                <w:szCs w:val="19"/>
              </w:rPr>
              <w:t>.</w:t>
            </w:r>
            <w:r>
              <w:rPr>
                <w:color w:val="000000" w:themeColor="text1"/>
                <w:sz w:val="19"/>
                <w:szCs w:val="19"/>
              </w:rPr>
              <w:t>4</w:t>
            </w:r>
          </w:p>
        </w:tc>
        <w:tc>
          <w:tcPr>
            <w:tcW w:w="99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6E62492" w14:textId="77777777" w:rsidR="004863D2" w:rsidRPr="008504BA" w:rsidRDefault="004863D2" w:rsidP="00D8625E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8504BA">
              <w:rPr>
                <w:color w:val="000000" w:themeColor="text1"/>
                <w:sz w:val="19"/>
                <w:szCs w:val="19"/>
              </w:rPr>
              <w:t>3,</w:t>
            </w:r>
            <w:r>
              <w:rPr>
                <w:color w:val="000000" w:themeColor="text1"/>
                <w:sz w:val="19"/>
                <w:szCs w:val="19"/>
              </w:rPr>
              <w:t>456</w:t>
            </w:r>
          </w:p>
        </w:tc>
        <w:tc>
          <w:tcPr>
            <w:tcW w:w="99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615CE95" w14:textId="77777777" w:rsidR="004863D2" w:rsidRPr="008504BA" w:rsidRDefault="004863D2" w:rsidP="00D8625E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8504BA">
              <w:rPr>
                <w:color w:val="000000" w:themeColor="text1"/>
                <w:sz w:val="19"/>
                <w:szCs w:val="19"/>
              </w:rPr>
              <w:t>-2,63</w:t>
            </w:r>
            <w:r>
              <w:rPr>
                <w:color w:val="000000" w:themeColor="text1"/>
                <w:sz w:val="19"/>
                <w:szCs w:val="19"/>
              </w:rPr>
              <w:t>3</w:t>
            </w:r>
            <w:r w:rsidRPr="008504BA">
              <w:rPr>
                <w:color w:val="000000" w:themeColor="text1"/>
                <w:sz w:val="19"/>
                <w:szCs w:val="19"/>
              </w:rPr>
              <w:t>.</w:t>
            </w:r>
            <w:r>
              <w:rPr>
                <w:color w:val="000000" w:themeColor="text1"/>
                <w:sz w:val="19"/>
                <w:szCs w:val="19"/>
              </w:rPr>
              <w:t>1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A2DFEE" w14:textId="77777777" w:rsidR="004863D2" w:rsidRPr="008504BA" w:rsidRDefault="004863D2" w:rsidP="00D8625E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3,456</w:t>
            </w:r>
          </w:p>
        </w:tc>
      </w:tr>
    </w:tbl>
    <w:p w14:paraId="007BCD30" w14:textId="77777777" w:rsidR="004863D2" w:rsidRDefault="004863D2" w:rsidP="00185402">
      <w:pPr>
        <w:ind w:left="-90" w:right="-238"/>
        <w:jc w:val="both"/>
        <w:rPr>
          <w:sz w:val="16"/>
          <w:szCs w:val="16"/>
        </w:rPr>
      </w:pPr>
      <w:r w:rsidRPr="00065DBD">
        <w:rPr>
          <w:sz w:val="16"/>
          <w:szCs w:val="16"/>
        </w:rPr>
        <w:t>Marginal</w:t>
      </w:r>
      <w:r>
        <w:rPr>
          <w:sz w:val="16"/>
          <w:szCs w:val="16"/>
        </w:rPr>
        <w:t xml:space="preserve"> </w:t>
      </w:r>
      <w:r w:rsidRPr="00065DBD">
        <w:rPr>
          <w:sz w:val="16"/>
          <w:szCs w:val="16"/>
        </w:rPr>
        <w:t>effects</w:t>
      </w:r>
      <w:r>
        <w:rPr>
          <w:sz w:val="16"/>
          <w:szCs w:val="16"/>
        </w:rPr>
        <w:t xml:space="preserve"> (</w:t>
      </w:r>
      <w:r w:rsidRPr="00065DBD">
        <w:rPr>
          <w:sz w:val="16"/>
          <w:szCs w:val="16"/>
        </w:rPr>
        <w:t>evaluated</w:t>
      </w:r>
      <w:r>
        <w:rPr>
          <w:sz w:val="16"/>
          <w:szCs w:val="16"/>
        </w:rPr>
        <w:t xml:space="preserve"> </w:t>
      </w:r>
      <w:r w:rsidRPr="00065DBD">
        <w:rPr>
          <w:sz w:val="16"/>
          <w:szCs w:val="16"/>
        </w:rPr>
        <w:t>at</w:t>
      </w:r>
      <w:r>
        <w:rPr>
          <w:sz w:val="16"/>
          <w:szCs w:val="16"/>
        </w:rPr>
        <w:t xml:space="preserve"> </w:t>
      </w:r>
      <w:r w:rsidRPr="00065DBD">
        <w:rPr>
          <w:sz w:val="16"/>
          <w:szCs w:val="16"/>
        </w:rPr>
        <w:t>means</w:t>
      </w:r>
      <w:r>
        <w:rPr>
          <w:sz w:val="16"/>
          <w:szCs w:val="16"/>
        </w:rPr>
        <w:t>) are reported</w:t>
      </w:r>
      <w:r w:rsidRPr="00065DBD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065DBD">
        <w:rPr>
          <w:sz w:val="16"/>
          <w:szCs w:val="16"/>
        </w:rPr>
        <w:t>Standard</w:t>
      </w:r>
      <w:r>
        <w:rPr>
          <w:sz w:val="16"/>
          <w:szCs w:val="16"/>
        </w:rPr>
        <w:t xml:space="preserve"> </w:t>
      </w:r>
      <w:r w:rsidRPr="00065DBD">
        <w:rPr>
          <w:sz w:val="16"/>
          <w:szCs w:val="16"/>
        </w:rPr>
        <w:t>errors</w:t>
      </w:r>
      <w:r>
        <w:rPr>
          <w:sz w:val="16"/>
          <w:szCs w:val="16"/>
        </w:rPr>
        <w:t xml:space="preserve"> </w:t>
      </w:r>
      <w:r w:rsidRPr="00065DBD">
        <w:rPr>
          <w:sz w:val="16"/>
          <w:szCs w:val="16"/>
        </w:rPr>
        <w:t>(in</w:t>
      </w:r>
      <w:r>
        <w:rPr>
          <w:sz w:val="16"/>
          <w:szCs w:val="16"/>
        </w:rPr>
        <w:t xml:space="preserve"> </w:t>
      </w:r>
      <w:r w:rsidRPr="00065DBD">
        <w:rPr>
          <w:sz w:val="16"/>
          <w:szCs w:val="16"/>
        </w:rPr>
        <w:t>parenthesis)</w:t>
      </w:r>
      <w:r>
        <w:rPr>
          <w:sz w:val="16"/>
          <w:szCs w:val="16"/>
        </w:rPr>
        <w:t xml:space="preserve"> </w:t>
      </w:r>
      <w:r w:rsidRPr="00065DBD">
        <w:rPr>
          <w:sz w:val="16"/>
          <w:szCs w:val="16"/>
        </w:rPr>
        <w:t>are</w:t>
      </w:r>
      <w:r>
        <w:rPr>
          <w:sz w:val="16"/>
          <w:szCs w:val="16"/>
        </w:rPr>
        <w:t xml:space="preserve"> </w:t>
      </w:r>
      <w:r w:rsidRPr="00065DBD">
        <w:rPr>
          <w:sz w:val="16"/>
          <w:szCs w:val="16"/>
        </w:rPr>
        <w:t>clustered</w:t>
      </w:r>
      <w:r>
        <w:rPr>
          <w:sz w:val="16"/>
          <w:szCs w:val="16"/>
        </w:rPr>
        <w:t xml:space="preserve"> </w:t>
      </w:r>
      <w:r w:rsidRPr="00065DBD">
        <w:rPr>
          <w:sz w:val="16"/>
          <w:szCs w:val="16"/>
        </w:rPr>
        <w:t>at</w:t>
      </w:r>
      <w:r>
        <w:rPr>
          <w:sz w:val="16"/>
          <w:szCs w:val="16"/>
        </w:rPr>
        <w:t xml:space="preserve"> </w:t>
      </w:r>
      <w:r w:rsidRPr="00065DBD">
        <w:rPr>
          <w:sz w:val="16"/>
          <w:szCs w:val="16"/>
        </w:rPr>
        <w:t>the</w:t>
      </w:r>
      <w:r>
        <w:rPr>
          <w:sz w:val="16"/>
          <w:szCs w:val="16"/>
        </w:rPr>
        <w:t xml:space="preserve"> </w:t>
      </w:r>
      <w:r w:rsidRPr="00065DBD">
        <w:rPr>
          <w:sz w:val="16"/>
          <w:szCs w:val="16"/>
        </w:rPr>
        <w:t>individual</w:t>
      </w:r>
      <w:r>
        <w:rPr>
          <w:sz w:val="16"/>
          <w:szCs w:val="16"/>
        </w:rPr>
        <w:t xml:space="preserve"> </w:t>
      </w:r>
      <w:r w:rsidRPr="00065DBD">
        <w:rPr>
          <w:sz w:val="16"/>
          <w:szCs w:val="16"/>
        </w:rPr>
        <w:t>level.</w:t>
      </w:r>
      <w:r>
        <w:rPr>
          <w:sz w:val="16"/>
          <w:szCs w:val="16"/>
        </w:rPr>
        <w:t xml:space="preserve"> Specification 3 also controls for the subject field of studies (i.e. economics, social science, hard science, literature or others). The estimates (not reported) reveal no significant effect.</w:t>
      </w:r>
    </w:p>
    <w:p w14:paraId="267CAF5C" w14:textId="610D424A" w:rsidR="004863D2" w:rsidRDefault="004863D2" w:rsidP="00185402">
      <w:pPr>
        <w:ind w:left="-90" w:right="-238"/>
        <w:jc w:val="both"/>
        <w:rPr>
          <w:sz w:val="16"/>
          <w:szCs w:val="16"/>
        </w:rPr>
      </w:pPr>
      <w:r w:rsidRPr="00065DBD">
        <w:rPr>
          <w:sz w:val="16"/>
          <w:szCs w:val="16"/>
        </w:rPr>
        <w:t>The</w:t>
      </w:r>
      <w:r>
        <w:rPr>
          <w:sz w:val="16"/>
          <w:szCs w:val="16"/>
        </w:rPr>
        <w:t xml:space="preserve"> </w:t>
      </w:r>
      <w:r w:rsidRPr="00065DBD">
        <w:rPr>
          <w:sz w:val="16"/>
          <w:szCs w:val="16"/>
        </w:rPr>
        <w:t>subject</w:t>
      </w:r>
      <w:r>
        <w:rPr>
          <w:sz w:val="16"/>
          <w:szCs w:val="16"/>
        </w:rPr>
        <w:t xml:space="preserve"> </w:t>
      </w:r>
      <w:r w:rsidRPr="00065DBD">
        <w:rPr>
          <w:sz w:val="16"/>
          <w:szCs w:val="16"/>
        </w:rPr>
        <w:t>of</w:t>
      </w:r>
      <w:r>
        <w:rPr>
          <w:sz w:val="16"/>
          <w:szCs w:val="16"/>
        </w:rPr>
        <w:t xml:space="preserve"> </w:t>
      </w:r>
      <w:r w:rsidRPr="00065DBD">
        <w:rPr>
          <w:sz w:val="16"/>
          <w:szCs w:val="16"/>
        </w:rPr>
        <w:t>reference</w:t>
      </w:r>
      <w:r>
        <w:rPr>
          <w:sz w:val="16"/>
          <w:szCs w:val="16"/>
        </w:rPr>
        <w:t xml:space="preserve"> in Specif</w:t>
      </w:r>
      <w:r w:rsidRPr="00065DBD">
        <w:rPr>
          <w:sz w:val="16"/>
          <w:szCs w:val="16"/>
        </w:rPr>
        <w:t>i</w:t>
      </w:r>
      <w:r>
        <w:rPr>
          <w:sz w:val="16"/>
          <w:szCs w:val="16"/>
        </w:rPr>
        <w:t>cation 3 i</w:t>
      </w:r>
      <w:r w:rsidRPr="00065DBD">
        <w:rPr>
          <w:sz w:val="16"/>
          <w:szCs w:val="16"/>
        </w:rPr>
        <w:t>s</w:t>
      </w:r>
      <w:r>
        <w:rPr>
          <w:sz w:val="16"/>
          <w:szCs w:val="16"/>
        </w:rPr>
        <w:t xml:space="preserve"> </w:t>
      </w:r>
      <w:r w:rsidRPr="00065DBD">
        <w:rPr>
          <w:sz w:val="16"/>
          <w:szCs w:val="16"/>
        </w:rPr>
        <w:t>a</w:t>
      </w:r>
      <w:r>
        <w:rPr>
          <w:sz w:val="16"/>
          <w:szCs w:val="16"/>
        </w:rPr>
        <w:t xml:space="preserve"> man </w:t>
      </w:r>
      <w:r w:rsidRPr="00065DBD">
        <w:rPr>
          <w:sz w:val="16"/>
          <w:szCs w:val="16"/>
        </w:rPr>
        <w:t>who</w:t>
      </w:r>
      <w:r>
        <w:rPr>
          <w:sz w:val="16"/>
          <w:szCs w:val="16"/>
        </w:rPr>
        <w:t xml:space="preserve"> </w:t>
      </w:r>
      <w:r w:rsidRPr="00065DBD">
        <w:rPr>
          <w:sz w:val="16"/>
          <w:szCs w:val="16"/>
        </w:rPr>
        <w:t>stud</w:t>
      </w:r>
      <w:r>
        <w:rPr>
          <w:sz w:val="16"/>
          <w:szCs w:val="16"/>
        </w:rPr>
        <w:t>ied e</w:t>
      </w:r>
      <w:r w:rsidRPr="00065DBD">
        <w:rPr>
          <w:sz w:val="16"/>
          <w:szCs w:val="16"/>
        </w:rPr>
        <w:t>conomics</w:t>
      </w:r>
      <w:r>
        <w:rPr>
          <w:sz w:val="16"/>
          <w:szCs w:val="16"/>
        </w:rPr>
        <w:t xml:space="preserve">. He participated </w:t>
      </w:r>
      <w:r w:rsidRPr="00065DBD">
        <w:rPr>
          <w:sz w:val="16"/>
          <w:szCs w:val="16"/>
        </w:rPr>
        <w:t>in</w:t>
      </w:r>
      <w:r>
        <w:rPr>
          <w:sz w:val="16"/>
          <w:szCs w:val="16"/>
        </w:rPr>
        <w:t xml:space="preserve"> </w:t>
      </w:r>
      <w:r w:rsidRPr="00065DBD">
        <w:rPr>
          <w:sz w:val="16"/>
          <w:szCs w:val="16"/>
        </w:rPr>
        <w:t>the</w:t>
      </w:r>
      <w:r>
        <w:rPr>
          <w:sz w:val="16"/>
          <w:szCs w:val="16"/>
        </w:rPr>
        <w:t xml:space="preserve"> </w:t>
      </w:r>
      <w:r w:rsidRPr="00065DBD">
        <w:rPr>
          <w:sz w:val="16"/>
          <w:szCs w:val="16"/>
        </w:rPr>
        <w:t>control</w:t>
      </w:r>
      <w:r>
        <w:rPr>
          <w:sz w:val="16"/>
          <w:szCs w:val="16"/>
        </w:rPr>
        <w:t xml:space="preserve"> </w:t>
      </w:r>
      <w:r w:rsidRPr="00065DBD">
        <w:rPr>
          <w:sz w:val="16"/>
          <w:szCs w:val="16"/>
        </w:rPr>
        <w:t>treatment</w:t>
      </w:r>
      <w:r>
        <w:rPr>
          <w:sz w:val="16"/>
          <w:szCs w:val="16"/>
        </w:rPr>
        <w:t xml:space="preserve"> as </w:t>
      </w:r>
      <w:r w:rsidRPr="00065DBD">
        <w:rPr>
          <w:sz w:val="16"/>
          <w:szCs w:val="16"/>
        </w:rPr>
        <w:t>a</w:t>
      </w:r>
      <w:r>
        <w:rPr>
          <w:sz w:val="16"/>
          <w:szCs w:val="16"/>
        </w:rPr>
        <w:t>n investor and he did not fund a bank in the previous round</w:t>
      </w:r>
      <w:r w:rsidRPr="00CA3D53">
        <w:rPr>
          <w:sz w:val="16"/>
          <w:szCs w:val="16"/>
        </w:rPr>
        <w:t>.</w:t>
      </w:r>
    </w:p>
    <w:p w14:paraId="54B50DA3" w14:textId="77777777" w:rsidR="004863D2" w:rsidRPr="004863D2" w:rsidRDefault="004863D2" w:rsidP="00185402">
      <w:pPr>
        <w:ind w:right="-360"/>
        <w:jc w:val="both"/>
        <w:rPr>
          <w:sz w:val="8"/>
          <w:szCs w:val="8"/>
        </w:rPr>
      </w:pPr>
    </w:p>
    <w:p w14:paraId="6E42E764" w14:textId="59439C14" w:rsidR="00CE5AF9" w:rsidRPr="00643A59" w:rsidRDefault="001A1F3A" w:rsidP="00F86E09">
      <w:pPr>
        <w:pStyle w:val="Olivier1"/>
        <w:widowControl w:val="0"/>
      </w:pPr>
      <w:r w:rsidRPr="005D609E">
        <w:rPr>
          <w:rStyle w:val="Heading3Char"/>
        </w:rPr>
        <w:t>Specification</w:t>
      </w:r>
      <w:r w:rsidR="009A0847">
        <w:rPr>
          <w:rStyle w:val="Heading3Char"/>
        </w:rPr>
        <w:t xml:space="preserve"> </w:t>
      </w:r>
      <w:r>
        <w:rPr>
          <w:rStyle w:val="Heading3Char"/>
        </w:rPr>
        <w:t>3</w:t>
      </w:r>
      <w:r w:rsidRPr="005D609E">
        <w:rPr>
          <w:rStyle w:val="Heading3Char"/>
        </w:rPr>
        <w:t>:</w:t>
      </w:r>
      <w:r w:rsidR="009A0847">
        <w:t xml:space="preserve"> </w:t>
      </w:r>
      <w:r w:rsidR="00CE5AF9" w:rsidRPr="00643A59">
        <w:t>We</w:t>
      </w:r>
      <w:r w:rsidR="009A0847">
        <w:t xml:space="preserve"> </w:t>
      </w:r>
      <w:r w:rsidR="00CE5AF9" w:rsidRPr="00643A59">
        <w:t>conclude</w:t>
      </w:r>
      <w:r w:rsidR="009A0847">
        <w:t xml:space="preserve"> </w:t>
      </w:r>
      <w:r w:rsidR="00811E97">
        <w:t>by</w:t>
      </w:r>
      <w:r w:rsidR="009A0847">
        <w:t xml:space="preserve"> </w:t>
      </w:r>
      <w:r w:rsidR="00811E97">
        <w:t>adding</w:t>
      </w:r>
      <w:r w:rsidR="009A0847">
        <w:t xml:space="preserve"> </w:t>
      </w:r>
      <w:r w:rsidR="00CE5AF9" w:rsidRPr="00643A59">
        <w:t>control</w:t>
      </w:r>
      <w:r w:rsidR="00811E97">
        <w:t>s</w:t>
      </w:r>
      <w:r w:rsidR="009A0847">
        <w:t xml:space="preserve"> </w:t>
      </w:r>
      <w:r w:rsidR="00CE5AF9" w:rsidRPr="00643A59">
        <w:t>for</w:t>
      </w:r>
      <w:r w:rsidR="009A0847">
        <w:t xml:space="preserve"> </w:t>
      </w:r>
      <w:r w:rsidR="00CE5AF9" w:rsidRPr="00643A59">
        <w:t>individual</w:t>
      </w:r>
      <w:r w:rsidR="009A0847">
        <w:t xml:space="preserve"> </w:t>
      </w:r>
      <w:r w:rsidR="00CE5AF9" w:rsidRPr="00643A59">
        <w:t>characteristics.</w:t>
      </w:r>
      <w:r w:rsidR="009A0847">
        <w:t xml:space="preserve"> </w:t>
      </w:r>
      <w:r w:rsidR="00CE5AF9" w:rsidRPr="00643A59">
        <w:t>The</w:t>
      </w:r>
      <w:r w:rsidR="009A0847">
        <w:t xml:space="preserve"> </w:t>
      </w:r>
      <w:r w:rsidR="0025036C">
        <w:t>result</w:t>
      </w:r>
      <w:r w:rsidR="00CE5AF9" w:rsidRPr="00643A59">
        <w:t>s</w:t>
      </w:r>
      <w:r w:rsidR="009A0847">
        <w:t xml:space="preserve"> </w:t>
      </w:r>
      <w:r w:rsidR="00CE5AF9" w:rsidRPr="00643A59">
        <w:t>are</w:t>
      </w:r>
      <w:r w:rsidR="009A0847">
        <w:t xml:space="preserve"> </w:t>
      </w:r>
      <w:r w:rsidR="00CE5AF9" w:rsidRPr="00643A59">
        <w:t>similar</w:t>
      </w:r>
      <w:r w:rsidR="009A0847">
        <w:t xml:space="preserve"> </w:t>
      </w:r>
      <w:r w:rsidR="0025036C">
        <w:t xml:space="preserve">to </w:t>
      </w:r>
      <w:r w:rsidR="00CE5AF9" w:rsidRPr="00643A59">
        <w:t>those</w:t>
      </w:r>
      <w:r w:rsidR="009A0847">
        <w:t xml:space="preserve"> </w:t>
      </w:r>
      <w:r w:rsidR="00CE5AF9" w:rsidRPr="00643A59">
        <w:t>for</w:t>
      </w:r>
      <w:r w:rsidR="009A0847">
        <w:t xml:space="preserve"> </w:t>
      </w:r>
      <w:r w:rsidR="00CE5AF9" w:rsidRPr="00643A59">
        <w:t>the</w:t>
      </w:r>
      <w:r w:rsidR="009A0847">
        <w:t xml:space="preserve"> </w:t>
      </w:r>
      <w:r w:rsidR="00CE5AF9" w:rsidRPr="00643A59">
        <w:t>banks’</w:t>
      </w:r>
      <w:r w:rsidR="009A0847">
        <w:t xml:space="preserve"> </w:t>
      </w:r>
      <w:r w:rsidR="00CE5AF9" w:rsidRPr="00643A59">
        <w:t>in</w:t>
      </w:r>
      <w:r w:rsidR="009A0847">
        <w:t xml:space="preserve"> </w:t>
      </w:r>
      <w:r w:rsidR="00CE5AF9" w:rsidRPr="00643A59">
        <w:t>Table</w:t>
      </w:r>
      <w:r w:rsidR="009A0847">
        <w:t xml:space="preserve"> </w:t>
      </w:r>
      <w:r w:rsidR="00F30690">
        <w:t>3</w:t>
      </w:r>
      <w:r w:rsidR="00CE5AF9" w:rsidRPr="00643A59">
        <w:t>.</w:t>
      </w:r>
      <w:r w:rsidR="009A0847">
        <w:t xml:space="preserve"> </w:t>
      </w:r>
      <w:r w:rsidR="00CE5AF9" w:rsidRPr="00643A59">
        <w:t>First,</w:t>
      </w:r>
      <w:r w:rsidR="009A0847">
        <w:t xml:space="preserve"> </w:t>
      </w:r>
      <w:r w:rsidR="00CE5AF9" w:rsidRPr="00643A59">
        <w:t>we</w:t>
      </w:r>
      <w:r w:rsidR="009A0847">
        <w:t xml:space="preserve"> </w:t>
      </w:r>
      <w:r w:rsidR="00CE5AF9" w:rsidRPr="00643A59">
        <w:t>find</w:t>
      </w:r>
      <w:r w:rsidR="009A0847">
        <w:t xml:space="preserve"> </w:t>
      </w:r>
      <w:r w:rsidR="00CE5AF9" w:rsidRPr="00643A59">
        <w:t>that</w:t>
      </w:r>
      <w:r w:rsidR="009A0847">
        <w:t xml:space="preserve"> </w:t>
      </w:r>
      <w:r w:rsidR="00CE5AF9" w:rsidRPr="00643A59">
        <w:t>the</w:t>
      </w:r>
      <w:r w:rsidR="009A0847">
        <w:t xml:space="preserve"> </w:t>
      </w:r>
      <w:r w:rsidR="00CE5AF9" w:rsidRPr="00643A59">
        <w:t>results</w:t>
      </w:r>
      <w:r w:rsidR="009A0847">
        <w:t xml:space="preserve"> </w:t>
      </w:r>
      <w:r w:rsidR="00CE5AF9" w:rsidRPr="00643A59">
        <w:t>from</w:t>
      </w:r>
      <w:r w:rsidR="009A0847">
        <w:t xml:space="preserve"> </w:t>
      </w:r>
      <w:r w:rsidR="00CE5AF9" w:rsidRPr="00643A59">
        <w:t>specification</w:t>
      </w:r>
      <w:r w:rsidR="009A0847">
        <w:t xml:space="preserve"> </w:t>
      </w:r>
      <w:r w:rsidR="00CE5AF9" w:rsidRPr="00643A59">
        <w:t>2</w:t>
      </w:r>
      <w:r w:rsidR="009A0847">
        <w:t xml:space="preserve"> </w:t>
      </w:r>
      <w:r w:rsidR="00CE5AF9" w:rsidRPr="00643A59">
        <w:t>are</w:t>
      </w:r>
      <w:r w:rsidR="009A0847">
        <w:t xml:space="preserve"> </w:t>
      </w:r>
      <w:r w:rsidR="00CE5AF9" w:rsidRPr="00643A59">
        <w:t>robust</w:t>
      </w:r>
      <w:r w:rsidR="009A0847">
        <w:t xml:space="preserve"> </w:t>
      </w:r>
      <w:r w:rsidR="00CE5AF9" w:rsidRPr="00643A59">
        <w:t>as</w:t>
      </w:r>
      <w:r w:rsidR="009A0847">
        <w:t xml:space="preserve"> </w:t>
      </w:r>
      <w:r w:rsidR="00CE5AF9" w:rsidRPr="00643A59">
        <w:t>the</w:t>
      </w:r>
      <w:r w:rsidR="009A0847">
        <w:t xml:space="preserve"> </w:t>
      </w:r>
      <w:r w:rsidR="00CE5AF9" w:rsidRPr="00643A59">
        <w:t>sign</w:t>
      </w:r>
      <w:r w:rsidR="009A0847">
        <w:t xml:space="preserve"> </w:t>
      </w:r>
      <w:r w:rsidR="00CE5AF9" w:rsidRPr="00643A59">
        <w:t>and</w:t>
      </w:r>
      <w:r w:rsidR="009A0847">
        <w:t xml:space="preserve"> </w:t>
      </w:r>
      <w:r w:rsidR="00CE5AF9" w:rsidRPr="00643A59">
        <w:t>magnitude</w:t>
      </w:r>
      <w:r w:rsidR="009A0847">
        <w:t xml:space="preserve"> </w:t>
      </w:r>
      <w:r w:rsidR="00CE5AF9" w:rsidRPr="00643A59">
        <w:t>of</w:t>
      </w:r>
      <w:r w:rsidR="009A0847">
        <w:t xml:space="preserve"> </w:t>
      </w:r>
      <w:r w:rsidR="00CE5AF9" w:rsidRPr="00643A59">
        <w:t>the</w:t>
      </w:r>
      <w:r w:rsidR="009A0847">
        <w:t xml:space="preserve"> </w:t>
      </w:r>
      <w:r w:rsidR="00CE5AF9" w:rsidRPr="00643A59">
        <w:t>parameters</w:t>
      </w:r>
      <w:r w:rsidR="009A0847">
        <w:t xml:space="preserve"> </w:t>
      </w:r>
      <w:r w:rsidR="00CE5AF9" w:rsidRPr="00643A59">
        <w:t>remain</w:t>
      </w:r>
      <w:r w:rsidR="009A0847">
        <w:t xml:space="preserve"> </w:t>
      </w:r>
      <w:r w:rsidR="00CE5AF9" w:rsidRPr="00643A59">
        <w:t>essentially</w:t>
      </w:r>
      <w:r w:rsidR="009A0847">
        <w:t xml:space="preserve"> </w:t>
      </w:r>
      <w:r w:rsidR="00CE5AF9" w:rsidRPr="00643A59">
        <w:t>unchanged.</w:t>
      </w:r>
      <w:r w:rsidR="009A0847">
        <w:t xml:space="preserve"> </w:t>
      </w:r>
      <w:r w:rsidR="00CE5AF9" w:rsidRPr="00643A59">
        <w:t>Second,</w:t>
      </w:r>
      <w:r w:rsidR="009A0847">
        <w:t xml:space="preserve"> </w:t>
      </w:r>
      <w:r w:rsidR="00CE5AF9" w:rsidRPr="00643A59">
        <w:t>the</w:t>
      </w:r>
      <w:r w:rsidR="009A0847">
        <w:t xml:space="preserve"> </w:t>
      </w:r>
      <w:r w:rsidR="00CE5AF9" w:rsidRPr="00643A59">
        <w:t>only</w:t>
      </w:r>
      <w:r w:rsidR="009A0847">
        <w:t xml:space="preserve"> </w:t>
      </w:r>
      <w:r w:rsidR="00CE5AF9" w:rsidRPr="00643A59">
        <w:lastRenderedPageBreak/>
        <w:t>individual</w:t>
      </w:r>
      <w:r w:rsidR="009A0847">
        <w:t xml:space="preserve"> </w:t>
      </w:r>
      <w:r w:rsidR="00CE5AF9" w:rsidRPr="00643A59">
        <w:t>characteristic</w:t>
      </w:r>
      <w:r w:rsidR="009A0847">
        <w:t xml:space="preserve"> </w:t>
      </w:r>
      <w:r w:rsidR="00CE5AF9" w:rsidRPr="00643A59">
        <w:t>with</w:t>
      </w:r>
      <w:r w:rsidR="009A0847">
        <w:t xml:space="preserve"> </w:t>
      </w:r>
      <w:r w:rsidR="00CE5AF9" w:rsidRPr="00643A59">
        <w:t>explanatory</w:t>
      </w:r>
      <w:r w:rsidR="009A0847">
        <w:t xml:space="preserve"> </w:t>
      </w:r>
      <w:r w:rsidR="00CE5AF9" w:rsidRPr="00643A59">
        <w:t>power</w:t>
      </w:r>
      <w:r w:rsidR="009A0847">
        <w:t xml:space="preserve"> </w:t>
      </w:r>
      <w:r w:rsidR="00CE5AF9" w:rsidRPr="00643A59">
        <w:t>is</w:t>
      </w:r>
      <w:r w:rsidR="009A0847">
        <w:t xml:space="preserve"> </w:t>
      </w:r>
      <w:r w:rsidR="00CE5AF9" w:rsidRPr="00643A59">
        <w:t>the</w:t>
      </w:r>
      <w:r w:rsidR="009A0847">
        <w:t xml:space="preserve"> </w:t>
      </w:r>
      <w:r w:rsidR="00F30690">
        <w:t>measure</w:t>
      </w:r>
      <w:r w:rsidR="009A0847">
        <w:t xml:space="preserve"> </w:t>
      </w:r>
      <w:r w:rsidR="00F30690">
        <w:t>of</w:t>
      </w:r>
      <w:r w:rsidR="009A0847">
        <w:t xml:space="preserve"> </w:t>
      </w:r>
      <w:r w:rsidR="00F30690">
        <w:t>risk</w:t>
      </w:r>
      <w:r w:rsidR="009A0847">
        <w:t xml:space="preserve"> </w:t>
      </w:r>
      <w:r w:rsidR="00F30690">
        <w:t>attitude</w:t>
      </w:r>
      <w:r w:rsidR="009A0847">
        <w:t xml:space="preserve"> </w:t>
      </w:r>
      <w:r w:rsidR="00F30690">
        <w:t>(row</w:t>
      </w:r>
      <w:r w:rsidR="009A0847">
        <w:t xml:space="preserve"> </w:t>
      </w:r>
      <w:r w:rsidR="00F30690">
        <w:t>15</w:t>
      </w:r>
      <w:r w:rsidR="00CE5AF9" w:rsidRPr="00643A59">
        <w:t>).</w:t>
      </w:r>
      <w:r w:rsidR="009A0847">
        <w:t xml:space="preserve"> </w:t>
      </w:r>
      <w:r w:rsidR="00CE5AF9" w:rsidRPr="00643A59">
        <w:t>Interestingly,</w:t>
      </w:r>
      <w:r w:rsidR="009A0847">
        <w:t xml:space="preserve"> </w:t>
      </w:r>
      <w:r w:rsidR="00CE5AF9" w:rsidRPr="00643A59">
        <w:t>risk</w:t>
      </w:r>
      <w:r w:rsidR="009A0847">
        <w:t xml:space="preserve"> </w:t>
      </w:r>
      <w:r w:rsidR="00CE5AF9" w:rsidRPr="00643A59">
        <w:t>attitude</w:t>
      </w:r>
      <w:r w:rsidR="009A0847">
        <w:t xml:space="preserve"> </w:t>
      </w:r>
      <w:r w:rsidR="00CE5AF9" w:rsidRPr="00643A59">
        <w:t>only</w:t>
      </w:r>
      <w:r w:rsidR="009A0847">
        <w:t xml:space="preserve"> </w:t>
      </w:r>
      <w:r w:rsidR="00CE5AF9" w:rsidRPr="00643A59">
        <w:t>affects</w:t>
      </w:r>
      <w:r w:rsidR="009A0847">
        <w:t xml:space="preserve"> </w:t>
      </w:r>
      <w:r w:rsidR="00CE5AF9" w:rsidRPr="00643A59">
        <w:t>the</w:t>
      </w:r>
      <w:r w:rsidR="009A0847">
        <w:t xml:space="preserve"> </w:t>
      </w:r>
      <w:r w:rsidR="00CE5AF9" w:rsidRPr="00643A59">
        <w:t>investor</w:t>
      </w:r>
      <w:r w:rsidR="009A0847">
        <w:t xml:space="preserve"> </w:t>
      </w:r>
      <w:r w:rsidR="00CE5AF9" w:rsidRPr="00643A59">
        <w:t>behavior</w:t>
      </w:r>
      <w:r w:rsidR="009A0847">
        <w:t xml:space="preserve"> </w:t>
      </w:r>
      <w:r w:rsidR="00CE5AF9" w:rsidRPr="00643A59">
        <w:t>when</w:t>
      </w:r>
      <w:r w:rsidR="009A0847">
        <w:t xml:space="preserve"> </w:t>
      </w:r>
      <w:r w:rsidR="00CE5AF9" w:rsidRPr="00643A59">
        <w:t>the</w:t>
      </w:r>
      <w:r w:rsidR="009A0847">
        <w:t xml:space="preserve"> </w:t>
      </w:r>
      <w:r w:rsidR="00CE5AF9" w:rsidRPr="00643A59">
        <w:t>bank</w:t>
      </w:r>
      <w:r w:rsidR="009A0847">
        <w:t xml:space="preserve"> </w:t>
      </w:r>
      <w:r w:rsidR="00CE5AF9" w:rsidRPr="00643A59">
        <w:t>is</w:t>
      </w:r>
      <w:r w:rsidR="009A0847">
        <w:t xml:space="preserve"> </w:t>
      </w:r>
      <w:r w:rsidR="0025036C">
        <w:t>detected</w:t>
      </w:r>
      <w:r w:rsidR="009A0847">
        <w:t xml:space="preserve"> </w:t>
      </w:r>
      <w:r w:rsidR="00CE5AF9" w:rsidRPr="00885863">
        <w:t>at</w:t>
      </w:r>
      <w:r w:rsidR="009A0847">
        <w:t xml:space="preserve"> </w:t>
      </w:r>
      <w:r w:rsidR="00CE5AF9" w:rsidRPr="00885863">
        <w:t>the</w:t>
      </w:r>
      <w:r w:rsidR="009A0847">
        <w:t xml:space="preserve"> </w:t>
      </w:r>
      <w:r w:rsidR="00CE5AF9" w:rsidRPr="00885863">
        <w:t>DW:</w:t>
      </w:r>
      <w:r w:rsidR="009A0847">
        <w:t xml:space="preserve"> </w:t>
      </w:r>
      <w:r w:rsidR="00CE5AF9" w:rsidRPr="00885863">
        <w:t>an</w:t>
      </w:r>
      <w:r w:rsidR="009A0847">
        <w:t xml:space="preserve"> </w:t>
      </w:r>
      <w:r w:rsidR="00CE5AF9" w:rsidRPr="00885863">
        <w:t>investor</w:t>
      </w:r>
      <w:r w:rsidR="009A0847">
        <w:t xml:space="preserve"> </w:t>
      </w:r>
      <w:r w:rsidR="00CE5AF9" w:rsidRPr="00885863">
        <w:t>with</w:t>
      </w:r>
      <w:r w:rsidR="009A0847">
        <w:t xml:space="preserve"> </w:t>
      </w:r>
      <w:r w:rsidR="00CE5AF9" w:rsidRPr="00885863">
        <w:t>a</w:t>
      </w:r>
      <w:r w:rsidR="009A0847">
        <w:t xml:space="preserve"> </w:t>
      </w:r>
      <w:r w:rsidR="00811E97">
        <w:t>higher</w:t>
      </w:r>
      <w:r w:rsidR="009A0847">
        <w:t xml:space="preserve"> </w:t>
      </w:r>
      <w:r w:rsidR="00811E97">
        <w:t>BRET</w:t>
      </w:r>
      <w:r w:rsidR="009A0847">
        <w:t xml:space="preserve"> </w:t>
      </w:r>
      <w:r w:rsidR="00811E97">
        <w:t>score</w:t>
      </w:r>
      <w:r w:rsidR="009A0847">
        <w:t xml:space="preserve"> </w:t>
      </w:r>
      <w:r w:rsidR="00811E97">
        <w:t>(reflecting</w:t>
      </w:r>
      <w:r w:rsidR="009A0847">
        <w:t xml:space="preserve"> </w:t>
      </w:r>
      <w:r w:rsidR="00811E97">
        <w:t>less</w:t>
      </w:r>
      <w:r w:rsidR="009A0847">
        <w:t xml:space="preserve"> </w:t>
      </w:r>
      <w:r w:rsidR="00CE5AF9" w:rsidRPr="00885863">
        <w:t>risk</w:t>
      </w:r>
      <w:r w:rsidR="009A0847">
        <w:t xml:space="preserve"> </w:t>
      </w:r>
      <w:r w:rsidR="00CE5AF9" w:rsidRPr="00885863">
        <w:t>aversion)</w:t>
      </w:r>
      <w:r w:rsidR="009A0847">
        <w:t xml:space="preserve"> </w:t>
      </w:r>
      <w:r w:rsidR="00CE5AF9" w:rsidRPr="00885863">
        <w:t>of</w:t>
      </w:r>
      <w:r w:rsidR="009A0847">
        <w:t xml:space="preserve"> </w:t>
      </w:r>
      <w:r w:rsidR="00CE5AF9" w:rsidRPr="00885863">
        <w:t>one</w:t>
      </w:r>
      <w:r w:rsidR="009A0847">
        <w:t xml:space="preserve"> </w:t>
      </w:r>
      <w:r w:rsidR="00CE5AF9" w:rsidRPr="00885863">
        <w:t>standard</w:t>
      </w:r>
      <w:r w:rsidR="009A0847">
        <w:t xml:space="preserve"> </w:t>
      </w:r>
      <w:r w:rsidR="00CE5AF9" w:rsidRPr="00885863">
        <w:t>deviation</w:t>
      </w:r>
      <w:r w:rsidR="009A0847">
        <w:t xml:space="preserve"> </w:t>
      </w:r>
      <w:r w:rsidR="00811E97" w:rsidRPr="00F30690">
        <w:t>(i.e.</w:t>
      </w:r>
      <w:r w:rsidR="009A0847">
        <w:t xml:space="preserve"> </w:t>
      </w:r>
      <w:r w:rsidR="00F30690" w:rsidRPr="00F30690">
        <w:t>13.5</w:t>
      </w:r>
      <w:r w:rsidR="009A0847">
        <w:t xml:space="preserve"> </w:t>
      </w:r>
      <w:r w:rsidR="00811E97" w:rsidRPr="00F30690">
        <w:t>points)</w:t>
      </w:r>
      <w:r w:rsidR="009A0847">
        <w:t xml:space="preserve"> </w:t>
      </w:r>
      <w:r w:rsidR="00F30690">
        <w:t>is</w:t>
      </w:r>
      <w:r w:rsidR="009A0847">
        <w:t xml:space="preserve"> </w:t>
      </w:r>
      <w:r w:rsidR="00F30690">
        <w:t>roughly</w:t>
      </w:r>
      <w:r w:rsidR="009A0847">
        <w:t xml:space="preserve"> </w:t>
      </w:r>
      <w:r w:rsidR="0025036C">
        <w:t>4</w:t>
      </w:r>
      <w:r w:rsidR="00811E97">
        <w:t>%</w:t>
      </w:r>
      <w:r w:rsidR="009A0847">
        <w:t xml:space="preserve"> </w:t>
      </w:r>
      <w:r w:rsidR="00811E97">
        <w:t>more</w:t>
      </w:r>
      <w:r w:rsidR="009A0847">
        <w:t xml:space="preserve"> </w:t>
      </w:r>
      <w:r w:rsidR="00CE5AF9" w:rsidRPr="00885863">
        <w:t>likely</w:t>
      </w:r>
      <w:r w:rsidR="009A0847">
        <w:t xml:space="preserve"> </w:t>
      </w:r>
      <w:r w:rsidR="00CE5AF9" w:rsidRPr="00885863">
        <w:t>to</w:t>
      </w:r>
      <w:r w:rsidR="009A0847">
        <w:t xml:space="preserve"> </w:t>
      </w:r>
      <w:r w:rsidR="00CE5AF9" w:rsidRPr="00885863">
        <w:t>fund</w:t>
      </w:r>
      <w:r w:rsidR="009A0847">
        <w:t xml:space="preserve"> </w:t>
      </w:r>
      <w:r w:rsidR="00CE5AF9" w:rsidRPr="00885863">
        <w:t>a</w:t>
      </w:r>
      <w:r w:rsidR="009A0847">
        <w:t xml:space="preserve"> </w:t>
      </w:r>
      <w:r w:rsidR="00885863" w:rsidRPr="00885863">
        <w:t>detected</w:t>
      </w:r>
      <w:r w:rsidR="009A0847">
        <w:t xml:space="preserve"> </w:t>
      </w:r>
      <w:r w:rsidR="004B7A9B">
        <w:t>bank</w:t>
      </w:r>
      <w:r w:rsidR="00CE5AF9" w:rsidRPr="00885863">
        <w:t>.</w:t>
      </w:r>
      <w:r w:rsidR="009A0847">
        <w:t xml:space="preserve"> </w:t>
      </w:r>
      <w:r w:rsidR="00CE5AF9" w:rsidRPr="00885863">
        <w:t>This</w:t>
      </w:r>
      <w:r w:rsidR="009A0847">
        <w:t xml:space="preserve"> </w:t>
      </w:r>
      <w:r w:rsidR="00CE5AF9" w:rsidRPr="00885863">
        <w:t>result</w:t>
      </w:r>
      <w:r w:rsidR="009A0847">
        <w:t xml:space="preserve"> </w:t>
      </w:r>
      <w:r w:rsidR="00CE5AF9" w:rsidRPr="00885863">
        <w:t>may</w:t>
      </w:r>
      <w:r w:rsidR="009A0847">
        <w:t xml:space="preserve"> </w:t>
      </w:r>
      <w:r w:rsidR="00CE5AF9" w:rsidRPr="00885863">
        <w:t>be</w:t>
      </w:r>
      <w:r w:rsidR="009A0847">
        <w:t xml:space="preserve"> </w:t>
      </w:r>
      <w:r w:rsidR="00CE5AF9" w:rsidRPr="00885863">
        <w:t>explained</w:t>
      </w:r>
      <w:r w:rsidR="009A0847">
        <w:t xml:space="preserve"> </w:t>
      </w:r>
      <w:r w:rsidR="00CE5AF9" w:rsidRPr="00885863">
        <w:t>by</w:t>
      </w:r>
      <w:r w:rsidR="009A0847">
        <w:t xml:space="preserve"> </w:t>
      </w:r>
      <w:r w:rsidR="00CE5AF9" w:rsidRPr="00885863">
        <w:t>the</w:t>
      </w:r>
      <w:r w:rsidR="009A0847">
        <w:t xml:space="preserve"> </w:t>
      </w:r>
      <w:r w:rsidR="00CE5AF9" w:rsidRPr="00885863">
        <w:t>fact</w:t>
      </w:r>
      <w:r w:rsidR="009A0847">
        <w:t xml:space="preserve"> </w:t>
      </w:r>
      <w:r w:rsidR="00CE5AF9" w:rsidRPr="00885863">
        <w:t>that</w:t>
      </w:r>
      <w:r w:rsidR="009A0847">
        <w:t xml:space="preserve"> </w:t>
      </w:r>
      <w:r w:rsidR="00CE5AF9" w:rsidRPr="00885863">
        <w:t>the</w:t>
      </w:r>
      <w:r w:rsidR="009A0847">
        <w:t xml:space="preserve"> </w:t>
      </w:r>
      <w:r w:rsidR="00CE5AF9" w:rsidRPr="00885863">
        <w:t>solvency</w:t>
      </w:r>
      <w:r w:rsidR="009A0847">
        <w:t xml:space="preserve"> </w:t>
      </w:r>
      <w:r w:rsidR="00CE5AF9" w:rsidRPr="00885863">
        <w:t>risk</w:t>
      </w:r>
      <w:r w:rsidR="009A0847">
        <w:t xml:space="preserve"> </w:t>
      </w:r>
      <w:r w:rsidR="00CE5AF9" w:rsidRPr="00885863">
        <w:t>is</w:t>
      </w:r>
      <w:r w:rsidR="009A0847">
        <w:t xml:space="preserve"> </w:t>
      </w:r>
      <w:r w:rsidR="00CE5AF9" w:rsidRPr="00885863">
        <w:t>higher</w:t>
      </w:r>
      <w:r w:rsidR="009A0847">
        <w:t xml:space="preserve"> </w:t>
      </w:r>
      <w:r w:rsidR="00CE5AF9" w:rsidRPr="00885863">
        <w:t>for</w:t>
      </w:r>
      <w:r w:rsidR="009A0847">
        <w:t xml:space="preserve"> </w:t>
      </w:r>
      <w:r w:rsidR="004B7A9B">
        <w:t>detected</w:t>
      </w:r>
      <w:r w:rsidR="009A0847">
        <w:t xml:space="preserve"> </w:t>
      </w:r>
      <w:r w:rsidR="00CE5AF9" w:rsidRPr="00885863">
        <w:t>banks.</w:t>
      </w:r>
      <w:r w:rsidR="0025036C">
        <w:rPr>
          <w:rStyle w:val="FootnoteReference"/>
        </w:rPr>
        <w:footnoteReference w:id="30"/>
      </w:r>
    </w:p>
    <w:p w14:paraId="18C098CB" w14:textId="35D07AB1" w:rsidR="00671277" w:rsidRDefault="001A1F3A" w:rsidP="00F86E09">
      <w:pPr>
        <w:pStyle w:val="Olivier1"/>
        <w:widowControl w:val="0"/>
      </w:pPr>
      <w:r>
        <w:rPr>
          <w:rStyle w:val="Heading3Char"/>
        </w:rPr>
        <w:t>Summing</w:t>
      </w:r>
      <w:r w:rsidR="009A0847">
        <w:rPr>
          <w:rStyle w:val="Heading3Char"/>
        </w:rPr>
        <w:t xml:space="preserve"> </w:t>
      </w:r>
      <w:r>
        <w:rPr>
          <w:rStyle w:val="Heading3Char"/>
        </w:rPr>
        <w:t>up</w:t>
      </w:r>
      <w:r w:rsidRPr="005D609E">
        <w:rPr>
          <w:rStyle w:val="Heading3Char"/>
        </w:rPr>
        <w:t>:</w:t>
      </w:r>
      <w:r w:rsidR="009A0847">
        <w:t xml:space="preserve"> </w:t>
      </w:r>
      <w:r w:rsidR="004B7A9B">
        <w:t>T</w:t>
      </w:r>
      <w:r w:rsidR="00CE5AF9" w:rsidRPr="00643A59">
        <w:t>he</w:t>
      </w:r>
      <w:r w:rsidR="009A0847">
        <w:t xml:space="preserve"> </w:t>
      </w:r>
      <w:r w:rsidR="00CE5AF9" w:rsidRPr="00643A59">
        <w:t>econometric</w:t>
      </w:r>
      <w:r w:rsidR="009A0847">
        <w:t xml:space="preserve"> </w:t>
      </w:r>
      <w:r w:rsidR="00CE5AF9" w:rsidRPr="00643A59">
        <w:t>estimations</w:t>
      </w:r>
      <w:r w:rsidR="009A0847">
        <w:t xml:space="preserve"> </w:t>
      </w:r>
      <w:r w:rsidR="00CE5AF9" w:rsidRPr="00643A59">
        <w:t>in</w:t>
      </w:r>
      <w:r w:rsidR="009A0847">
        <w:t xml:space="preserve"> </w:t>
      </w:r>
      <w:r w:rsidR="00CE5AF9" w:rsidRPr="00643A59">
        <w:t>Table</w:t>
      </w:r>
      <w:r w:rsidR="009A0847">
        <w:t xml:space="preserve"> </w:t>
      </w:r>
      <w:r w:rsidR="00F30690">
        <w:t>4</w:t>
      </w:r>
      <w:r w:rsidR="009A0847">
        <w:t xml:space="preserve"> </w:t>
      </w:r>
      <w:r w:rsidR="00CE5AF9" w:rsidRPr="00643A59">
        <w:t>suggest</w:t>
      </w:r>
      <w:r w:rsidR="009A0847">
        <w:t xml:space="preserve"> </w:t>
      </w:r>
      <w:r w:rsidR="00CE5AF9" w:rsidRPr="00643A59">
        <w:t>that</w:t>
      </w:r>
      <w:r w:rsidR="009A0847">
        <w:t xml:space="preserve"> </w:t>
      </w:r>
      <w:r w:rsidR="00CE5AF9" w:rsidRPr="00643A59">
        <w:t>investors</w:t>
      </w:r>
      <w:r w:rsidR="009A0847">
        <w:t xml:space="preserve"> </w:t>
      </w:r>
      <w:r w:rsidR="00CE5AF9" w:rsidRPr="00643A59">
        <w:t>respond</w:t>
      </w:r>
      <w:r w:rsidR="009A0847">
        <w:t xml:space="preserve"> </w:t>
      </w:r>
      <w:r w:rsidR="00CE5AF9" w:rsidRPr="00643A59">
        <w:t>mostly</w:t>
      </w:r>
      <w:r w:rsidR="009A0847">
        <w:t xml:space="preserve"> </w:t>
      </w:r>
      <w:r w:rsidR="00CE5AF9" w:rsidRPr="00643A59">
        <w:t>to</w:t>
      </w:r>
      <w:r w:rsidR="009A0847">
        <w:t xml:space="preserve"> </w:t>
      </w:r>
      <w:r w:rsidR="00CE5AF9" w:rsidRPr="00643A59">
        <w:t>private</w:t>
      </w:r>
      <w:r w:rsidR="009A0847">
        <w:t xml:space="preserve"> </w:t>
      </w:r>
      <w:r w:rsidR="00CE5AF9" w:rsidRPr="00643A59">
        <w:t>and</w:t>
      </w:r>
      <w:r w:rsidR="009A0847">
        <w:t xml:space="preserve"> </w:t>
      </w:r>
      <w:r w:rsidR="00CE5AF9" w:rsidRPr="00643A59">
        <w:t>public</w:t>
      </w:r>
      <w:r w:rsidR="009A0847">
        <w:t xml:space="preserve"> </w:t>
      </w:r>
      <w:r w:rsidR="00CE5AF9" w:rsidRPr="00643A59">
        <w:t>feedback</w:t>
      </w:r>
      <w:r w:rsidR="009A0847">
        <w:t xml:space="preserve"> </w:t>
      </w:r>
      <w:r w:rsidR="00F30690">
        <w:t>about</w:t>
      </w:r>
      <w:r w:rsidR="009A0847">
        <w:t xml:space="preserve"> </w:t>
      </w:r>
      <w:r w:rsidR="00F30690">
        <w:t>banks</w:t>
      </w:r>
      <w:r w:rsidR="009A0847">
        <w:t xml:space="preserve"> </w:t>
      </w:r>
      <w:r w:rsidR="00F30690">
        <w:t>(in)solvency</w:t>
      </w:r>
      <w:r w:rsidR="009A0847">
        <w:t xml:space="preserve"> </w:t>
      </w:r>
      <w:r w:rsidR="00F30690">
        <w:t>(rows</w:t>
      </w:r>
      <w:r w:rsidR="009A0847">
        <w:t xml:space="preserve"> </w:t>
      </w:r>
      <w:r w:rsidR="00F30690">
        <w:t>6</w:t>
      </w:r>
      <w:r w:rsidR="00CE5AF9" w:rsidRPr="00643A59">
        <w:t>,</w:t>
      </w:r>
      <w:r w:rsidR="009A0847">
        <w:t xml:space="preserve"> </w:t>
      </w:r>
      <w:r w:rsidR="00F30690">
        <w:t>7,</w:t>
      </w:r>
      <w:r w:rsidR="009A0847">
        <w:t xml:space="preserve"> </w:t>
      </w:r>
      <w:r w:rsidR="00F30690">
        <w:t>9</w:t>
      </w:r>
      <w:r w:rsidR="009A0847">
        <w:t xml:space="preserve"> </w:t>
      </w:r>
      <w:r w:rsidR="00CE5AF9" w:rsidRPr="00643A59">
        <w:t>and</w:t>
      </w:r>
      <w:r w:rsidR="009A0847">
        <w:t xml:space="preserve"> </w:t>
      </w:r>
      <w:r w:rsidR="00CE5AF9" w:rsidRPr="00643A59">
        <w:t>1</w:t>
      </w:r>
      <w:r w:rsidR="00F30690">
        <w:t>1</w:t>
      </w:r>
      <w:r w:rsidR="00CE5AF9" w:rsidRPr="00643A59">
        <w:t>).</w:t>
      </w:r>
      <w:r w:rsidR="009A0847">
        <w:t xml:space="preserve"> </w:t>
      </w:r>
      <w:r w:rsidR="00885863">
        <w:t>Similar</w:t>
      </w:r>
      <w:r w:rsidR="009A0847">
        <w:t xml:space="preserve"> </w:t>
      </w:r>
      <w:r w:rsidR="00885863">
        <w:t>to</w:t>
      </w:r>
      <w:r w:rsidR="009A0847">
        <w:t xml:space="preserve"> </w:t>
      </w:r>
      <w:r w:rsidR="00885863">
        <w:t>banks,</w:t>
      </w:r>
      <w:r w:rsidR="009A0847">
        <w:t xml:space="preserve"> </w:t>
      </w:r>
      <w:r w:rsidR="00885863">
        <w:t>investors</w:t>
      </w:r>
      <w:r w:rsidR="009A0847">
        <w:t xml:space="preserve"> </w:t>
      </w:r>
      <w:r w:rsidR="00885863">
        <w:t>do</w:t>
      </w:r>
      <w:r w:rsidR="009A0847">
        <w:t xml:space="preserve"> </w:t>
      </w:r>
      <w:r w:rsidR="00885863">
        <w:t>not</w:t>
      </w:r>
      <w:r w:rsidR="009A0847">
        <w:t xml:space="preserve"> </w:t>
      </w:r>
      <w:r w:rsidR="00885863">
        <w:t>seem</w:t>
      </w:r>
      <w:r w:rsidR="009A0847">
        <w:t xml:space="preserve"> </w:t>
      </w:r>
      <w:r w:rsidR="00885863">
        <w:t>influenced</w:t>
      </w:r>
      <w:r w:rsidR="009A0847">
        <w:t xml:space="preserve"> </w:t>
      </w:r>
      <w:r w:rsidR="00885863">
        <w:t>by</w:t>
      </w:r>
      <w:r w:rsidR="009A0847">
        <w:t xml:space="preserve"> </w:t>
      </w:r>
      <w:r w:rsidR="00885863">
        <w:t>the</w:t>
      </w:r>
      <w:r w:rsidR="009A0847">
        <w:t xml:space="preserve"> </w:t>
      </w:r>
      <w:r w:rsidR="00885863">
        <w:t>probability</w:t>
      </w:r>
      <w:r w:rsidR="009A0847">
        <w:t xml:space="preserve"> </w:t>
      </w:r>
      <w:r w:rsidR="00885863">
        <w:t>of</w:t>
      </w:r>
      <w:r w:rsidR="009A0847">
        <w:t xml:space="preserve"> </w:t>
      </w:r>
      <w:r w:rsidR="00811E97">
        <w:t>DW</w:t>
      </w:r>
      <w:r w:rsidR="009A0847">
        <w:t xml:space="preserve"> </w:t>
      </w:r>
      <w:r w:rsidR="00811E97">
        <w:t>detection.</w:t>
      </w:r>
      <w:r w:rsidR="009A0847">
        <w:t xml:space="preserve"> </w:t>
      </w:r>
      <w:r w:rsidR="00811E97">
        <w:t>However,</w:t>
      </w:r>
      <w:r w:rsidR="009A0847">
        <w:t xml:space="preserve"> </w:t>
      </w:r>
      <w:r w:rsidR="004B7A9B">
        <w:t>u</w:t>
      </w:r>
      <w:r w:rsidR="00CE5AF9" w:rsidRPr="00643A59">
        <w:t>nlike</w:t>
      </w:r>
      <w:r w:rsidR="009A0847">
        <w:t xml:space="preserve"> </w:t>
      </w:r>
      <w:r w:rsidR="00CE5AF9" w:rsidRPr="00643A59">
        <w:t>banks,</w:t>
      </w:r>
      <w:r w:rsidR="009A0847">
        <w:t xml:space="preserve"> </w:t>
      </w:r>
      <w:r w:rsidR="00CE5AF9" w:rsidRPr="00643A59">
        <w:t>we</w:t>
      </w:r>
      <w:r w:rsidR="009A0847">
        <w:t xml:space="preserve"> </w:t>
      </w:r>
      <w:r w:rsidR="00CE5AF9" w:rsidRPr="00643A59">
        <w:t>find</w:t>
      </w:r>
      <w:r w:rsidR="009A0847">
        <w:t xml:space="preserve"> </w:t>
      </w:r>
      <w:r w:rsidR="00CE5AF9" w:rsidRPr="00643A59">
        <w:t>no</w:t>
      </w:r>
      <w:r w:rsidR="009A0847">
        <w:t xml:space="preserve"> </w:t>
      </w:r>
      <w:r w:rsidR="00CE5AF9" w:rsidRPr="00643A59">
        <w:t>evidence</w:t>
      </w:r>
      <w:r w:rsidR="009A0847">
        <w:t xml:space="preserve"> </w:t>
      </w:r>
      <w:r w:rsidR="00CE5AF9" w:rsidRPr="00643A59">
        <w:t>that</w:t>
      </w:r>
      <w:r w:rsidR="009A0847">
        <w:t xml:space="preserve"> </w:t>
      </w:r>
      <w:r w:rsidR="00CE5AF9" w:rsidRPr="00643A59">
        <w:t>investors</w:t>
      </w:r>
      <w:r w:rsidR="009A0847">
        <w:t xml:space="preserve"> </w:t>
      </w:r>
      <w:r w:rsidR="00185402">
        <w:t>try</w:t>
      </w:r>
      <w:r w:rsidR="009A0847">
        <w:t xml:space="preserve"> </w:t>
      </w:r>
      <w:r w:rsidR="00CE5AF9" w:rsidRPr="00643A59">
        <w:t>to</w:t>
      </w:r>
      <w:r w:rsidR="009A0847">
        <w:t xml:space="preserve"> </w:t>
      </w:r>
      <w:r w:rsidR="00CE5AF9" w:rsidRPr="00643A59">
        <w:t>coordinate.</w:t>
      </w:r>
      <w:r w:rsidR="009A0847">
        <w:t xml:space="preserve"> </w:t>
      </w:r>
    </w:p>
    <w:p w14:paraId="1AAE232F" w14:textId="22F2FA8C" w:rsidR="0099530F" w:rsidRDefault="0025036C" w:rsidP="00F86E09">
      <w:pPr>
        <w:pStyle w:val="Heading1"/>
        <w:widowControl w:val="0"/>
        <w:spacing w:line="276" w:lineRule="auto"/>
      </w:pPr>
      <w:r>
        <w:t>6</w:t>
      </w:r>
      <w:r w:rsidR="00DC5304">
        <w:t>.</w:t>
      </w:r>
      <w:r w:rsidR="009A0847">
        <w:t xml:space="preserve"> </w:t>
      </w:r>
      <w:r w:rsidR="00124BB5">
        <w:t>Conclusion</w:t>
      </w:r>
    </w:p>
    <w:p w14:paraId="3FAD1419" w14:textId="19C9A7D5" w:rsidR="00ED0367" w:rsidRDefault="00FA6A09" w:rsidP="00F86E09">
      <w:pPr>
        <w:pStyle w:val="Olivier1"/>
        <w:widowControl w:val="0"/>
        <w:rPr>
          <w:color w:val="000000" w:themeColor="text1"/>
        </w:rPr>
      </w:pPr>
      <w:r w:rsidRPr="00D85A0A">
        <w:rPr>
          <w:color w:val="000000" w:themeColor="text1"/>
        </w:rPr>
        <w:t>DW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stigma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is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a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serious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problem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that</w:t>
      </w:r>
      <w:r w:rsidR="009A0847">
        <w:rPr>
          <w:color w:val="000000" w:themeColor="text1"/>
        </w:rPr>
        <w:t xml:space="preserve"> </w:t>
      </w:r>
      <w:r w:rsidR="004B3698" w:rsidRPr="00D85A0A">
        <w:rPr>
          <w:color w:val="000000" w:themeColor="text1"/>
        </w:rPr>
        <w:t>can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impede</w:t>
      </w:r>
      <w:r w:rsidR="009A0847">
        <w:rPr>
          <w:color w:val="000000" w:themeColor="text1"/>
        </w:rPr>
        <w:t xml:space="preserve"> </w:t>
      </w:r>
      <w:r w:rsidR="0099530F" w:rsidRPr="00D85A0A">
        <w:rPr>
          <w:color w:val="000000" w:themeColor="text1"/>
        </w:rPr>
        <w:t>two</w:t>
      </w:r>
      <w:r w:rsidR="009A0847">
        <w:rPr>
          <w:color w:val="000000" w:themeColor="text1"/>
        </w:rPr>
        <w:t xml:space="preserve"> </w:t>
      </w:r>
      <w:r w:rsidR="0099530F" w:rsidRPr="00D85A0A">
        <w:rPr>
          <w:color w:val="000000" w:themeColor="text1"/>
        </w:rPr>
        <w:t>of</w:t>
      </w:r>
      <w:r w:rsidR="009A0847">
        <w:rPr>
          <w:color w:val="000000" w:themeColor="text1"/>
        </w:rPr>
        <w:t xml:space="preserve"> </w:t>
      </w:r>
      <w:r w:rsidR="0099530F" w:rsidRPr="00D85A0A">
        <w:rPr>
          <w:color w:val="000000" w:themeColor="text1"/>
        </w:rPr>
        <w:t>the</w:t>
      </w:r>
      <w:r w:rsidR="009A0847">
        <w:rPr>
          <w:color w:val="000000" w:themeColor="text1"/>
        </w:rPr>
        <w:t xml:space="preserve"> </w:t>
      </w:r>
      <w:r w:rsidR="0099530F" w:rsidRPr="00D85A0A">
        <w:rPr>
          <w:color w:val="000000" w:themeColor="text1"/>
        </w:rPr>
        <w:t>core</w:t>
      </w:r>
      <w:r w:rsidR="009A0847">
        <w:rPr>
          <w:color w:val="000000" w:themeColor="text1"/>
        </w:rPr>
        <w:t xml:space="preserve"> </w:t>
      </w:r>
      <w:r w:rsidR="0099530F" w:rsidRPr="00D85A0A">
        <w:rPr>
          <w:color w:val="000000" w:themeColor="text1"/>
        </w:rPr>
        <w:t>responsibilities</w:t>
      </w:r>
      <w:r w:rsidR="009A0847">
        <w:rPr>
          <w:color w:val="000000" w:themeColor="text1"/>
        </w:rPr>
        <w:t xml:space="preserve"> </w:t>
      </w:r>
      <w:r w:rsidR="0099530F" w:rsidRPr="00D85A0A">
        <w:rPr>
          <w:color w:val="000000" w:themeColor="text1"/>
        </w:rPr>
        <w:t>of</w:t>
      </w:r>
      <w:r w:rsidR="009A0847">
        <w:rPr>
          <w:color w:val="000000" w:themeColor="text1"/>
        </w:rPr>
        <w:t xml:space="preserve"> </w:t>
      </w:r>
      <w:r w:rsidR="00A7691C" w:rsidRPr="00D85A0A">
        <w:rPr>
          <w:color w:val="000000" w:themeColor="text1"/>
        </w:rPr>
        <w:t>central</w:t>
      </w:r>
      <w:r w:rsidR="009A0847">
        <w:rPr>
          <w:color w:val="000000" w:themeColor="text1"/>
        </w:rPr>
        <w:t xml:space="preserve"> </w:t>
      </w:r>
      <w:r w:rsidR="00A7691C" w:rsidRPr="00D85A0A">
        <w:rPr>
          <w:color w:val="000000" w:themeColor="text1"/>
        </w:rPr>
        <w:t>bank</w:t>
      </w:r>
      <w:r w:rsidR="0099530F" w:rsidRPr="00D85A0A">
        <w:rPr>
          <w:color w:val="000000" w:themeColor="text1"/>
        </w:rPr>
        <w:t>s:</w:t>
      </w:r>
      <w:r w:rsidR="009A0847">
        <w:rPr>
          <w:color w:val="000000" w:themeColor="text1"/>
        </w:rPr>
        <w:t xml:space="preserve"> </w:t>
      </w:r>
      <w:r w:rsidR="0099530F" w:rsidRPr="00D85A0A">
        <w:rPr>
          <w:color w:val="000000" w:themeColor="text1"/>
        </w:rPr>
        <w:t>acting</w:t>
      </w:r>
      <w:r w:rsidR="009A0847">
        <w:rPr>
          <w:color w:val="000000" w:themeColor="text1"/>
        </w:rPr>
        <w:t xml:space="preserve"> </w:t>
      </w:r>
      <w:r w:rsidR="0099530F" w:rsidRPr="00D85A0A">
        <w:rPr>
          <w:color w:val="000000" w:themeColor="text1"/>
        </w:rPr>
        <w:t>as</w:t>
      </w:r>
      <w:r w:rsidR="009A0847">
        <w:rPr>
          <w:color w:val="000000" w:themeColor="text1"/>
        </w:rPr>
        <w:t xml:space="preserve"> </w:t>
      </w:r>
      <w:r w:rsidR="0099530F" w:rsidRPr="00D85A0A">
        <w:rPr>
          <w:color w:val="000000" w:themeColor="text1"/>
        </w:rPr>
        <w:t>an</w:t>
      </w:r>
      <w:r w:rsidR="009A0847">
        <w:rPr>
          <w:color w:val="000000" w:themeColor="text1"/>
        </w:rPr>
        <w:t xml:space="preserve"> </w:t>
      </w:r>
      <w:r w:rsidR="0099530F" w:rsidRPr="00D85A0A">
        <w:rPr>
          <w:color w:val="000000" w:themeColor="text1"/>
        </w:rPr>
        <w:t>l</w:t>
      </w:r>
      <w:r w:rsidRPr="00D85A0A">
        <w:rPr>
          <w:color w:val="000000" w:themeColor="text1"/>
        </w:rPr>
        <w:t>ender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of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last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resort</w:t>
      </w:r>
      <w:r w:rsidR="009A0847">
        <w:rPr>
          <w:color w:val="000000" w:themeColor="text1"/>
        </w:rPr>
        <w:t xml:space="preserve"> </w:t>
      </w:r>
      <w:r w:rsidR="0099530F" w:rsidRPr="00D85A0A">
        <w:rPr>
          <w:color w:val="000000" w:themeColor="text1"/>
        </w:rPr>
        <w:t>and</w:t>
      </w:r>
      <w:r w:rsidR="009A0847">
        <w:rPr>
          <w:color w:val="000000" w:themeColor="text1"/>
        </w:rPr>
        <w:t xml:space="preserve"> </w:t>
      </w:r>
      <w:r w:rsidR="0099530F" w:rsidRPr="00D85A0A">
        <w:rPr>
          <w:color w:val="000000" w:themeColor="text1"/>
        </w:rPr>
        <w:t>implemen</w:t>
      </w:r>
      <w:r w:rsidRPr="00D85A0A">
        <w:rPr>
          <w:color w:val="000000" w:themeColor="text1"/>
        </w:rPr>
        <w:t>ti</w:t>
      </w:r>
      <w:r w:rsidR="0099530F" w:rsidRPr="00D85A0A">
        <w:rPr>
          <w:color w:val="000000" w:themeColor="text1"/>
        </w:rPr>
        <w:t>ng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monetary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policy</w:t>
      </w:r>
      <w:r w:rsidR="0099530F" w:rsidRPr="00D85A0A">
        <w:rPr>
          <w:color w:val="000000" w:themeColor="text1"/>
        </w:rPr>
        <w:t>.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Yet,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little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is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known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about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DW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stigma</w:t>
      </w:r>
      <w:r w:rsidR="009A0847">
        <w:rPr>
          <w:color w:val="000000" w:themeColor="text1"/>
        </w:rPr>
        <w:t xml:space="preserve"> </w:t>
      </w:r>
      <w:r w:rsidR="0099530F" w:rsidRPr="00D85A0A">
        <w:rPr>
          <w:color w:val="000000" w:themeColor="text1"/>
        </w:rPr>
        <w:t>in</w:t>
      </w:r>
      <w:r w:rsidR="009A0847">
        <w:rPr>
          <w:color w:val="000000" w:themeColor="text1"/>
        </w:rPr>
        <w:t xml:space="preserve"> </w:t>
      </w:r>
      <w:r w:rsidR="0099530F" w:rsidRPr="00D85A0A">
        <w:rPr>
          <w:color w:val="000000" w:themeColor="text1"/>
        </w:rPr>
        <w:t>large</w:t>
      </w:r>
      <w:r w:rsidR="009A0847">
        <w:rPr>
          <w:color w:val="000000" w:themeColor="text1"/>
        </w:rPr>
        <w:t xml:space="preserve"> </w:t>
      </w:r>
      <w:r w:rsidR="0099530F" w:rsidRPr="00D85A0A">
        <w:rPr>
          <w:color w:val="000000" w:themeColor="text1"/>
        </w:rPr>
        <w:t>part</w:t>
      </w:r>
      <w:r w:rsidR="009A0847">
        <w:rPr>
          <w:color w:val="000000" w:themeColor="text1"/>
        </w:rPr>
        <w:t xml:space="preserve"> </w:t>
      </w:r>
      <w:r w:rsidR="0099530F" w:rsidRPr="00D85A0A">
        <w:rPr>
          <w:color w:val="000000" w:themeColor="text1"/>
        </w:rPr>
        <w:t>because</w:t>
      </w:r>
      <w:r w:rsidR="009A0847">
        <w:rPr>
          <w:color w:val="000000" w:themeColor="text1"/>
        </w:rPr>
        <w:t xml:space="preserve"> </w:t>
      </w:r>
      <w:r w:rsidR="0099530F" w:rsidRPr="00D85A0A">
        <w:rPr>
          <w:color w:val="000000" w:themeColor="text1"/>
        </w:rPr>
        <w:t>of</w:t>
      </w:r>
      <w:r w:rsidR="009A0847">
        <w:rPr>
          <w:color w:val="000000" w:themeColor="text1"/>
        </w:rPr>
        <w:t xml:space="preserve"> </w:t>
      </w:r>
      <w:r w:rsidR="0099530F" w:rsidRPr="00D85A0A">
        <w:rPr>
          <w:color w:val="000000" w:themeColor="text1"/>
        </w:rPr>
        <w:t>the</w:t>
      </w:r>
      <w:r w:rsidR="009A0847">
        <w:rPr>
          <w:color w:val="000000" w:themeColor="text1"/>
        </w:rPr>
        <w:t xml:space="preserve"> </w:t>
      </w:r>
      <w:r w:rsidR="0099530F" w:rsidRPr="00D85A0A">
        <w:rPr>
          <w:color w:val="000000" w:themeColor="text1"/>
        </w:rPr>
        <w:t>absence</w:t>
      </w:r>
      <w:r w:rsidR="009A0847">
        <w:rPr>
          <w:color w:val="000000" w:themeColor="text1"/>
        </w:rPr>
        <w:t xml:space="preserve"> </w:t>
      </w:r>
      <w:r w:rsidR="0099530F" w:rsidRPr="00D85A0A">
        <w:rPr>
          <w:color w:val="000000" w:themeColor="text1"/>
        </w:rPr>
        <w:t>of</w:t>
      </w:r>
      <w:r w:rsidR="009A0847">
        <w:rPr>
          <w:color w:val="000000" w:themeColor="text1"/>
        </w:rPr>
        <w:t xml:space="preserve"> </w:t>
      </w:r>
      <w:r w:rsidR="0099530F" w:rsidRPr="00D85A0A">
        <w:rPr>
          <w:color w:val="000000" w:themeColor="text1"/>
        </w:rPr>
        <w:t>data.</w:t>
      </w:r>
      <w:r w:rsidR="009A0847">
        <w:rPr>
          <w:color w:val="000000" w:themeColor="text1"/>
        </w:rPr>
        <w:t xml:space="preserve"> </w:t>
      </w:r>
      <w:r w:rsidR="0099530F" w:rsidRPr="00D85A0A">
        <w:rPr>
          <w:color w:val="000000" w:themeColor="text1"/>
        </w:rPr>
        <w:t>In</w:t>
      </w:r>
      <w:r w:rsidR="009A0847">
        <w:rPr>
          <w:color w:val="000000" w:themeColor="text1"/>
        </w:rPr>
        <w:t xml:space="preserve"> </w:t>
      </w:r>
      <w:r w:rsidR="0099530F" w:rsidRPr="00D85A0A">
        <w:rPr>
          <w:color w:val="000000" w:themeColor="text1"/>
        </w:rPr>
        <w:t>this</w:t>
      </w:r>
      <w:r w:rsidR="009A0847">
        <w:rPr>
          <w:color w:val="000000" w:themeColor="text1"/>
        </w:rPr>
        <w:t xml:space="preserve"> </w:t>
      </w:r>
      <w:r w:rsidR="0099530F" w:rsidRPr="00D85A0A">
        <w:rPr>
          <w:color w:val="000000" w:themeColor="text1"/>
        </w:rPr>
        <w:t>paper,</w:t>
      </w:r>
      <w:r w:rsidR="009A0847">
        <w:rPr>
          <w:color w:val="000000" w:themeColor="text1"/>
        </w:rPr>
        <w:t xml:space="preserve"> </w:t>
      </w:r>
      <w:r w:rsidR="00B81781" w:rsidRPr="00D85A0A">
        <w:rPr>
          <w:color w:val="000000" w:themeColor="text1"/>
          <w:szCs w:val="24"/>
        </w:rPr>
        <w:t>w</w:t>
      </w:r>
      <w:r w:rsidR="00B81781" w:rsidRPr="00D85A0A">
        <w:rPr>
          <w:color w:val="000000" w:themeColor="text1"/>
        </w:rPr>
        <w:t>e</w:t>
      </w:r>
      <w:r w:rsidR="009A0847">
        <w:rPr>
          <w:color w:val="000000" w:themeColor="text1"/>
        </w:rPr>
        <w:t xml:space="preserve"> </w:t>
      </w:r>
      <w:r w:rsidR="00ED0367">
        <w:rPr>
          <w:color w:val="000000" w:themeColor="text1"/>
        </w:rPr>
        <w:t>propose</w:t>
      </w:r>
      <w:r w:rsidR="009A0847">
        <w:rPr>
          <w:color w:val="000000" w:themeColor="text1"/>
        </w:rPr>
        <w:t xml:space="preserve"> </w:t>
      </w:r>
      <w:r w:rsidR="00B81781" w:rsidRPr="00D85A0A">
        <w:rPr>
          <w:color w:val="000000" w:themeColor="text1"/>
        </w:rPr>
        <w:t>a</w:t>
      </w:r>
      <w:r w:rsidR="009A0847">
        <w:rPr>
          <w:color w:val="000000" w:themeColor="text1"/>
        </w:rPr>
        <w:t xml:space="preserve"> </w:t>
      </w:r>
      <w:r w:rsidR="00B81781" w:rsidRPr="00D85A0A">
        <w:rPr>
          <w:color w:val="000000" w:themeColor="text1"/>
        </w:rPr>
        <w:t>coordination</w:t>
      </w:r>
      <w:r w:rsidR="009A0847">
        <w:rPr>
          <w:color w:val="000000" w:themeColor="text1"/>
        </w:rPr>
        <w:t xml:space="preserve"> </w:t>
      </w:r>
      <w:r w:rsidR="00B81781" w:rsidRPr="00D85A0A">
        <w:rPr>
          <w:color w:val="000000" w:themeColor="text1"/>
        </w:rPr>
        <w:t>game</w:t>
      </w:r>
      <w:r w:rsidR="009A0847">
        <w:rPr>
          <w:color w:val="000000" w:themeColor="text1"/>
        </w:rPr>
        <w:t xml:space="preserve"> </w:t>
      </w:r>
      <w:r w:rsidR="00B81781" w:rsidRPr="00D85A0A">
        <w:rPr>
          <w:color w:val="000000" w:themeColor="text1"/>
        </w:rPr>
        <w:t>with</w:t>
      </w:r>
      <w:r w:rsidR="009A0847">
        <w:rPr>
          <w:color w:val="000000" w:themeColor="text1"/>
        </w:rPr>
        <w:t xml:space="preserve"> </w:t>
      </w:r>
      <w:r w:rsidR="00ED0367">
        <w:rPr>
          <w:color w:val="000000" w:themeColor="text1"/>
        </w:rPr>
        <w:t>adverse selection</w:t>
      </w:r>
      <w:r w:rsidR="009A0847">
        <w:rPr>
          <w:color w:val="000000" w:themeColor="text1"/>
        </w:rPr>
        <w:t xml:space="preserve"> </w:t>
      </w:r>
      <w:r w:rsidR="00B81781" w:rsidRPr="00D85A0A">
        <w:rPr>
          <w:color w:val="000000" w:themeColor="text1"/>
        </w:rPr>
        <w:t>that</w:t>
      </w:r>
      <w:r w:rsidR="009A0847">
        <w:rPr>
          <w:color w:val="000000" w:themeColor="text1"/>
        </w:rPr>
        <w:t xml:space="preserve"> </w:t>
      </w:r>
      <w:r w:rsidR="00B81781" w:rsidRPr="00D85A0A">
        <w:rPr>
          <w:color w:val="000000" w:themeColor="text1"/>
        </w:rPr>
        <w:t>possesses</w:t>
      </w:r>
      <w:r w:rsidR="009A0847">
        <w:rPr>
          <w:color w:val="000000" w:themeColor="text1"/>
        </w:rPr>
        <w:t xml:space="preserve"> </w:t>
      </w:r>
      <w:r w:rsidR="00B81781" w:rsidRPr="00D85A0A">
        <w:rPr>
          <w:color w:val="000000" w:themeColor="text1"/>
        </w:rPr>
        <w:t>two</w:t>
      </w:r>
      <w:r w:rsidR="009A0847">
        <w:rPr>
          <w:color w:val="000000" w:themeColor="text1"/>
        </w:rPr>
        <w:t xml:space="preserve"> </w:t>
      </w:r>
      <w:r w:rsidR="00B81781" w:rsidRPr="00D85A0A">
        <w:rPr>
          <w:color w:val="000000" w:themeColor="text1"/>
        </w:rPr>
        <w:t>equilibria,</w:t>
      </w:r>
      <w:r w:rsidR="009A0847">
        <w:rPr>
          <w:color w:val="000000" w:themeColor="text1"/>
        </w:rPr>
        <w:t xml:space="preserve"> </w:t>
      </w:r>
      <w:r w:rsidR="00B81781" w:rsidRPr="00D85A0A">
        <w:rPr>
          <w:color w:val="000000" w:themeColor="text1"/>
        </w:rPr>
        <w:t>with</w:t>
      </w:r>
      <w:r w:rsidR="009A0847">
        <w:rPr>
          <w:color w:val="000000" w:themeColor="text1"/>
        </w:rPr>
        <w:t xml:space="preserve"> </w:t>
      </w:r>
      <w:r w:rsidR="00B81781" w:rsidRPr="00D85A0A">
        <w:rPr>
          <w:color w:val="000000" w:themeColor="text1"/>
        </w:rPr>
        <w:t>and</w:t>
      </w:r>
      <w:r w:rsidR="009A0847">
        <w:rPr>
          <w:color w:val="000000" w:themeColor="text1"/>
        </w:rPr>
        <w:t xml:space="preserve"> </w:t>
      </w:r>
      <w:r w:rsidR="00B81781" w:rsidRPr="00D85A0A">
        <w:rPr>
          <w:color w:val="000000" w:themeColor="text1"/>
        </w:rPr>
        <w:t>without</w:t>
      </w:r>
      <w:r w:rsidR="009A0847">
        <w:rPr>
          <w:color w:val="000000" w:themeColor="text1"/>
        </w:rPr>
        <w:t xml:space="preserve"> </w:t>
      </w:r>
      <w:r w:rsidR="00B81781" w:rsidRPr="00D85A0A">
        <w:rPr>
          <w:color w:val="000000" w:themeColor="text1"/>
        </w:rPr>
        <w:t>DW</w:t>
      </w:r>
      <w:r w:rsidR="009A0847">
        <w:rPr>
          <w:color w:val="000000" w:themeColor="text1"/>
        </w:rPr>
        <w:t xml:space="preserve"> </w:t>
      </w:r>
      <w:r w:rsidR="00B81781" w:rsidRPr="00D85A0A">
        <w:rPr>
          <w:color w:val="000000" w:themeColor="text1"/>
        </w:rPr>
        <w:t>stigma,</w:t>
      </w:r>
      <w:r w:rsidR="009A0847">
        <w:rPr>
          <w:color w:val="000000" w:themeColor="text1"/>
        </w:rPr>
        <w:t xml:space="preserve"> </w:t>
      </w:r>
      <w:r w:rsidR="00B81781" w:rsidRPr="00D85A0A">
        <w:rPr>
          <w:color w:val="000000" w:themeColor="text1"/>
        </w:rPr>
        <w:t>and</w:t>
      </w:r>
      <w:r w:rsidR="009A0847">
        <w:rPr>
          <w:color w:val="000000" w:themeColor="text1"/>
        </w:rPr>
        <w:t xml:space="preserve"> </w:t>
      </w:r>
      <w:r w:rsidR="00B81781" w:rsidRPr="00D85A0A">
        <w:rPr>
          <w:color w:val="000000" w:themeColor="text1"/>
        </w:rPr>
        <w:t>we</w:t>
      </w:r>
      <w:r w:rsidR="009A0847">
        <w:rPr>
          <w:color w:val="000000" w:themeColor="text1"/>
        </w:rPr>
        <w:t xml:space="preserve"> </w:t>
      </w:r>
      <w:r w:rsidR="00F06A8D" w:rsidRPr="00D85A0A">
        <w:rPr>
          <w:color w:val="000000" w:themeColor="text1"/>
        </w:rPr>
        <w:t>us</w:t>
      </w:r>
      <w:r w:rsidR="00185402">
        <w:rPr>
          <w:color w:val="000000" w:themeColor="text1"/>
        </w:rPr>
        <w:t xml:space="preserve">e </w:t>
      </w:r>
      <w:r w:rsidR="00F06A8D" w:rsidRPr="00D85A0A">
        <w:rPr>
          <w:color w:val="000000" w:themeColor="text1"/>
        </w:rPr>
        <w:t>experimental</w:t>
      </w:r>
      <w:r w:rsidR="009A0847">
        <w:rPr>
          <w:color w:val="000000" w:themeColor="text1"/>
        </w:rPr>
        <w:t xml:space="preserve"> </w:t>
      </w:r>
      <w:r w:rsidR="00F06A8D" w:rsidRPr="00D85A0A">
        <w:rPr>
          <w:color w:val="000000" w:themeColor="text1"/>
        </w:rPr>
        <w:t>methods</w:t>
      </w:r>
      <w:r w:rsidR="009A0847">
        <w:rPr>
          <w:color w:val="000000" w:themeColor="text1"/>
        </w:rPr>
        <w:t xml:space="preserve"> </w:t>
      </w:r>
      <w:r w:rsidR="00F06A8D" w:rsidRPr="00D85A0A">
        <w:rPr>
          <w:color w:val="000000" w:themeColor="text1"/>
        </w:rPr>
        <w:t>to</w:t>
      </w:r>
      <w:r w:rsidR="009A0847">
        <w:rPr>
          <w:color w:val="000000" w:themeColor="text1"/>
        </w:rPr>
        <w:t xml:space="preserve"> </w:t>
      </w:r>
      <w:r w:rsidR="00B81781" w:rsidRPr="00D85A0A">
        <w:rPr>
          <w:color w:val="000000" w:themeColor="text1"/>
        </w:rPr>
        <w:t>generate</w:t>
      </w:r>
      <w:r w:rsidR="009A0847">
        <w:rPr>
          <w:color w:val="000000" w:themeColor="text1"/>
        </w:rPr>
        <w:t xml:space="preserve"> </w:t>
      </w:r>
      <w:r w:rsidR="00B81781" w:rsidRPr="00D85A0A">
        <w:rPr>
          <w:color w:val="000000" w:themeColor="text1"/>
        </w:rPr>
        <w:t>data</w:t>
      </w:r>
      <w:r w:rsidR="009A0847">
        <w:rPr>
          <w:color w:val="000000" w:themeColor="text1"/>
        </w:rPr>
        <w:t xml:space="preserve"> </w:t>
      </w:r>
      <w:r w:rsidR="00185402">
        <w:rPr>
          <w:color w:val="000000" w:themeColor="text1"/>
        </w:rPr>
        <w:t>and test</w:t>
      </w:r>
      <w:r w:rsidR="00E72F44">
        <w:rPr>
          <w:color w:val="000000" w:themeColor="text1"/>
        </w:rPr>
        <w:t xml:space="preserve"> </w:t>
      </w:r>
      <w:r w:rsidR="00ED0367">
        <w:rPr>
          <w:color w:val="000000" w:themeColor="text1"/>
        </w:rPr>
        <w:t>policies aimed at</w:t>
      </w:r>
      <w:r w:rsidR="00E72F44">
        <w:rPr>
          <w:color w:val="000000" w:themeColor="text1"/>
        </w:rPr>
        <w:t xml:space="preserve"> overcom</w:t>
      </w:r>
      <w:r w:rsidR="00ED0367">
        <w:rPr>
          <w:color w:val="000000" w:themeColor="text1"/>
        </w:rPr>
        <w:t>ing</w:t>
      </w:r>
      <w:r w:rsidR="00E72F44">
        <w:rPr>
          <w:color w:val="000000" w:themeColor="text1"/>
        </w:rPr>
        <w:t xml:space="preserve"> DW stigma</w:t>
      </w:r>
      <w:r w:rsidR="00B81781" w:rsidRPr="00D85A0A">
        <w:rPr>
          <w:color w:val="000000" w:themeColor="text1"/>
        </w:rPr>
        <w:t>.</w:t>
      </w:r>
      <w:r w:rsidR="009A0847">
        <w:rPr>
          <w:color w:val="000000" w:themeColor="text1"/>
        </w:rPr>
        <w:t xml:space="preserve"> </w:t>
      </w:r>
    </w:p>
    <w:p w14:paraId="0AA19F22" w14:textId="13D00926" w:rsidR="00B81781" w:rsidRPr="00D85A0A" w:rsidRDefault="0099530F" w:rsidP="00F86E09">
      <w:pPr>
        <w:pStyle w:val="Olivier1"/>
        <w:widowControl w:val="0"/>
        <w:ind w:firstLine="360"/>
        <w:rPr>
          <w:color w:val="000000" w:themeColor="text1"/>
        </w:rPr>
      </w:pPr>
      <w:r w:rsidRPr="00D85A0A">
        <w:rPr>
          <w:color w:val="000000" w:themeColor="text1"/>
        </w:rPr>
        <w:t>C</w:t>
      </w:r>
      <w:r w:rsidR="00FA6A09" w:rsidRPr="00D85A0A">
        <w:rPr>
          <w:color w:val="000000" w:themeColor="text1"/>
        </w:rPr>
        <w:t>onsistent</w:t>
      </w:r>
      <w:r w:rsidR="009A0847">
        <w:rPr>
          <w:color w:val="000000" w:themeColor="text1"/>
        </w:rPr>
        <w:t xml:space="preserve"> </w:t>
      </w:r>
      <w:r w:rsidR="00FA6A09" w:rsidRPr="00D85A0A">
        <w:rPr>
          <w:color w:val="000000" w:themeColor="text1"/>
        </w:rPr>
        <w:t>with</w:t>
      </w:r>
      <w:r w:rsidR="009A0847">
        <w:rPr>
          <w:color w:val="000000" w:themeColor="text1"/>
        </w:rPr>
        <w:t xml:space="preserve"> </w:t>
      </w:r>
      <w:r w:rsidR="00FA6A09" w:rsidRPr="00D85A0A">
        <w:rPr>
          <w:color w:val="000000" w:themeColor="text1"/>
        </w:rPr>
        <w:t>be</w:t>
      </w:r>
      <w:r w:rsidR="00F06A8D" w:rsidRPr="00D85A0A">
        <w:rPr>
          <w:color w:val="000000" w:themeColor="text1"/>
        </w:rPr>
        <w:t>havior</w:t>
      </w:r>
      <w:r w:rsidR="009A0847">
        <w:rPr>
          <w:color w:val="000000" w:themeColor="text1"/>
        </w:rPr>
        <w:t xml:space="preserve"> </w:t>
      </w:r>
      <w:r w:rsidR="001431E5" w:rsidRPr="00D85A0A">
        <w:rPr>
          <w:color w:val="000000" w:themeColor="text1"/>
        </w:rPr>
        <w:t>believed</w:t>
      </w:r>
      <w:r w:rsidR="009A0847">
        <w:rPr>
          <w:color w:val="000000" w:themeColor="text1"/>
        </w:rPr>
        <w:t xml:space="preserve"> </w:t>
      </w:r>
      <w:r w:rsidR="001431E5" w:rsidRPr="00D85A0A">
        <w:rPr>
          <w:color w:val="000000" w:themeColor="text1"/>
        </w:rPr>
        <w:t>to</w:t>
      </w:r>
      <w:r w:rsidR="009A0847">
        <w:rPr>
          <w:color w:val="000000" w:themeColor="text1"/>
        </w:rPr>
        <w:t xml:space="preserve"> </w:t>
      </w:r>
      <w:r w:rsidR="001431E5" w:rsidRPr="00D85A0A">
        <w:rPr>
          <w:color w:val="000000" w:themeColor="text1"/>
        </w:rPr>
        <w:t>occur</w:t>
      </w:r>
      <w:r w:rsidR="009A0847">
        <w:rPr>
          <w:color w:val="000000" w:themeColor="text1"/>
        </w:rPr>
        <w:t xml:space="preserve"> </w:t>
      </w:r>
      <w:r w:rsidR="00FA6A09" w:rsidRPr="00D85A0A">
        <w:rPr>
          <w:color w:val="000000" w:themeColor="text1"/>
        </w:rPr>
        <w:t>in</w:t>
      </w:r>
      <w:r w:rsidR="009A0847">
        <w:rPr>
          <w:color w:val="000000" w:themeColor="text1"/>
        </w:rPr>
        <w:t xml:space="preserve"> </w:t>
      </w:r>
      <w:r w:rsidR="00FA6A09" w:rsidRPr="00D85A0A">
        <w:rPr>
          <w:color w:val="000000" w:themeColor="text1"/>
        </w:rPr>
        <w:t>the</w:t>
      </w:r>
      <w:r w:rsidR="009A0847">
        <w:rPr>
          <w:color w:val="000000" w:themeColor="text1"/>
        </w:rPr>
        <w:t xml:space="preserve"> </w:t>
      </w:r>
      <w:r w:rsidR="00FA6A09" w:rsidRPr="00D85A0A">
        <w:rPr>
          <w:color w:val="000000" w:themeColor="text1"/>
        </w:rPr>
        <w:t>fie</w:t>
      </w:r>
      <w:r w:rsidR="005D66A0" w:rsidRPr="00D85A0A">
        <w:rPr>
          <w:color w:val="000000" w:themeColor="text1"/>
        </w:rPr>
        <w:t>ld,</w:t>
      </w:r>
      <w:r w:rsidR="009A0847">
        <w:rPr>
          <w:color w:val="000000" w:themeColor="text1"/>
        </w:rPr>
        <w:t xml:space="preserve"> </w:t>
      </w:r>
      <w:r w:rsidR="001431E5" w:rsidRPr="00D85A0A">
        <w:rPr>
          <w:color w:val="000000" w:themeColor="text1"/>
        </w:rPr>
        <w:t>stigma</w:t>
      </w:r>
      <w:r w:rsidR="009A0847">
        <w:rPr>
          <w:color w:val="000000" w:themeColor="text1"/>
        </w:rPr>
        <w:t xml:space="preserve"> </w:t>
      </w:r>
      <w:r w:rsidR="00F06A8D" w:rsidRPr="00D85A0A">
        <w:rPr>
          <w:color w:val="000000" w:themeColor="text1"/>
        </w:rPr>
        <w:t>prevail</w:t>
      </w:r>
      <w:r w:rsidR="00ED0367">
        <w:rPr>
          <w:color w:val="000000" w:themeColor="text1"/>
        </w:rPr>
        <w:t>s</w:t>
      </w:r>
      <w:r w:rsidR="009A0847">
        <w:rPr>
          <w:color w:val="000000" w:themeColor="text1"/>
        </w:rPr>
        <w:t xml:space="preserve"> </w:t>
      </w:r>
      <w:r w:rsidR="001431E5" w:rsidRPr="00D85A0A">
        <w:rPr>
          <w:color w:val="000000" w:themeColor="text1"/>
        </w:rPr>
        <w:t>in</w:t>
      </w:r>
      <w:r w:rsidR="009A0847">
        <w:rPr>
          <w:color w:val="000000" w:themeColor="text1"/>
        </w:rPr>
        <w:t xml:space="preserve"> </w:t>
      </w:r>
      <w:r w:rsidR="001431E5" w:rsidRPr="00D85A0A">
        <w:rPr>
          <w:color w:val="000000" w:themeColor="text1"/>
        </w:rPr>
        <w:t>the</w:t>
      </w:r>
      <w:r w:rsidR="009A0847">
        <w:rPr>
          <w:color w:val="000000" w:themeColor="text1"/>
        </w:rPr>
        <w:t xml:space="preserve"> </w:t>
      </w:r>
      <w:r w:rsidR="001431E5" w:rsidRPr="00D85A0A">
        <w:rPr>
          <w:color w:val="000000" w:themeColor="text1"/>
        </w:rPr>
        <w:t>control</w:t>
      </w:r>
      <w:r w:rsidR="009A0847">
        <w:rPr>
          <w:color w:val="000000" w:themeColor="text1"/>
        </w:rPr>
        <w:t xml:space="preserve"> </w:t>
      </w:r>
      <w:r w:rsidR="001431E5" w:rsidRPr="00D85A0A">
        <w:rPr>
          <w:color w:val="000000" w:themeColor="text1"/>
        </w:rPr>
        <w:t>treatment.</w:t>
      </w:r>
      <w:r w:rsidR="009A0847">
        <w:rPr>
          <w:color w:val="000000" w:themeColor="text1"/>
        </w:rPr>
        <w:t xml:space="preserve"> </w:t>
      </w:r>
      <w:r w:rsidR="00B81781" w:rsidRPr="00D85A0A">
        <w:rPr>
          <w:color w:val="000000" w:themeColor="text1"/>
        </w:rPr>
        <w:t>L</w:t>
      </w:r>
      <w:r w:rsidR="00FA6A09" w:rsidRPr="00D85A0A">
        <w:rPr>
          <w:color w:val="000000" w:themeColor="text1"/>
        </w:rPr>
        <w:t>owering</w:t>
      </w:r>
      <w:r w:rsidR="009A0847">
        <w:rPr>
          <w:color w:val="000000" w:themeColor="text1"/>
        </w:rPr>
        <w:t xml:space="preserve"> </w:t>
      </w:r>
      <w:r w:rsidR="00FA6A09" w:rsidRPr="00D85A0A">
        <w:rPr>
          <w:color w:val="000000" w:themeColor="text1"/>
        </w:rPr>
        <w:t>the</w:t>
      </w:r>
      <w:r w:rsidR="009A0847">
        <w:rPr>
          <w:color w:val="000000" w:themeColor="text1"/>
        </w:rPr>
        <w:t xml:space="preserve"> </w:t>
      </w:r>
      <w:r w:rsidR="00B81781" w:rsidRPr="00D85A0A">
        <w:rPr>
          <w:color w:val="000000" w:themeColor="text1"/>
        </w:rPr>
        <w:t>cost</w:t>
      </w:r>
      <w:r w:rsidR="009A0847">
        <w:rPr>
          <w:color w:val="000000" w:themeColor="text1"/>
        </w:rPr>
        <w:t xml:space="preserve"> </w:t>
      </w:r>
      <w:r w:rsidR="00B81781" w:rsidRPr="00D85A0A">
        <w:rPr>
          <w:color w:val="000000" w:themeColor="text1"/>
        </w:rPr>
        <w:t>of</w:t>
      </w:r>
      <w:r w:rsidR="009A0847">
        <w:rPr>
          <w:color w:val="000000" w:themeColor="text1"/>
        </w:rPr>
        <w:t xml:space="preserve"> </w:t>
      </w:r>
      <w:r w:rsidR="00B81781" w:rsidRPr="00D85A0A">
        <w:rPr>
          <w:color w:val="000000" w:themeColor="text1"/>
        </w:rPr>
        <w:t>the</w:t>
      </w:r>
      <w:r w:rsidR="009A0847">
        <w:rPr>
          <w:color w:val="000000" w:themeColor="text1"/>
        </w:rPr>
        <w:t xml:space="preserve"> </w:t>
      </w:r>
      <w:r w:rsidR="00FA6A09" w:rsidRPr="00D85A0A">
        <w:rPr>
          <w:color w:val="000000" w:themeColor="text1"/>
        </w:rPr>
        <w:t>DW</w:t>
      </w:r>
      <w:r w:rsidR="009A0847">
        <w:rPr>
          <w:color w:val="000000" w:themeColor="text1"/>
        </w:rPr>
        <w:t xml:space="preserve"> </w:t>
      </w:r>
      <w:r w:rsidR="00ED0367">
        <w:rPr>
          <w:color w:val="000000" w:themeColor="text1"/>
        </w:rPr>
        <w:t>i</w:t>
      </w:r>
      <w:r w:rsidR="00B81781" w:rsidRPr="00D85A0A">
        <w:rPr>
          <w:color w:val="000000" w:themeColor="text1"/>
        </w:rPr>
        <w:t>s</w:t>
      </w:r>
      <w:r w:rsidR="009A0847">
        <w:rPr>
          <w:color w:val="000000" w:themeColor="text1"/>
        </w:rPr>
        <w:t xml:space="preserve"> </w:t>
      </w:r>
      <w:r w:rsidR="00B81781" w:rsidRPr="00D85A0A">
        <w:rPr>
          <w:color w:val="000000" w:themeColor="text1"/>
        </w:rPr>
        <w:t>found</w:t>
      </w:r>
      <w:r w:rsidR="009A0847">
        <w:rPr>
          <w:color w:val="000000" w:themeColor="text1"/>
        </w:rPr>
        <w:t xml:space="preserve"> </w:t>
      </w:r>
      <w:r w:rsidR="00B81781" w:rsidRPr="00D85A0A">
        <w:rPr>
          <w:color w:val="000000" w:themeColor="text1"/>
        </w:rPr>
        <w:t>to</w:t>
      </w:r>
      <w:r w:rsidR="009A0847">
        <w:rPr>
          <w:color w:val="000000" w:themeColor="text1"/>
        </w:rPr>
        <w:t xml:space="preserve"> </w:t>
      </w:r>
      <w:r w:rsidR="00B81781" w:rsidRPr="00D85A0A">
        <w:rPr>
          <w:color w:val="000000" w:themeColor="text1"/>
        </w:rPr>
        <w:t>have</w:t>
      </w:r>
      <w:r w:rsidR="009A0847">
        <w:rPr>
          <w:color w:val="000000" w:themeColor="text1"/>
        </w:rPr>
        <w:t xml:space="preserve"> </w:t>
      </w:r>
      <w:r w:rsidR="001431E5" w:rsidRPr="00D85A0A">
        <w:rPr>
          <w:color w:val="000000" w:themeColor="text1"/>
        </w:rPr>
        <w:t>little</w:t>
      </w:r>
      <w:r w:rsidR="009A0847">
        <w:rPr>
          <w:color w:val="000000" w:themeColor="text1"/>
        </w:rPr>
        <w:t xml:space="preserve"> </w:t>
      </w:r>
      <w:r w:rsidR="001431E5" w:rsidRPr="00D85A0A">
        <w:rPr>
          <w:color w:val="000000" w:themeColor="text1"/>
        </w:rPr>
        <w:t>effect</w:t>
      </w:r>
      <w:r w:rsidR="009A0847">
        <w:rPr>
          <w:color w:val="000000" w:themeColor="text1"/>
        </w:rPr>
        <w:t xml:space="preserve"> </w:t>
      </w:r>
      <w:r w:rsidR="001431E5" w:rsidRPr="00D85A0A">
        <w:rPr>
          <w:color w:val="000000" w:themeColor="text1"/>
        </w:rPr>
        <w:t>on</w:t>
      </w:r>
      <w:r w:rsidR="009A0847">
        <w:rPr>
          <w:color w:val="000000" w:themeColor="text1"/>
        </w:rPr>
        <w:t xml:space="preserve"> </w:t>
      </w:r>
      <w:r w:rsidR="001431E5" w:rsidRPr="00D85A0A">
        <w:rPr>
          <w:color w:val="000000" w:themeColor="text1"/>
        </w:rPr>
        <w:t>s</w:t>
      </w:r>
      <w:r w:rsidR="00FA6A09" w:rsidRPr="00D85A0A">
        <w:rPr>
          <w:color w:val="000000" w:themeColor="text1"/>
        </w:rPr>
        <w:t>tigma</w:t>
      </w:r>
      <w:r w:rsidR="004E42D1" w:rsidRPr="00D85A0A">
        <w:rPr>
          <w:color w:val="000000" w:themeColor="text1"/>
        </w:rPr>
        <w:t>.</w:t>
      </w:r>
      <w:r w:rsidR="009A0847">
        <w:rPr>
          <w:color w:val="000000" w:themeColor="text1"/>
        </w:rPr>
        <w:t xml:space="preserve"> </w:t>
      </w:r>
      <w:r w:rsidR="004E42D1" w:rsidRPr="00D85A0A">
        <w:rPr>
          <w:color w:val="000000" w:themeColor="text1"/>
        </w:rPr>
        <w:t>This</w:t>
      </w:r>
      <w:r w:rsidR="009A0847">
        <w:rPr>
          <w:color w:val="000000" w:themeColor="text1"/>
        </w:rPr>
        <w:t xml:space="preserve"> </w:t>
      </w:r>
      <w:r w:rsidR="00B32CE1" w:rsidRPr="00D85A0A">
        <w:rPr>
          <w:color w:val="000000" w:themeColor="text1"/>
        </w:rPr>
        <w:t>is</w:t>
      </w:r>
      <w:r w:rsidR="009A0847">
        <w:rPr>
          <w:color w:val="000000" w:themeColor="text1"/>
        </w:rPr>
        <w:t xml:space="preserve"> </w:t>
      </w:r>
      <w:r w:rsidR="00B32CE1" w:rsidRPr="00D85A0A">
        <w:rPr>
          <w:color w:val="000000" w:themeColor="text1"/>
        </w:rPr>
        <w:t>consistent</w:t>
      </w:r>
      <w:r w:rsidR="009A0847">
        <w:rPr>
          <w:color w:val="000000" w:themeColor="text1"/>
        </w:rPr>
        <w:t xml:space="preserve"> </w:t>
      </w:r>
      <w:r w:rsidR="00B32CE1" w:rsidRPr="00D85A0A">
        <w:rPr>
          <w:color w:val="000000" w:themeColor="text1"/>
        </w:rPr>
        <w:t>with</w:t>
      </w:r>
      <w:r w:rsidR="009A0847">
        <w:rPr>
          <w:color w:val="000000" w:themeColor="text1"/>
        </w:rPr>
        <w:t xml:space="preserve"> </w:t>
      </w:r>
      <w:r w:rsidR="0036020F">
        <w:rPr>
          <w:color w:val="000000" w:themeColor="text1"/>
        </w:rPr>
        <w:t>anecdotal</w:t>
      </w:r>
      <w:r w:rsidR="009A0847">
        <w:rPr>
          <w:color w:val="000000" w:themeColor="text1"/>
        </w:rPr>
        <w:t xml:space="preserve"> </w:t>
      </w:r>
      <w:r w:rsidR="00523C23" w:rsidRPr="00D85A0A">
        <w:rPr>
          <w:color w:val="000000" w:themeColor="text1"/>
        </w:rPr>
        <w:t>evidence</w:t>
      </w:r>
      <w:r w:rsidR="00ED0367">
        <w:rPr>
          <w:color w:val="000000" w:themeColor="text1"/>
        </w:rPr>
        <w:t>:</w:t>
      </w:r>
      <w:r w:rsidR="009A0847">
        <w:rPr>
          <w:color w:val="000000" w:themeColor="text1"/>
        </w:rPr>
        <w:t xml:space="preserve"> </w:t>
      </w:r>
      <w:r w:rsidR="00ED0367">
        <w:rPr>
          <w:color w:val="000000" w:themeColor="text1"/>
          <w:szCs w:val="24"/>
        </w:rPr>
        <w:t>I</w:t>
      </w:r>
      <w:r w:rsidR="00ED0367" w:rsidRPr="00D85A0A">
        <w:rPr>
          <w:color w:val="000000" w:themeColor="text1"/>
          <w:szCs w:val="24"/>
        </w:rPr>
        <w:t>n</w:t>
      </w:r>
      <w:r w:rsidR="00ED0367">
        <w:rPr>
          <w:color w:val="000000" w:themeColor="text1"/>
          <w:szCs w:val="24"/>
        </w:rPr>
        <w:t xml:space="preserve"> </w:t>
      </w:r>
      <w:r w:rsidR="00ED0367" w:rsidRPr="00D85A0A">
        <w:rPr>
          <w:color w:val="000000" w:themeColor="text1"/>
        </w:rPr>
        <w:t>August</w:t>
      </w:r>
      <w:r w:rsidR="00ED0367">
        <w:rPr>
          <w:color w:val="000000" w:themeColor="text1"/>
        </w:rPr>
        <w:t xml:space="preserve"> </w:t>
      </w:r>
      <w:r w:rsidR="00ED0367" w:rsidRPr="00D85A0A">
        <w:rPr>
          <w:color w:val="000000" w:themeColor="text1"/>
        </w:rPr>
        <w:t>2007</w:t>
      </w:r>
      <w:r w:rsidR="00185402">
        <w:rPr>
          <w:color w:val="000000" w:themeColor="text1"/>
        </w:rPr>
        <w:t>,</w:t>
      </w:r>
      <w:r w:rsidR="00ED0367">
        <w:rPr>
          <w:color w:val="000000" w:themeColor="text1"/>
        </w:rPr>
        <w:t xml:space="preserve"> </w:t>
      </w:r>
      <w:r w:rsidR="001431E5" w:rsidRPr="00D85A0A">
        <w:rPr>
          <w:color w:val="000000" w:themeColor="text1"/>
        </w:rPr>
        <w:t>the</w:t>
      </w:r>
      <w:r w:rsidR="009A0847">
        <w:rPr>
          <w:color w:val="000000" w:themeColor="text1"/>
        </w:rPr>
        <w:t xml:space="preserve"> </w:t>
      </w:r>
      <w:r w:rsidR="00CD4792" w:rsidRPr="00D85A0A">
        <w:rPr>
          <w:color w:val="000000" w:themeColor="text1"/>
        </w:rPr>
        <w:t>Fed</w:t>
      </w:r>
      <w:r w:rsidR="00F06A8D" w:rsidRPr="00D85A0A">
        <w:rPr>
          <w:color w:val="000000" w:themeColor="text1"/>
        </w:rPr>
        <w:t>’s</w:t>
      </w:r>
      <w:r w:rsidR="009A0847">
        <w:rPr>
          <w:color w:val="000000" w:themeColor="text1"/>
        </w:rPr>
        <w:t xml:space="preserve"> </w:t>
      </w:r>
      <w:r w:rsidR="00523C23" w:rsidRPr="00D85A0A">
        <w:rPr>
          <w:color w:val="000000" w:themeColor="text1"/>
        </w:rPr>
        <w:t>was</w:t>
      </w:r>
      <w:r w:rsidR="009A0847">
        <w:rPr>
          <w:color w:val="000000" w:themeColor="text1"/>
        </w:rPr>
        <w:t xml:space="preserve"> </w:t>
      </w:r>
      <w:r w:rsidR="00523C23" w:rsidRPr="00D85A0A">
        <w:rPr>
          <w:color w:val="000000" w:themeColor="text1"/>
        </w:rPr>
        <w:t>unable</w:t>
      </w:r>
      <w:r w:rsidR="009A0847">
        <w:rPr>
          <w:color w:val="000000" w:themeColor="text1"/>
        </w:rPr>
        <w:t xml:space="preserve"> </w:t>
      </w:r>
      <w:r w:rsidR="00CD4792" w:rsidRPr="00D85A0A">
        <w:rPr>
          <w:color w:val="000000" w:themeColor="text1"/>
        </w:rPr>
        <w:t>to</w:t>
      </w:r>
      <w:r w:rsidR="009A0847">
        <w:rPr>
          <w:color w:val="000000" w:themeColor="text1"/>
        </w:rPr>
        <w:t xml:space="preserve"> </w:t>
      </w:r>
      <w:r w:rsidR="00705908" w:rsidRPr="00D85A0A">
        <w:rPr>
          <w:color w:val="000000" w:themeColor="text1"/>
        </w:rPr>
        <w:t>stimulate</w:t>
      </w:r>
      <w:r w:rsidR="009A0847">
        <w:rPr>
          <w:color w:val="000000" w:themeColor="text1"/>
        </w:rPr>
        <w:t xml:space="preserve"> </w:t>
      </w:r>
      <w:r w:rsidR="00CD4792" w:rsidRPr="00D85A0A">
        <w:rPr>
          <w:color w:val="000000" w:themeColor="text1"/>
        </w:rPr>
        <w:t>DW</w:t>
      </w:r>
      <w:r w:rsidR="009A0847">
        <w:rPr>
          <w:color w:val="000000" w:themeColor="text1"/>
        </w:rPr>
        <w:t xml:space="preserve"> </w:t>
      </w:r>
      <w:r w:rsidR="00CD4792" w:rsidRPr="00D85A0A">
        <w:rPr>
          <w:color w:val="000000" w:themeColor="text1"/>
        </w:rPr>
        <w:t>borrowing</w:t>
      </w:r>
      <w:r w:rsidR="009A0847">
        <w:rPr>
          <w:color w:val="000000" w:themeColor="text1"/>
        </w:rPr>
        <w:t xml:space="preserve"> </w:t>
      </w:r>
      <w:r w:rsidR="00ED0367">
        <w:rPr>
          <w:color w:val="000000" w:themeColor="text1"/>
        </w:rPr>
        <w:t>by</w:t>
      </w:r>
      <w:r w:rsidR="009A0847">
        <w:rPr>
          <w:color w:val="000000" w:themeColor="text1"/>
        </w:rPr>
        <w:t xml:space="preserve"> </w:t>
      </w:r>
      <w:r w:rsidR="00705908" w:rsidRPr="00D85A0A">
        <w:rPr>
          <w:color w:val="000000" w:themeColor="text1"/>
        </w:rPr>
        <w:t>cut</w:t>
      </w:r>
      <w:r w:rsidR="00ED0367">
        <w:rPr>
          <w:color w:val="000000" w:themeColor="text1"/>
        </w:rPr>
        <w:t>ting</w:t>
      </w:r>
      <w:r w:rsidR="009A0847">
        <w:rPr>
          <w:color w:val="000000" w:themeColor="text1"/>
        </w:rPr>
        <w:t xml:space="preserve"> </w:t>
      </w:r>
      <w:r w:rsidR="00523C23" w:rsidRPr="00D85A0A">
        <w:rPr>
          <w:color w:val="000000" w:themeColor="text1"/>
        </w:rPr>
        <w:t>the</w:t>
      </w:r>
      <w:r w:rsidR="009A0847">
        <w:rPr>
          <w:color w:val="000000" w:themeColor="text1"/>
        </w:rPr>
        <w:t xml:space="preserve"> </w:t>
      </w:r>
      <w:r w:rsidR="00185402">
        <w:rPr>
          <w:color w:val="000000" w:themeColor="text1"/>
        </w:rPr>
        <w:t xml:space="preserve">DW </w:t>
      </w:r>
      <w:r w:rsidR="00523C23" w:rsidRPr="00D85A0A">
        <w:rPr>
          <w:color w:val="000000" w:themeColor="text1"/>
          <w:szCs w:val="24"/>
        </w:rPr>
        <w:t>rate</w:t>
      </w:r>
      <w:r w:rsidR="00CD4792" w:rsidRPr="00D85A0A">
        <w:rPr>
          <w:color w:val="000000" w:themeColor="text1"/>
          <w:szCs w:val="24"/>
        </w:rPr>
        <w:t>.</w:t>
      </w:r>
      <w:r w:rsidR="009A0847">
        <w:rPr>
          <w:color w:val="000000" w:themeColor="text1"/>
        </w:rPr>
        <w:t xml:space="preserve"> </w:t>
      </w:r>
      <w:r w:rsidR="001431E5" w:rsidRPr="00D85A0A">
        <w:rPr>
          <w:color w:val="000000" w:themeColor="text1"/>
        </w:rPr>
        <w:t>Similarly,</w:t>
      </w:r>
      <w:r w:rsidR="009A0847">
        <w:rPr>
          <w:color w:val="000000" w:themeColor="text1"/>
        </w:rPr>
        <w:t xml:space="preserve"> </w:t>
      </w:r>
      <w:r w:rsidR="00523C23" w:rsidRPr="00D85A0A">
        <w:rPr>
          <w:color w:val="000000" w:themeColor="text1"/>
        </w:rPr>
        <w:t>lowering</w:t>
      </w:r>
      <w:r w:rsidR="009A0847">
        <w:rPr>
          <w:color w:val="000000" w:themeColor="text1"/>
        </w:rPr>
        <w:t xml:space="preserve"> </w:t>
      </w:r>
      <w:r w:rsidR="00523C23" w:rsidRPr="00D85A0A">
        <w:rPr>
          <w:color w:val="000000" w:themeColor="text1"/>
        </w:rPr>
        <w:t>the</w:t>
      </w:r>
      <w:r w:rsidR="009A0847">
        <w:rPr>
          <w:color w:val="000000" w:themeColor="text1"/>
        </w:rPr>
        <w:t xml:space="preserve"> </w:t>
      </w:r>
      <w:r w:rsidR="00523C23" w:rsidRPr="00D85A0A">
        <w:rPr>
          <w:color w:val="000000" w:themeColor="text1"/>
        </w:rPr>
        <w:t>detection</w:t>
      </w:r>
      <w:r w:rsidR="009A0847">
        <w:rPr>
          <w:color w:val="000000" w:themeColor="text1"/>
        </w:rPr>
        <w:t xml:space="preserve"> </w:t>
      </w:r>
      <w:r w:rsidR="00523C23" w:rsidRPr="00D85A0A">
        <w:rPr>
          <w:color w:val="000000" w:themeColor="text1"/>
        </w:rPr>
        <w:t>probability</w:t>
      </w:r>
      <w:r w:rsidR="009A0847">
        <w:rPr>
          <w:color w:val="000000" w:themeColor="text1"/>
        </w:rPr>
        <w:t xml:space="preserve"> </w:t>
      </w:r>
      <w:r w:rsidR="00523C23" w:rsidRPr="00D85A0A">
        <w:rPr>
          <w:color w:val="000000" w:themeColor="text1"/>
        </w:rPr>
        <w:t>fail</w:t>
      </w:r>
      <w:r w:rsidR="00027179">
        <w:rPr>
          <w:color w:val="000000" w:themeColor="text1"/>
        </w:rPr>
        <w:t>s</w:t>
      </w:r>
      <w:r w:rsidR="009A0847">
        <w:rPr>
          <w:color w:val="000000" w:themeColor="text1"/>
        </w:rPr>
        <w:t xml:space="preserve"> </w:t>
      </w:r>
      <w:r w:rsidR="00523C23" w:rsidRPr="00D85A0A">
        <w:rPr>
          <w:color w:val="000000" w:themeColor="text1"/>
        </w:rPr>
        <w:t>to</w:t>
      </w:r>
      <w:r w:rsidR="009A0847">
        <w:rPr>
          <w:color w:val="000000" w:themeColor="text1"/>
        </w:rPr>
        <w:t xml:space="preserve"> </w:t>
      </w:r>
      <w:r w:rsidR="00523C23" w:rsidRPr="00D85A0A">
        <w:rPr>
          <w:color w:val="000000" w:themeColor="text1"/>
        </w:rPr>
        <w:t>address</w:t>
      </w:r>
      <w:r w:rsidR="009A0847">
        <w:rPr>
          <w:color w:val="000000" w:themeColor="text1"/>
        </w:rPr>
        <w:t xml:space="preserve"> </w:t>
      </w:r>
      <w:r w:rsidR="00523C23" w:rsidRPr="00D85A0A">
        <w:rPr>
          <w:color w:val="000000" w:themeColor="text1"/>
        </w:rPr>
        <w:t>DW</w:t>
      </w:r>
      <w:r w:rsidR="009A0847">
        <w:rPr>
          <w:color w:val="000000" w:themeColor="text1"/>
        </w:rPr>
        <w:t xml:space="preserve"> </w:t>
      </w:r>
      <w:r w:rsidR="00523C23" w:rsidRPr="00D85A0A">
        <w:rPr>
          <w:color w:val="000000" w:themeColor="text1"/>
        </w:rPr>
        <w:t>stigma</w:t>
      </w:r>
      <w:r w:rsidR="009A0847">
        <w:rPr>
          <w:color w:val="000000" w:themeColor="text1"/>
        </w:rPr>
        <w:t xml:space="preserve"> </w:t>
      </w:r>
      <w:r w:rsidR="00523C23" w:rsidRPr="00D85A0A">
        <w:rPr>
          <w:color w:val="000000" w:themeColor="text1"/>
        </w:rPr>
        <w:t>in</w:t>
      </w:r>
      <w:r w:rsidR="009A0847">
        <w:rPr>
          <w:color w:val="000000" w:themeColor="text1"/>
        </w:rPr>
        <w:t xml:space="preserve"> </w:t>
      </w:r>
      <w:r w:rsidR="00523C23" w:rsidRPr="00D85A0A">
        <w:rPr>
          <w:color w:val="000000" w:themeColor="text1"/>
        </w:rPr>
        <w:t>the</w:t>
      </w:r>
      <w:r w:rsidR="009A0847">
        <w:rPr>
          <w:color w:val="000000" w:themeColor="text1"/>
        </w:rPr>
        <w:t xml:space="preserve"> </w:t>
      </w:r>
      <w:r w:rsidR="00523C23" w:rsidRPr="00D85A0A">
        <w:rPr>
          <w:color w:val="000000" w:themeColor="text1"/>
        </w:rPr>
        <w:t>experiment.</w:t>
      </w:r>
      <w:r w:rsidR="009A0847">
        <w:rPr>
          <w:color w:val="000000" w:themeColor="text1"/>
        </w:rPr>
        <w:t xml:space="preserve"> </w:t>
      </w:r>
      <w:r w:rsidR="00523C23" w:rsidRPr="00D85A0A">
        <w:rPr>
          <w:color w:val="000000" w:themeColor="text1"/>
        </w:rPr>
        <w:t>This</w:t>
      </w:r>
      <w:r w:rsidR="009A0847">
        <w:rPr>
          <w:color w:val="000000" w:themeColor="text1"/>
        </w:rPr>
        <w:t xml:space="preserve"> </w:t>
      </w:r>
      <w:r w:rsidR="00523C23" w:rsidRPr="00D85A0A">
        <w:rPr>
          <w:color w:val="000000" w:themeColor="text1"/>
        </w:rPr>
        <w:t>result</w:t>
      </w:r>
      <w:r w:rsidR="009A0847">
        <w:rPr>
          <w:color w:val="000000" w:themeColor="text1"/>
        </w:rPr>
        <w:t xml:space="preserve"> </w:t>
      </w:r>
      <w:r w:rsidR="00B81781" w:rsidRPr="00D85A0A">
        <w:rPr>
          <w:color w:val="000000" w:themeColor="text1"/>
        </w:rPr>
        <w:t>challenges</w:t>
      </w:r>
      <w:r w:rsidR="009A0847">
        <w:rPr>
          <w:color w:val="000000" w:themeColor="text1"/>
        </w:rPr>
        <w:t xml:space="preserve"> </w:t>
      </w:r>
      <w:r w:rsidR="00705908" w:rsidRPr="00D85A0A">
        <w:rPr>
          <w:color w:val="000000" w:themeColor="text1"/>
        </w:rPr>
        <w:t>the</w:t>
      </w:r>
      <w:r w:rsidR="009A0847">
        <w:rPr>
          <w:color w:val="000000" w:themeColor="text1"/>
        </w:rPr>
        <w:t xml:space="preserve"> </w:t>
      </w:r>
      <w:r w:rsidR="00705908" w:rsidRPr="00D85A0A">
        <w:rPr>
          <w:color w:val="000000" w:themeColor="text1"/>
        </w:rPr>
        <w:t>view</w:t>
      </w:r>
      <w:r w:rsidR="009A0847">
        <w:rPr>
          <w:color w:val="000000" w:themeColor="text1"/>
        </w:rPr>
        <w:t xml:space="preserve"> </w:t>
      </w:r>
      <w:r w:rsidR="00705908" w:rsidRPr="00D85A0A">
        <w:rPr>
          <w:color w:val="000000" w:themeColor="text1"/>
        </w:rPr>
        <w:t>that</w:t>
      </w:r>
      <w:r w:rsidR="009A0847">
        <w:rPr>
          <w:color w:val="000000" w:themeColor="text1"/>
        </w:rPr>
        <w:t xml:space="preserve"> </w:t>
      </w:r>
      <w:r w:rsidR="00705908" w:rsidRPr="00D85A0A">
        <w:rPr>
          <w:color w:val="000000" w:themeColor="text1"/>
        </w:rPr>
        <w:t>stigma</w:t>
      </w:r>
      <w:r w:rsidR="009A0847">
        <w:rPr>
          <w:color w:val="000000" w:themeColor="text1"/>
        </w:rPr>
        <w:t xml:space="preserve"> </w:t>
      </w:r>
      <w:r w:rsidR="00705908" w:rsidRPr="00D85A0A">
        <w:rPr>
          <w:color w:val="000000" w:themeColor="text1"/>
        </w:rPr>
        <w:t>concerns</w:t>
      </w:r>
      <w:r w:rsidR="009A0847">
        <w:rPr>
          <w:color w:val="000000" w:themeColor="text1"/>
        </w:rPr>
        <w:t xml:space="preserve"> </w:t>
      </w:r>
      <w:r w:rsidR="00705908" w:rsidRPr="00D85A0A">
        <w:rPr>
          <w:color w:val="000000" w:themeColor="text1"/>
        </w:rPr>
        <w:t>can</w:t>
      </w:r>
      <w:r w:rsidR="009A0847">
        <w:rPr>
          <w:color w:val="000000" w:themeColor="text1"/>
        </w:rPr>
        <w:t xml:space="preserve"> </w:t>
      </w:r>
      <w:r w:rsidR="00705908" w:rsidRPr="00D85A0A">
        <w:rPr>
          <w:color w:val="000000" w:themeColor="text1"/>
        </w:rPr>
        <w:t>be</w:t>
      </w:r>
      <w:r w:rsidR="009A0847">
        <w:rPr>
          <w:color w:val="000000" w:themeColor="text1"/>
        </w:rPr>
        <w:t xml:space="preserve"> </w:t>
      </w:r>
      <w:r w:rsidR="00705908" w:rsidRPr="00D85A0A">
        <w:rPr>
          <w:color w:val="000000" w:themeColor="text1"/>
        </w:rPr>
        <w:t>attenuated</w:t>
      </w:r>
      <w:r w:rsidR="009A0847">
        <w:rPr>
          <w:color w:val="000000" w:themeColor="text1"/>
        </w:rPr>
        <w:t xml:space="preserve"> </w:t>
      </w:r>
      <w:r w:rsidR="00185402">
        <w:rPr>
          <w:color w:val="000000" w:themeColor="text1"/>
        </w:rPr>
        <w:t>by making</w:t>
      </w:r>
      <w:r w:rsidR="009A0847">
        <w:rPr>
          <w:color w:val="000000" w:themeColor="text1"/>
        </w:rPr>
        <w:t xml:space="preserve"> </w:t>
      </w:r>
      <w:r w:rsidR="00B32CE1" w:rsidRPr="00D85A0A">
        <w:rPr>
          <w:color w:val="000000" w:themeColor="text1"/>
        </w:rPr>
        <w:t>DW</w:t>
      </w:r>
      <w:r w:rsidR="009A0847">
        <w:rPr>
          <w:color w:val="000000" w:themeColor="text1"/>
        </w:rPr>
        <w:t xml:space="preserve"> </w:t>
      </w:r>
      <w:r w:rsidR="00B32CE1" w:rsidRPr="00D85A0A">
        <w:rPr>
          <w:color w:val="000000" w:themeColor="text1"/>
        </w:rPr>
        <w:t>borrowing</w:t>
      </w:r>
      <w:r w:rsidR="009A0847">
        <w:rPr>
          <w:color w:val="000000" w:themeColor="text1"/>
        </w:rPr>
        <w:t xml:space="preserve"> </w:t>
      </w:r>
      <w:r w:rsidR="00185402">
        <w:rPr>
          <w:color w:val="000000" w:themeColor="text1"/>
        </w:rPr>
        <w:t xml:space="preserve">relatively </w:t>
      </w:r>
      <w:r w:rsidR="00705908" w:rsidRPr="00D85A0A">
        <w:rPr>
          <w:color w:val="000000" w:themeColor="text1"/>
        </w:rPr>
        <w:t>more</w:t>
      </w:r>
      <w:r w:rsidR="009A0847">
        <w:rPr>
          <w:color w:val="000000" w:themeColor="text1"/>
        </w:rPr>
        <w:t xml:space="preserve"> </w:t>
      </w:r>
      <w:r w:rsidR="00705908" w:rsidRPr="00D85A0A">
        <w:rPr>
          <w:color w:val="000000" w:themeColor="text1"/>
        </w:rPr>
        <w:t>opaque.</w:t>
      </w:r>
      <w:r w:rsidR="009A0847">
        <w:rPr>
          <w:color w:val="000000" w:themeColor="text1"/>
        </w:rPr>
        <w:t xml:space="preserve"> </w:t>
      </w:r>
      <w:r w:rsidR="00705908" w:rsidRPr="00D85A0A">
        <w:rPr>
          <w:color w:val="000000" w:themeColor="text1"/>
        </w:rPr>
        <w:t>Finally</w:t>
      </w:r>
      <w:r w:rsidR="00F06A8D" w:rsidRPr="00D85A0A">
        <w:rPr>
          <w:color w:val="000000" w:themeColor="text1"/>
        </w:rPr>
        <w:t>,</w:t>
      </w:r>
      <w:r w:rsidR="009A0847">
        <w:rPr>
          <w:color w:val="000000" w:themeColor="text1"/>
        </w:rPr>
        <w:t xml:space="preserve"> </w:t>
      </w:r>
      <w:r w:rsidR="001431E5" w:rsidRPr="00D85A0A">
        <w:rPr>
          <w:color w:val="000000" w:themeColor="text1"/>
        </w:rPr>
        <w:t>c</w:t>
      </w:r>
      <w:r w:rsidR="00F06A8D" w:rsidRPr="00D85A0A">
        <w:rPr>
          <w:color w:val="000000" w:themeColor="text1"/>
        </w:rPr>
        <w:t>onsistent</w:t>
      </w:r>
      <w:r w:rsidR="009A0847">
        <w:rPr>
          <w:color w:val="000000" w:themeColor="text1"/>
        </w:rPr>
        <w:t xml:space="preserve"> </w:t>
      </w:r>
      <w:r w:rsidR="00F06A8D" w:rsidRPr="00D85A0A">
        <w:rPr>
          <w:color w:val="000000" w:themeColor="text1"/>
        </w:rPr>
        <w:t>with</w:t>
      </w:r>
      <w:r w:rsidR="009A0847">
        <w:rPr>
          <w:color w:val="000000" w:themeColor="text1"/>
        </w:rPr>
        <w:t xml:space="preserve"> </w:t>
      </w:r>
      <w:r w:rsidR="00FA6A09" w:rsidRPr="00D85A0A">
        <w:rPr>
          <w:color w:val="000000" w:themeColor="text1"/>
        </w:rPr>
        <w:t>theor</w:t>
      </w:r>
      <w:r w:rsidR="00F06A8D" w:rsidRPr="00D85A0A">
        <w:rPr>
          <w:color w:val="000000" w:themeColor="text1"/>
        </w:rPr>
        <w:t>y</w:t>
      </w:r>
      <w:r w:rsidR="00B81781" w:rsidRPr="00D85A0A">
        <w:rPr>
          <w:color w:val="000000" w:themeColor="text1"/>
        </w:rPr>
        <w:t>,</w:t>
      </w:r>
      <w:r w:rsidR="009A0847">
        <w:rPr>
          <w:color w:val="000000" w:themeColor="text1"/>
        </w:rPr>
        <w:t xml:space="preserve"> </w:t>
      </w:r>
      <w:r w:rsidR="00705908" w:rsidRPr="00D85A0A">
        <w:rPr>
          <w:color w:val="000000" w:themeColor="text1"/>
        </w:rPr>
        <w:t>behavior</w:t>
      </w:r>
      <w:r w:rsidR="009A0847">
        <w:rPr>
          <w:color w:val="000000" w:themeColor="text1"/>
        </w:rPr>
        <w:t xml:space="preserve"> </w:t>
      </w:r>
      <w:r w:rsidR="00FA6A09" w:rsidRPr="00D85A0A">
        <w:rPr>
          <w:color w:val="000000" w:themeColor="text1"/>
        </w:rPr>
        <w:t>converge</w:t>
      </w:r>
      <w:r w:rsidR="00027179">
        <w:rPr>
          <w:color w:val="000000" w:themeColor="text1"/>
        </w:rPr>
        <w:t>s</w:t>
      </w:r>
      <w:r w:rsidR="009A0847">
        <w:rPr>
          <w:color w:val="000000" w:themeColor="text1"/>
        </w:rPr>
        <w:t xml:space="preserve"> </w:t>
      </w:r>
      <w:r w:rsidR="00FA6A09" w:rsidRPr="00D85A0A">
        <w:rPr>
          <w:color w:val="000000" w:themeColor="text1"/>
        </w:rPr>
        <w:t>to</w:t>
      </w:r>
      <w:r w:rsidR="009A0847">
        <w:rPr>
          <w:color w:val="000000" w:themeColor="text1"/>
        </w:rPr>
        <w:t xml:space="preserve"> </w:t>
      </w:r>
      <w:r w:rsidR="00302479" w:rsidRPr="00D85A0A">
        <w:rPr>
          <w:color w:val="000000" w:themeColor="text1"/>
        </w:rPr>
        <w:t>the</w:t>
      </w:r>
      <w:r w:rsidR="009A0847">
        <w:rPr>
          <w:color w:val="000000" w:themeColor="text1"/>
        </w:rPr>
        <w:t xml:space="preserve"> </w:t>
      </w:r>
      <w:r w:rsidR="00FA6A09" w:rsidRPr="00D85A0A">
        <w:rPr>
          <w:color w:val="000000" w:themeColor="text1"/>
        </w:rPr>
        <w:t>stigma</w:t>
      </w:r>
      <w:r w:rsidR="00F06A8D" w:rsidRPr="00D85A0A">
        <w:rPr>
          <w:color w:val="000000" w:themeColor="text1"/>
        </w:rPr>
        <w:t>-free</w:t>
      </w:r>
      <w:r w:rsidR="009A0847">
        <w:rPr>
          <w:color w:val="000000" w:themeColor="text1"/>
        </w:rPr>
        <w:t xml:space="preserve"> </w:t>
      </w:r>
      <w:r w:rsidR="00FA6A09" w:rsidRPr="00D85A0A">
        <w:rPr>
          <w:color w:val="000000" w:themeColor="text1"/>
        </w:rPr>
        <w:t>strategy</w:t>
      </w:r>
      <w:r w:rsidR="009A0847">
        <w:rPr>
          <w:color w:val="000000" w:themeColor="text1"/>
        </w:rPr>
        <w:t xml:space="preserve"> </w:t>
      </w:r>
      <w:r w:rsidR="00FA6A09" w:rsidRPr="00D85A0A">
        <w:rPr>
          <w:color w:val="000000" w:themeColor="text1"/>
        </w:rPr>
        <w:t>under</w:t>
      </w:r>
      <w:r w:rsidR="009A0847">
        <w:rPr>
          <w:color w:val="000000" w:themeColor="text1"/>
        </w:rPr>
        <w:t xml:space="preserve"> </w:t>
      </w:r>
      <w:r w:rsidR="00FA6A09" w:rsidRPr="00D85A0A">
        <w:rPr>
          <w:color w:val="000000" w:themeColor="text1"/>
        </w:rPr>
        <w:t>random</w:t>
      </w:r>
      <w:r w:rsidR="009A0847">
        <w:rPr>
          <w:color w:val="000000" w:themeColor="text1"/>
        </w:rPr>
        <w:t xml:space="preserve"> </w:t>
      </w:r>
      <w:r w:rsidR="00FA6A09" w:rsidRPr="00D85A0A">
        <w:rPr>
          <w:color w:val="000000" w:themeColor="text1"/>
        </w:rPr>
        <w:t>borrowing</w:t>
      </w:r>
      <w:r w:rsidR="00CD4792" w:rsidRPr="00D85A0A">
        <w:rPr>
          <w:color w:val="000000" w:themeColor="text1"/>
        </w:rPr>
        <w:t>.</w:t>
      </w:r>
      <w:r w:rsidR="009A0847">
        <w:rPr>
          <w:color w:val="000000" w:themeColor="text1"/>
        </w:rPr>
        <w:t xml:space="preserve"> </w:t>
      </w:r>
      <w:r w:rsidR="00B81781" w:rsidRPr="00D85A0A">
        <w:rPr>
          <w:color w:val="000000" w:themeColor="text1"/>
        </w:rPr>
        <w:t>This</w:t>
      </w:r>
      <w:r w:rsidR="009A0847">
        <w:rPr>
          <w:color w:val="000000" w:themeColor="text1"/>
        </w:rPr>
        <w:t xml:space="preserve"> </w:t>
      </w:r>
      <w:r w:rsidR="00B81781" w:rsidRPr="00D85A0A">
        <w:rPr>
          <w:color w:val="000000" w:themeColor="text1"/>
        </w:rPr>
        <w:t>result</w:t>
      </w:r>
      <w:r w:rsidR="009A0847">
        <w:rPr>
          <w:color w:val="000000" w:themeColor="text1"/>
        </w:rPr>
        <w:t xml:space="preserve"> </w:t>
      </w:r>
      <w:r w:rsidR="00B81781" w:rsidRPr="00D85A0A">
        <w:rPr>
          <w:color w:val="000000" w:themeColor="text1"/>
        </w:rPr>
        <w:t>provides</w:t>
      </w:r>
      <w:r w:rsidR="009A0847">
        <w:rPr>
          <w:color w:val="000000" w:themeColor="text1"/>
        </w:rPr>
        <w:t xml:space="preserve"> </w:t>
      </w:r>
      <w:r w:rsidR="00B81781" w:rsidRPr="00D85A0A">
        <w:rPr>
          <w:color w:val="000000" w:themeColor="text1"/>
        </w:rPr>
        <w:t>support</w:t>
      </w:r>
      <w:r w:rsidR="009A0847">
        <w:rPr>
          <w:color w:val="000000" w:themeColor="text1"/>
        </w:rPr>
        <w:t xml:space="preserve"> </w:t>
      </w:r>
      <w:r w:rsidR="00B81781" w:rsidRPr="00D85A0A">
        <w:rPr>
          <w:color w:val="000000" w:themeColor="text1"/>
        </w:rPr>
        <w:t>to</w:t>
      </w:r>
      <w:r w:rsidR="009A0847">
        <w:rPr>
          <w:color w:val="000000" w:themeColor="text1"/>
        </w:rPr>
        <w:t xml:space="preserve"> </w:t>
      </w:r>
      <w:r w:rsidR="00B81781" w:rsidRPr="00D85A0A">
        <w:rPr>
          <w:color w:val="000000" w:themeColor="text1"/>
        </w:rPr>
        <w:t>Winters</w:t>
      </w:r>
      <w:r w:rsidR="009A0847">
        <w:rPr>
          <w:color w:val="000000" w:themeColor="text1"/>
        </w:rPr>
        <w:t xml:space="preserve"> </w:t>
      </w:r>
      <w:r w:rsidR="00B81781" w:rsidRPr="00D85A0A">
        <w:rPr>
          <w:color w:val="000000" w:themeColor="text1"/>
        </w:rPr>
        <w:t>(2012)</w:t>
      </w:r>
      <w:r w:rsidR="009A0847">
        <w:rPr>
          <w:color w:val="000000" w:themeColor="text1"/>
        </w:rPr>
        <w:t xml:space="preserve"> </w:t>
      </w:r>
      <w:r w:rsidR="00B81781" w:rsidRPr="00D85A0A">
        <w:rPr>
          <w:color w:val="000000" w:themeColor="text1"/>
        </w:rPr>
        <w:t>who</w:t>
      </w:r>
      <w:r w:rsidR="009A0847">
        <w:rPr>
          <w:color w:val="000000" w:themeColor="text1"/>
        </w:rPr>
        <w:t xml:space="preserve"> </w:t>
      </w:r>
      <w:r w:rsidR="00B81781" w:rsidRPr="00D85A0A">
        <w:rPr>
          <w:color w:val="000000" w:themeColor="text1"/>
        </w:rPr>
        <w:t>recommended</w:t>
      </w:r>
      <w:r w:rsidR="009A0847">
        <w:rPr>
          <w:color w:val="000000" w:themeColor="text1"/>
        </w:rPr>
        <w:t xml:space="preserve"> </w:t>
      </w:r>
      <w:r w:rsidR="00B81781" w:rsidRPr="00D85A0A">
        <w:rPr>
          <w:color w:val="000000" w:themeColor="text1"/>
        </w:rPr>
        <w:t>regular</w:t>
      </w:r>
      <w:r w:rsidR="009A0847">
        <w:rPr>
          <w:color w:val="000000" w:themeColor="text1"/>
        </w:rPr>
        <w:t xml:space="preserve"> </w:t>
      </w:r>
      <w:r w:rsidR="00027179">
        <w:rPr>
          <w:color w:val="000000" w:themeColor="text1"/>
        </w:rPr>
        <w:t xml:space="preserve">DW </w:t>
      </w:r>
      <w:r w:rsidR="00B81781" w:rsidRPr="00D85A0A">
        <w:rPr>
          <w:color w:val="000000" w:themeColor="text1"/>
        </w:rPr>
        <w:t>borrowing</w:t>
      </w:r>
      <w:r w:rsidR="009A0847">
        <w:rPr>
          <w:color w:val="000000" w:themeColor="text1"/>
        </w:rPr>
        <w:t xml:space="preserve"> </w:t>
      </w:r>
      <w:r w:rsidR="00B81781" w:rsidRPr="00D85A0A">
        <w:rPr>
          <w:color w:val="000000" w:themeColor="text1"/>
        </w:rPr>
        <w:t>to</w:t>
      </w:r>
      <w:r w:rsidR="009A0847">
        <w:rPr>
          <w:color w:val="000000" w:themeColor="text1"/>
        </w:rPr>
        <w:t xml:space="preserve"> </w:t>
      </w:r>
      <w:r w:rsidR="00B81781" w:rsidRPr="00D85A0A">
        <w:rPr>
          <w:color w:val="000000" w:themeColor="text1"/>
        </w:rPr>
        <w:t>the</w:t>
      </w:r>
      <w:r w:rsidR="009A0847">
        <w:rPr>
          <w:color w:val="000000" w:themeColor="text1"/>
        </w:rPr>
        <w:t xml:space="preserve"> </w:t>
      </w:r>
      <w:r w:rsidR="00B81781" w:rsidRPr="00D85A0A">
        <w:rPr>
          <w:color w:val="000000" w:themeColor="text1"/>
        </w:rPr>
        <w:t>Bank</w:t>
      </w:r>
      <w:r w:rsidR="009A0847">
        <w:rPr>
          <w:color w:val="000000" w:themeColor="text1"/>
        </w:rPr>
        <w:t xml:space="preserve"> </w:t>
      </w:r>
      <w:r w:rsidR="00B81781" w:rsidRPr="00D85A0A">
        <w:rPr>
          <w:color w:val="000000" w:themeColor="text1"/>
        </w:rPr>
        <w:t>of</w:t>
      </w:r>
      <w:r w:rsidR="009A0847">
        <w:rPr>
          <w:color w:val="000000" w:themeColor="text1"/>
        </w:rPr>
        <w:t xml:space="preserve"> </w:t>
      </w:r>
      <w:r w:rsidR="00B81781" w:rsidRPr="00D85A0A">
        <w:rPr>
          <w:color w:val="000000" w:themeColor="text1"/>
        </w:rPr>
        <w:t>England</w:t>
      </w:r>
      <w:r w:rsidR="0036020F">
        <w:rPr>
          <w:color w:val="000000" w:themeColor="text1"/>
        </w:rPr>
        <w:t>, a</w:t>
      </w:r>
      <w:r w:rsidR="00027179">
        <w:rPr>
          <w:color w:val="000000" w:themeColor="text1"/>
        </w:rPr>
        <w:t>rguing that it would overcome</w:t>
      </w:r>
      <w:r w:rsidR="0036020F">
        <w:rPr>
          <w:color w:val="000000" w:themeColor="text1"/>
        </w:rPr>
        <w:t xml:space="preserve"> stigma by </w:t>
      </w:r>
      <w:r w:rsidR="00B81781" w:rsidRPr="00D85A0A">
        <w:rPr>
          <w:color w:val="000000" w:themeColor="text1"/>
        </w:rPr>
        <w:t>mak</w:t>
      </w:r>
      <w:r w:rsidR="0036020F">
        <w:rPr>
          <w:color w:val="000000" w:themeColor="text1"/>
        </w:rPr>
        <w:t>ing</w:t>
      </w:r>
      <w:r w:rsidR="009A0847">
        <w:rPr>
          <w:color w:val="000000" w:themeColor="text1"/>
        </w:rPr>
        <w:t xml:space="preserve"> </w:t>
      </w:r>
      <w:r w:rsidR="00B81781" w:rsidRPr="00D85A0A">
        <w:rPr>
          <w:color w:val="000000" w:themeColor="text1"/>
        </w:rPr>
        <w:t>DW</w:t>
      </w:r>
      <w:r w:rsidR="009A0847">
        <w:rPr>
          <w:color w:val="000000" w:themeColor="text1"/>
        </w:rPr>
        <w:t xml:space="preserve"> </w:t>
      </w:r>
      <w:r w:rsidR="00B81781" w:rsidRPr="00D85A0A">
        <w:rPr>
          <w:color w:val="000000" w:themeColor="text1"/>
        </w:rPr>
        <w:t>access</w:t>
      </w:r>
      <w:r w:rsidR="009A0847">
        <w:rPr>
          <w:color w:val="000000" w:themeColor="text1"/>
        </w:rPr>
        <w:t xml:space="preserve"> </w:t>
      </w:r>
      <w:r w:rsidR="00B81781" w:rsidRPr="00D85A0A">
        <w:rPr>
          <w:color w:val="000000" w:themeColor="text1"/>
        </w:rPr>
        <w:t>both</w:t>
      </w:r>
      <w:r w:rsidR="009A0847">
        <w:rPr>
          <w:color w:val="000000" w:themeColor="text1"/>
        </w:rPr>
        <w:t xml:space="preserve"> </w:t>
      </w:r>
      <w:r w:rsidR="00B81781" w:rsidRPr="00D85A0A">
        <w:rPr>
          <w:color w:val="000000" w:themeColor="text1"/>
        </w:rPr>
        <w:t>unremarkable</w:t>
      </w:r>
      <w:r w:rsidR="009A0847">
        <w:rPr>
          <w:color w:val="000000" w:themeColor="text1"/>
        </w:rPr>
        <w:t xml:space="preserve"> </w:t>
      </w:r>
      <w:r w:rsidR="00B81781" w:rsidRPr="00D85A0A">
        <w:rPr>
          <w:color w:val="000000" w:themeColor="text1"/>
        </w:rPr>
        <w:t>and</w:t>
      </w:r>
      <w:r w:rsidR="009A0847">
        <w:rPr>
          <w:color w:val="000000" w:themeColor="text1"/>
        </w:rPr>
        <w:t xml:space="preserve"> </w:t>
      </w:r>
      <w:r w:rsidR="00B81781" w:rsidRPr="00D85A0A">
        <w:rPr>
          <w:color w:val="000000" w:themeColor="text1"/>
        </w:rPr>
        <w:t>uninformative.</w:t>
      </w:r>
    </w:p>
    <w:p w14:paraId="26355143" w14:textId="5B7F3A5F" w:rsidR="008B4DE4" w:rsidRPr="00D85A0A" w:rsidRDefault="001431E5" w:rsidP="00F86E09">
      <w:pPr>
        <w:pStyle w:val="Olivier1"/>
        <w:widowControl w:val="0"/>
        <w:ind w:firstLine="270"/>
        <w:rPr>
          <w:color w:val="000000" w:themeColor="text1"/>
        </w:rPr>
      </w:pPr>
      <w:r w:rsidRPr="00D85A0A">
        <w:rPr>
          <w:color w:val="000000" w:themeColor="text1"/>
        </w:rPr>
        <w:t>An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econometric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analysis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provides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additional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insights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into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the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drivers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of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DW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stigma.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In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particular,</w:t>
      </w:r>
      <w:r w:rsidR="009A0847">
        <w:rPr>
          <w:color w:val="000000" w:themeColor="text1"/>
        </w:rPr>
        <w:t xml:space="preserve"> </w:t>
      </w:r>
      <w:r w:rsidR="004723B4" w:rsidRPr="00D85A0A">
        <w:rPr>
          <w:color w:val="000000" w:themeColor="text1"/>
        </w:rPr>
        <w:t>we</w:t>
      </w:r>
      <w:r w:rsidR="009A0847">
        <w:rPr>
          <w:color w:val="000000" w:themeColor="text1"/>
        </w:rPr>
        <w:t xml:space="preserve"> </w:t>
      </w:r>
      <w:r w:rsidR="004723B4" w:rsidRPr="00D85A0A">
        <w:rPr>
          <w:color w:val="000000" w:themeColor="text1"/>
        </w:rPr>
        <w:t>find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that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the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failure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to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coordinate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on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the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stigma-free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equilibrium</w:t>
      </w:r>
      <w:r w:rsidR="009A0847">
        <w:rPr>
          <w:color w:val="000000" w:themeColor="text1"/>
        </w:rPr>
        <w:t xml:space="preserve"> </w:t>
      </w:r>
      <w:r w:rsidR="00F06A8D" w:rsidRPr="00D85A0A">
        <w:rPr>
          <w:color w:val="000000" w:themeColor="text1"/>
        </w:rPr>
        <w:t>in</w:t>
      </w:r>
      <w:r w:rsidR="009A0847">
        <w:rPr>
          <w:color w:val="000000" w:themeColor="text1"/>
        </w:rPr>
        <w:t xml:space="preserve"> </w:t>
      </w:r>
      <w:r w:rsidR="00F06A8D" w:rsidRPr="00D85A0A">
        <w:rPr>
          <w:color w:val="000000" w:themeColor="text1"/>
        </w:rPr>
        <w:t>three</w:t>
      </w:r>
      <w:r w:rsidR="009A0847">
        <w:rPr>
          <w:color w:val="000000" w:themeColor="text1"/>
        </w:rPr>
        <w:t xml:space="preserve"> </w:t>
      </w:r>
      <w:r w:rsidR="00F06A8D" w:rsidRPr="00D85A0A">
        <w:rPr>
          <w:color w:val="000000" w:themeColor="text1"/>
        </w:rPr>
        <w:t>of</w:t>
      </w:r>
      <w:r w:rsidR="009A0847">
        <w:rPr>
          <w:color w:val="000000" w:themeColor="text1"/>
        </w:rPr>
        <w:t xml:space="preserve"> </w:t>
      </w:r>
      <w:r w:rsidR="00F06A8D" w:rsidRPr="00D85A0A">
        <w:rPr>
          <w:color w:val="000000" w:themeColor="text1"/>
        </w:rPr>
        <w:t>the</w:t>
      </w:r>
      <w:r w:rsidR="009A0847">
        <w:rPr>
          <w:color w:val="000000" w:themeColor="text1"/>
        </w:rPr>
        <w:t xml:space="preserve"> </w:t>
      </w:r>
      <w:r w:rsidR="00F06A8D" w:rsidRPr="00D85A0A">
        <w:rPr>
          <w:color w:val="000000" w:themeColor="text1"/>
        </w:rPr>
        <w:t>four</w:t>
      </w:r>
      <w:r w:rsidR="009A0847">
        <w:rPr>
          <w:color w:val="000000" w:themeColor="text1"/>
        </w:rPr>
        <w:t xml:space="preserve"> </w:t>
      </w:r>
      <w:r w:rsidR="00F06A8D" w:rsidRPr="00D85A0A">
        <w:rPr>
          <w:color w:val="000000" w:themeColor="text1"/>
        </w:rPr>
        <w:t>treatments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can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be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explained</w:t>
      </w:r>
      <w:r w:rsidR="009A0847">
        <w:rPr>
          <w:color w:val="000000" w:themeColor="text1"/>
        </w:rPr>
        <w:t xml:space="preserve"> </w:t>
      </w:r>
      <w:r w:rsidR="00F06A8D" w:rsidRPr="00D85A0A">
        <w:rPr>
          <w:color w:val="000000" w:themeColor="text1"/>
        </w:rPr>
        <w:t>to</w:t>
      </w:r>
      <w:r w:rsidR="009A0847">
        <w:rPr>
          <w:color w:val="000000" w:themeColor="text1"/>
        </w:rPr>
        <w:t xml:space="preserve"> </w:t>
      </w:r>
      <w:r w:rsidR="00F06A8D" w:rsidRPr="00D85A0A">
        <w:rPr>
          <w:color w:val="000000" w:themeColor="text1"/>
        </w:rPr>
        <w:t>a</w:t>
      </w:r>
      <w:r w:rsidR="009A0847">
        <w:rPr>
          <w:color w:val="000000" w:themeColor="text1"/>
        </w:rPr>
        <w:t xml:space="preserve"> </w:t>
      </w:r>
      <w:r w:rsidR="00F06A8D" w:rsidRPr="00D85A0A">
        <w:rPr>
          <w:color w:val="000000" w:themeColor="text1"/>
        </w:rPr>
        <w:t>large</w:t>
      </w:r>
      <w:r w:rsidR="009A0847">
        <w:rPr>
          <w:color w:val="000000" w:themeColor="text1"/>
        </w:rPr>
        <w:t xml:space="preserve"> </w:t>
      </w:r>
      <w:r w:rsidR="00F06A8D" w:rsidRPr="00D85A0A">
        <w:rPr>
          <w:color w:val="000000" w:themeColor="text1"/>
        </w:rPr>
        <w:t>extent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by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DW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detection</w:t>
      </w:r>
      <w:r w:rsidR="004723B4" w:rsidRPr="00D85A0A">
        <w:rPr>
          <w:color w:val="000000" w:themeColor="text1"/>
        </w:rPr>
        <w:t>.</w:t>
      </w:r>
      <w:r w:rsidR="009A0847">
        <w:rPr>
          <w:color w:val="000000" w:themeColor="text1"/>
        </w:rPr>
        <w:t xml:space="preserve"> </w:t>
      </w:r>
      <w:r w:rsidR="00523C23" w:rsidRPr="00D85A0A">
        <w:rPr>
          <w:color w:val="000000" w:themeColor="text1"/>
        </w:rPr>
        <w:t>That</w:t>
      </w:r>
      <w:r w:rsidR="009A0847">
        <w:rPr>
          <w:color w:val="000000" w:themeColor="text1"/>
        </w:rPr>
        <w:t xml:space="preserve"> </w:t>
      </w:r>
      <w:r w:rsidR="00523C23" w:rsidRPr="00D85A0A">
        <w:rPr>
          <w:color w:val="000000" w:themeColor="text1"/>
        </w:rPr>
        <w:t>is</w:t>
      </w:r>
      <w:r w:rsidR="00F06A8D" w:rsidRPr="00D85A0A">
        <w:rPr>
          <w:color w:val="000000" w:themeColor="text1"/>
        </w:rPr>
        <w:t>,</w:t>
      </w:r>
      <w:r w:rsidR="009A0847">
        <w:rPr>
          <w:color w:val="000000" w:themeColor="text1"/>
        </w:rPr>
        <w:t xml:space="preserve"> </w:t>
      </w:r>
      <w:r w:rsidR="00F06A8D" w:rsidRPr="00D85A0A">
        <w:rPr>
          <w:color w:val="000000" w:themeColor="text1"/>
        </w:rPr>
        <w:t>banks</w:t>
      </w:r>
      <w:r w:rsidR="009A0847">
        <w:rPr>
          <w:color w:val="000000" w:themeColor="text1"/>
        </w:rPr>
        <w:t xml:space="preserve"> </w:t>
      </w:r>
      <w:r w:rsidR="00302479" w:rsidRPr="00D85A0A">
        <w:rPr>
          <w:color w:val="000000" w:themeColor="text1"/>
        </w:rPr>
        <w:t>tend</w:t>
      </w:r>
      <w:r w:rsidR="009A0847">
        <w:rPr>
          <w:color w:val="000000" w:themeColor="text1"/>
        </w:rPr>
        <w:t xml:space="preserve"> </w:t>
      </w:r>
      <w:r w:rsidR="00302479" w:rsidRPr="00D85A0A">
        <w:rPr>
          <w:color w:val="000000" w:themeColor="text1"/>
        </w:rPr>
        <w:t>not</w:t>
      </w:r>
      <w:r w:rsidR="009A0847">
        <w:rPr>
          <w:color w:val="000000" w:themeColor="text1"/>
        </w:rPr>
        <w:t xml:space="preserve"> </w:t>
      </w:r>
      <w:r w:rsidR="00302479" w:rsidRPr="00D85A0A">
        <w:rPr>
          <w:color w:val="000000" w:themeColor="text1"/>
        </w:rPr>
        <w:t>to</w:t>
      </w:r>
      <w:r w:rsidR="009A0847">
        <w:rPr>
          <w:color w:val="000000" w:themeColor="text1"/>
        </w:rPr>
        <w:t xml:space="preserve"> </w:t>
      </w:r>
      <w:r w:rsidR="00302479" w:rsidRPr="00D85A0A">
        <w:rPr>
          <w:color w:val="000000" w:themeColor="text1"/>
        </w:rPr>
        <w:t>return</w:t>
      </w:r>
      <w:r w:rsidR="009A0847">
        <w:rPr>
          <w:color w:val="000000" w:themeColor="text1"/>
        </w:rPr>
        <w:t xml:space="preserve"> </w:t>
      </w:r>
      <w:r w:rsidR="00F06A8D" w:rsidRPr="00D85A0A">
        <w:rPr>
          <w:color w:val="000000" w:themeColor="text1"/>
        </w:rPr>
        <w:t>to</w:t>
      </w:r>
      <w:r w:rsidR="009A0847">
        <w:rPr>
          <w:color w:val="000000" w:themeColor="text1"/>
        </w:rPr>
        <w:t xml:space="preserve"> </w:t>
      </w:r>
      <w:r w:rsidR="00F06A8D" w:rsidRPr="00D85A0A">
        <w:rPr>
          <w:color w:val="000000" w:themeColor="text1"/>
        </w:rPr>
        <w:t>the</w:t>
      </w:r>
      <w:r w:rsidR="009A0847">
        <w:rPr>
          <w:color w:val="000000" w:themeColor="text1"/>
        </w:rPr>
        <w:t xml:space="preserve"> </w:t>
      </w:r>
      <w:r w:rsidR="00F06A8D" w:rsidRPr="00D85A0A">
        <w:rPr>
          <w:color w:val="000000" w:themeColor="text1"/>
        </w:rPr>
        <w:t>DW</w:t>
      </w:r>
      <w:r w:rsidR="009A0847">
        <w:rPr>
          <w:color w:val="000000" w:themeColor="text1"/>
        </w:rPr>
        <w:t xml:space="preserve"> </w:t>
      </w:r>
      <w:r w:rsidR="00F06A8D" w:rsidRPr="00D85A0A">
        <w:rPr>
          <w:color w:val="000000" w:themeColor="text1"/>
        </w:rPr>
        <w:t>after</w:t>
      </w:r>
      <w:r w:rsidR="009A0847">
        <w:rPr>
          <w:color w:val="000000" w:themeColor="text1"/>
        </w:rPr>
        <w:t xml:space="preserve"> </w:t>
      </w:r>
      <w:r w:rsidR="004723B4" w:rsidRPr="00D85A0A">
        <w:rPr>
          <w:color w:val="000000" w:themeColor="text1"/>
        </w:rPr>
        <w:t>being</w:t>
      </w:r>
      <w:r w:rsidR="009A0847">
        <w:rPr>
          <w:color w:val="000000" w:themeColor="text1"/>
        </w:rPr>
        <w:t xml:space="preserve"> </w:t>
      </w:r>
      <w:r w:rsidR="00F06A8D" w:rsidRPr="00D85A0A">
        <w:rPr>
          <w:color w:val="000000" w:themeColor="text1"/>
        </w:rPr>
        <w:t>detected.</w:t>
      </w:r>
      <w:r w:rsidR="009A0847">
        <w:rPr>
          <w:color w:val="000000" w:themeColor="text1"/>
        </w:rPr>
        <w:t xml:space="preserve"> </w:t>
      </w:r>
      <w:r w:rsidR="00F06A8D" w:rsidRPr="00D85A0A">
        <w:rPr>
          <w:color w:val="000000" w:themeColor="text1"/>
        </w:rPr>
        <w:t>Further,</w:t>
      </w:r>
      <w:r w:rsidR="009A0847">
        <w:rPr>
          <w:color w:val="000000" w:themeColor="text1"/>
        </w:rPr>
        <w:t xml:space="preserve"> </w:t>
      </w:r>
      <w:r w:rsidR="00F06A8D" w:rsidRPr="00D85A0A">
        <w:rPr>
          <w:color w:val="000000" w:themeColor="text1"/>
        </w:rPr>
        <w:t>the</w:t>
      </w:r>
      <w:r w:rsidR="009A0847">
        <w:rPr>
          <w:color w:val="000000" w:themeColor="text1"/>
        </w:rPr>
        <w:t xml:space="preserve"> </w:t>
      </w:r>
      <w:r w:rsidR="00F06A8D" w:rsidRPr="00D85A0A">
        <w:rPr>
          <w:color w:val="000000" w:themeColor="text1"/>
        </w:rPr>
        <w:t>estimation</w:t>
      </w:r>
      <w:r w:rsidR="009A0847">
        <w:rPr>
          <w:color w:val="000000" w:themeColor="text1"/>
        </w:rPr>
        <w:t xml:space="preserve"> </w:t>
      </w:r>
      <w:r w:rsidR="00F06A8D" w:rsidRPr="00D85A0A">
        <w:rPr>
          <w:color w:val="000000" w:themeColor="text1"/>
        </w:rPr>
        <w:t>results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show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that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random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borrowing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operates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through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two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complementary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channels.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First,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consistent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with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the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hypothesis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that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random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borrowing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make</w:t>
      </w:r>
      <w:r w:rsidR="00B32CE1" w:rsidRPr="00D85A0A">
        <w:rPr>
          <w:color w:val="000000" w:themeColor="text1"/>
        </w:rPr>
        <w:t>s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DW</w:t>
      </w:r>
      <w:r w:rsidR="009A0847">
        <w:rPr>
          <w:color w:val="000000" w:themeColor="text1"/>
        </w:rPr>
        <w:t xml:space="preserve"> </w:t>
      </w:r>
      <w:r w:rsidR="00B32CE1" w:rsidRPr="00D85A0A">
        <w:rPr>
          <w:color w:val="000000" w:themeColor="text1"/>
        </w:rPr>
        <w:t>ac</w:t>
      </w:r>
      <w:r w:rsidR="00AD3477" w:rsidRPr="00D85A0A">
        <w:rPr>
          <w:color w:val="000000" w:themeColor="text1"/>
        </w:rPr>
        <w:t>c</w:t>
      </w:r>
      <w:r w:rsidR="00B32CE1" w:rsidRPr="00D85A0A">
        <w:rPr>
          <w:color w:val="000000" w:themeColor="text1"/>
        </w:rPr>
        <w:t>ess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both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unremarkable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and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uninformative,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investors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are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more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likely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to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fund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banks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detected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at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the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DW</w:t>
      </w:r>
      <w:r w:rsidR="009A0847">
        <w:rPr>
          <w:color w:val="000000" w:themeColor="text1"/>
        </w:rPr>
        <w:t xml:space="preserve"> </w:t>
      </w:r>
      <w:r w:rsidR="004723B4" w:rsidRPr="00D85A0A">
        <w:rPr>
          <w:color w:val="000000" w:themeColor="text1"/>
        </w:rPr>
        <w:t>than</w:t>
      </w:r>
      <w:r w:rsidR="009A0847">
        <w:rPr>
          <w:color w:val="000000" w:themeColor="text1"/>
        </w:rPr>
        <w:t xml:space="preserve"> </w:t>
      </w:r>
      <w:r w:rsidR="004723B4" w:rsidRPr="00D85A0A">
        <w:rPr>
          <w:color w:val="000000" w:themeColor="text1"/>
        </w:rPr>
        <w:t>in</w:t>
      </w:r>
      <w:r w:rsidR="009A0847">
        <w:rPr>
          <w:color w:val="000000" w:themeColor="text1"/>
        </w:rPr>
        <w:t xml:space="preserve"> </w:t>
      </w:r>
      <w:r w:rsidR="004723B4" w:rsidRPr="00D85A0A">
        <w:rPr>
          <w:color w:val="000000" w:themeColor="text1"/>
        </w:rPr>
        <w:t>the</w:t>
      </w:r>
      <w:r w:rsidR="009A0847">
        <w:rPr>
          <w:color w:val="000000" w:themeColor="text1"/>
        </w:rPr>
        <w:t xml:space="preserve"> </w:t>
      </w:r>
      <w:r w:rsidR="004723B4" w:rsidRPr="00D85A0A">
        <w:rPr>
          <w:color w:val="000000" w:themeColor="text1"/>
        </w:rPr>
        <w:t>other</w:t>
      </w:r>
      <w:r w:rsidR="009A0847">
        <w:rPr>
          <w:color w:val="000000" w:themeColor="text1"/>
        </w:rPr>
        <w:t xml:space="preserve"> </w:t>
      </w:r>
      <w:r w:rsidR="004723B4" w:rsidRPr="00D85A0A">
        <w:rPr>
          <w:color w:val="000000" w:themeColor="text1"/>
        </w:rPr>
        <w:t>treatments</w:t>
      </w:r>
      <w:r w:rsidRPr="00D85A0A">
        <w:rPr>
          <w:color w:val="000000" w:themeColor="text1"/>
        </w:rPr>
        <w:t>.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Second,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banks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seem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to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learn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the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value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of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DW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borrowing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after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having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to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do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so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involuntarily</w:t>
      </w:r>
      <w:r w:rsidR="00AD0A20" w:rsidRPr="00D85A0A">
        <w:rPr>
          <w:color w:val="000000" w:themeColor="text1"/>
        </w:rPr>
        <w:t>.</w:t>
      </w:r>
      <w:r w:rsidR="009A0847">
        <w:rPr>
          <w:color w:val="000000" w:themeColor="text1"/>
        </w:rPr>
        <w:t xml:space="preserve"> </w:t>
      </w:r>
      <w:r w:rsidR="004723B4" w:rsidRPr="00D85A0A">
        <w:rPr>
          <w:color w:val="000000" w:themeColor="text1"/>
        </w:rPr>
        <w:t>That</w:t>
      </w:r>
      <w:r w:rsidR="009A0847">
        <w:rPr>
          <w:color w:val="000000" w:themeColor="text1"/>
        </w:rPr>
        <w:t xml:space="preserve"> </w:t>
      </w:r>
      <w:r w:rsidR="004723B4" w:rsidRPr="00D85A0A">
        <w:rPr>
          <w:color w:val="000000" w:themeColor="text1"/>
        </w:rPr>
        <w:t>is</w:t>
      </w:r>
      <w:r w:rsidRPr="00D85A0A">
        <w:rPr>
          <w:color w:val="000000" w:themeColor="text1"/>
        </w:rPr>
        <w:t>,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banks</w:t>
      </w:r>
      <w:r w:rsidR="009A0847">
        <w:rPr>
          <w:color w:val="000000" w:themeColor="text1"/>
        </w:rPr>
        <w:t xml:space="preserve"> </w:t>
      </w:r>
      <w:r w:rsidR="004723B4" w:rsidRPr="00D85A0A">
        <w:rPr>
          <w:color w:val="000000" w:themeColor="text1"/>
        </w:rPr>
        <w:t>tend</w:t>
      </w:r>
      <w:r w:rsidR="009A0847">
        <w:rPr>
          <w:color w:val="000000" w:themeColor="text1"/>
        </w:rPr>
        <w:t xml:space="preserve"> </w:t>
      </w:r>
      <w:r w:rsidR="004723B4" w:rsidRPr="00D85A0A">
        <w:rPr>
          <w:color w:val="000000" w:themeColor="text1"/>
        </w:rPr>
        <w:t>to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return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to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the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DW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voluntarily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after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being</w:t>
      </w:r>
      <w:r w:rsidR="009A0847">
        <w:rPr>
          <w:color w:val="000000" w:themeColor="text1"/>
        </w:rPr>
        <w:t xml:space="preserve"> </w:t>
      </w:r>
      <w:r w:rsidR="00AD0A20" w:rsidRPr="00D85A0A">
        <w:rPr>
          <w:color w:val="000000" w:themeColor="text1"/>
        </w:rPr>
        <w:t>randomly</w:t>
      </w:r>
      <w:r w:rsidR="009A0847">
        <w:rPr>
          <w:color w:val="000000" w:themeColor="text1"/>
        </w:rPr>
        <w:t xml:space="preserve"> </w:t>
      </w:r>
      <w:r w:rsidR="00AD0A20" w:rsidRPr="00D85A0A">
        <w:rPr>
          <w:color w:val="000000" w:themeColor="text1"/>
        </w:rPr>
        <w:t>selected</w:t>
      </w:r>
      <w:r w:rsidR="009A0847">
        <w:rPr>
          <w:color w:val="000000" w:themeColor="text1"/>
        </w:rPr>
        <w:t xml:space="preserve"> </w:t>
      </w:r>
      <w:r w:rsidR="00AD0A20" w:rsidRPr="00D85A0A">
        <w:rPr>
          <w:color w:val="000000" w:themeColor="text1"/>
        </w:rPr>
        <w:t>to</w:t>
      </w:r>
      <w:r w:rsidR="009A0847">
        <w:rPr>
          <w:color w:val="000000" w:themeColor="text1"/>
        </w:rPr>
        <w:t xml:space="preserve"> </w:t>
      </w:r>
      <w:r w:rsidR="00AD0A20" w:rsidRPr="00D85A0A">
        <w:rPr>
          <w:color w:val="000000" w:themeColor="text1"/>
        </w:rPr>
        <w:t>borrow</w:t>
      </w:r>
      <w:r w:rsidR="009A0847">
        <w:rPr>
          <w:color w:val="000000" w:themeColor="text1"/>
        </w:rPr>
        <w:t xml:space="preserve"> </w:t>
      </w:r>
      <w:r w:rsidR="00AD0A20" w:rsidRPr="00D85A0A">
        <w:rPr>
          <w:color w:val="000000" w:themeColor="text1"/>
        </w:rPr>
        <w:t>and</w:t>
      </w:r>
      <w:r w:rsidR="009A0847">
        <w:rPr>
          <w:color w:val="000000" w:themeColor="text1"/>
        </w:rPr>
        <w:t xml:space="preserve"> </w:t>
      </w:r>
      <w:r w:rsidR="00AD0A20" w:rsidRPr="00D85A0A">
        <w:rPr>
          <w:color w:val="000000" w:themeColor="text1"/>
        </w:rPr>
        <w:t>not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detected.</w:t>
      </w:r>
    </w:p>
    <w:p w14:paraId="23C3E4AC" w14:textId="507163A4" w:rsidR="00337381" w:rsidRPr="00D85A0A" w:rsidRDefault="00185402" w:rsidP="00F86E09">
      <w:pPr>
        <w:pStyle w:val="Olivier1"/>
        <w:widowControl w:val="0"/>
        <w:ind w:firstLine="270"/>
        <w:rPr>
          <w:color w:val="000000" w:themeColor="text1"/>
        </w:rPr>
      </w:pPr>
      <w:r>
        <w:rPr>
          <w:color w:val="000000" w:themeColor="text1"/>
        </w:rPr>
        <w:t>I</w:t>
      </w:r>
      <w:r w:rsidR="00337381" w:rsidRPr="00D85A0A">
        <w:rPr>
          <w:color w:val="000000" w:themeColor="text1"/>
        </w:rPr>
        <w:t>mplementing</w:t>
      </w:r>
      <w:r w:rsidR="009A0847">
        <w:rPr>
          <w:color w:val="000000" w:themeColor="text1"/>
        </w:rPr>
        <w:t xml:space="preserve"> </w:t>
      </w:r>
      <w:r w:rsidR="00337381" w:rsidRPr="00D85A0A">
        <w:rPr>
          <w:color w:val="000000" w:themeColor="text1"/>
        </w:rPr>
        <w:t>regular</w:t>
      </w:r>
      <w:r w:rsidR="009A0847">
        <w:rPr>
          <w:color w:val="000000" w:themeColor="text1"/>
        </w:rPr>
        <w:t xml:space="preserve"> </w:t>
      </w:r>
      <w:r w:rsidR="00337381" w:rsidRPr="00D85A0A">
        <w:rPr>
          <w:color w:val="000000" w:themeColor="text1"/>
        </w:rPr>
        <w:t>random</w:t>
      </w:r>
      <w:r w:rsidR="009A0847">
        <w:rPr>
          <w:color w:val="000000" w:themeColor="text1"/>
        </w:rPr>
        <w:t xml:space="preserve"> </w:t>
      </w:r>
      <w:r w:rsidR="00337381" w:rsidRPr="00D85A0A">
        <w:rPr>
          <w:color w:val="000000" w:themeColor="text1"/>
        </w:rPr>
        <w:t>DW</w:t>
      </w:r>
      <w:r w:rsidR="009A0847">
        <w:rPr>
          <w:color w:val="000000" w:themeColor="text1"/>
        </w:rPr>
        <w:t xml:space="preserve"> </w:t>
      </w:r>
      <w:r w:rsidR="00337381" w:rsidRPr="00D85A0A">
        <w:rPr>
          <w:color w:val="000000" w:themeColor="text1"/>
        </w:rPr>
        <w:t>borrowing</w:t>
      </w:r>
      <w:r w:rsidR="00027179">
        <w:rPr>
          <w:color w:val="000000" w:themeColor="text1"/>
        </w:rPr>
        <w:t xml:space="preserve"> </w:t>
      </w:r>
      <w:r w:rsidR="00337381" w:rsidRPr="00D85A0A">
        <w:rPr>
          <w:color w:val="000000" w:themeColor="text1"/>
        </w:rPr>
        <w:t>would</w:t>
      </w:r>
      <w:r w:rsidR="009A0847">
        <w:rPr>
          <w:color w:val="000000" w:themeColor="text1"/>
        </w:rPr>
        <w:t xml:space="preserve"> </w:t>
      </w:r>
      <w:r w:rsidR="00337381" w:rsidRPr="00D85A0A">
        <w:rPr>
          <w:color w:val="000000" w:themeColor="text1"/>
        </w:rPr>
        <w:t>raise</w:t>
      </w:r>
      <w:r w:rsidR="009A0847">
        <w:rPr>
          <w:color w:val="000000" w:themeColor="text1"/>
        </w:rPr>
        <w:t xml:space="preserve"> </w:t>
      </w:r>
      <w:r>
        <w:rPr>
          <w:color w:val="000000" w:themeColor="text1"/>
        </w:rPr>
        <w:t>several</w:t>
      </w:r>
      <w:r w:rsidR="009A0847">
        <w:rPr>
          <w:color w:val="000000" w:themeColor="text1"/>
        </w:rPr>
        <w:t xml:space="preserve"> </w:t>
      </w:r>
      <w:r w:rsidR="00337381" w:rsidRPr="00D85A0A">
        <w:rPr>
          <w:color w:val="000000" w:themeColor="text1"/>
        </w:rPr>
        <w:t>practical</w:t>
      </w:r>
      <w:r w:rsidR="009A0847">
        <w:rPr>
          <w:color w:val="000000" w:themeColor="text1"/>
        </w:rPr>
        <w:t xml:space="preserve"> </w:t>
      </w:r>
      <w:r w:rsidR="00027179">
        <w:rPr>
          <w:color w:val="000000" w:themeColor="text1"/>
        </w:rPr>
        <w:t>challenges, but none seems insurmountable</w:t>
      </w:r>
      <w:r w:rsidR="00337381" w:rsidRPr="00D85A0A">
        <w:rPr>
          <w:color w:val="000000" w:themeColor="text1"/>
        </w:rPr>
        <w:t>.</w:t>
      </w:r>
      <w:r w:rsidR="009A0847">
        <w:rPr>
          <w:color w:val="000000" w:themeColor="text1"/>
        </w:rPr>
        <w:t xml:space="preserve"> </w:t>
      </w:r>
      <w:r w:rsidR="00337381" w:rsidRPr="00D85A0A">
        <w:rPr>
          <w:color w:val="000000" w:themeColor="text1"/>
        </w:rPr>
        <w:t>In</w:t>
      </w:r>
      <w:r w:rsidR="009A0847">
        <w:rPr>
          <w:color w:val="000000" w:themeColor="text1"/>
        </w:rPr>
        <w:t xml:space="preserve"> </w:t>
      </w:r>
      <w:r w:rsidR="00337381" w:rsidRPr="00D85A0A">
        <w:rPr>
          <w:color w:val="000000" w:themeColor="text1"/>
        </w:rPr>
        <w:t>particular,</w:t>
      </w:r>
      <w:r w:rsidR="009A0847">
        <w:rPr>
          <w:color w:val="000000" w:themeColor="text1"/>
        </w:rPr>
        <w:t xml:space="preserve"> </w:t>
      </w:r>
      <w:r w:rsidR="00027179">
        <w:rPr>
          <w:color w:val="000000" w:themeColor="text1"/>
        </w:rPr>
        <w:t xml:space="preserve">although </w:t>
      </w:r>
      <w:r w:rsidR="00337381" w:rsidRPr="00D85A0A">
        <w:rPr>
          <w:color w:val="000000" w:themeColor="text1"/>
        </w:rPr>
        <w:t>the</w:t>
      </w:r>
      <w:r w:rsidR="009A0847">
        <w:rPr>
          <w:color w:val="000000" w:themeColor="text1"/>
        </w:rPr>
        <w:t xml:space="preserve"> </w:t>
      </w:r>
      <w:r w:rsidR="00337381" w:rsidRPr="00D85A0A">
        <w:rPr>
          <w:color w:val="000000" w:themeColor="text1"/>
        </w:rPr>
        <w:t>Fed</w:t>
      </w:r>
      <w:r w:rsidR="009A0847">
        <w:rPr>
          <w:color w:val="000000" w:themeColor="text1"/>
        </w:rPr>
        <w:t xml:space="preserve"> </w:t>
      </w:r>
      <w:r w:rsidR="00337381" w:rsidRPr="00D85A0A">
        <w:rPr>
          <w:color w:val="000000" w:themeColor="text1"/>
        </w:rPr>
        <w:t>cannot</w:t>
      </w:r>
      <w:r w:rsidR="009A0847">
        <w:rPr>
          <w:color w:val="000000" w:themeColor="text1"/>
        </w:rPr>
        <w:t xml:space="preserve"> </w:t>
      </w:r>
      <w:r w:rsidR="00337381" w:rsidRPr="00D85A0A">
        <w:rPr>
          <w:color w:val="000000" w:themeColor="text1"/>
        </w:rPr>
        <w:t>currently</w:t>
      </w:r>
      <w:r w:rsidR="009A0847">
        <w:rPr>
          <w:color w:val="000000" w:themeColor="text1"/>
        </w:rPr>
        <w:t xml:space="preserve"> </w:t>
      </w:r>
      <w:r w:rsidR="00337381" w:rsidRPr="00D85A0A">
        <w:rPr>
          <w:color w:val="000000" w:themeColor="text1"/>
        </w:rPr>
        <w:t>require</w:t>
      </w:r>
      <w:r w:rsidR="009A0847">
        <w:rPr>
          <w:color w:val="000000" w:themeColor="text1"/>
        </w:rPr>
        <w:t xml:space="preserve"> </w:t>
      </w:r>
      <w:r w:rsidR="00337381" w:rsidRPr="00D85A0A">
        <w:rPr>
          <w:color w:val="000000" w:themeColor="text1"/>
        </w:rPr>
        <w:t>banks</w:t>
      </w:r>
      <w:r w:rsidR="009A0847">
        <w:rPr>
          <w:color w:val="000000" w:themeColor="text1"/>
        </w:rPr>
        <w:t xml:space="preserve"> </w:t>
      </w:r>
      <w:r w:rsidR="00337381" w:rsidRPr="00D85A0A">
        <w:rPr>
          <w:color w:val="000000" w:themeColor="text1"/>
        </w:rPr>
        <w:t>to</w:t>
      </w:r>
      <w:r w:rsidR="009A0847">
        <w:rPr>
          <w:color w:val="000000" w:themeColor="text1"/>
        </w:rPr>
        <w:t xml:space="preserve"> </w:t>
      </w:r>
      <w:r w:rsidR="00337381" w:rsidRPr="00D85A0A">
        <w:rPr>
          <w:color w:val="000000" w:themeColor="text1"/>
        </w:rPr>
        <w:t>access</w:t>
      </w:r>
      <w:r w:rsidR="009A0847">
        <w:rPr>
          <w:color w:val="000000" w:themeColor="text1"/>
        </w:rPr>
        <w:t xml:space="preserve"> </w:t>
      </w:r>
      <w:r w:rsidR="00337381" w:rsidRPr="00D85A0A">
        <w:rPr>
          <w:color w:val="000000" w:themeColor="text1"/>
        </w:rPr>
        <w:t>the</w:t>
      </w:r>
      <w:r w:rsidR="009A0847">
        <w:rPr>
          <w:color w:val="000000" w:themeColor="text1"/>
        </w:rPr>
        <w:t xml:space="preserve"> </w:t>
      </w:r>
      <w:r w:rsidR="00027179">
        <w:rPr>
          <w:color w:val="000000" w:themeColor="text1"/>
        </w:rPr>
        <w:lastRenderedPageBreak/>
        <w:t xml:space="preserve">DW, it could do so </w:t>
      </w:r>
      <w:r w:rsidR="00337381" w:rsidRPr="00D85A0A">
        <w:rPr>
          <w:color w:val="000000" w:themeColor="text1"/>
        </w:rPr>
        <w:t>by</w:t>
      </w:r>
      <w:r w:rsidR="009A0847">
        <w:rPr>
          <w:color w:val="000000" w:themeColor="text1"/>
        </w:rPr>
        <w:t xml:space="preserve"> </w:t>
      </w:r>
      <w:r w:rsidR="00337381" w:rsidRPr="00D85A0A">
        <w:rPr>
          <w:color w:val="000000" w:themeColor="text1"/>
        </w:rPr>
        <w:t>revising</w:t>
      </w:r>
      <w:r w:rsidR="009A0847">
        <w:rPr>
          <w:color w:val="000000" w:themeColor="text1"/>
        </w:rPr>
        <w:t xml:space="preserve"> </w:t>
      </w:r>
      <w:r w:rsidR="00027179">
        <w:rPr>
          <w:color w:val="000000" w:themeColor="text1"/>
        </w:rPr>
        <w:t>its</w:t>
      </w:r>
      <w:r w:rsidR="009A0847">
        <w:rPr>
          <w:color w:val="000000" w:themeColor="text1"/>
        </w:rPr>
        <w:t xml:space="preserve"> </w:t>
      </w:r>
      <w:r w:rsidR="00337381" w:rsidRPr="00D85A0A">
        <w:rPr>
          <w:color w:val="000000" w:themeColor="text1"/>
        </w:rPr>
        <w:t>DW</w:t>
      </w:r>
      <w:r w:rsidR="009A0847">
        <w:rPr>
          <w:color w:val="000000" w:themeColor="text1"/>
        </w:rPr>
        <w:t xml:space="preserve"> </w:t>
      </w:r>
      <w:r w:rsidR="00337381" w:rsidRPr="00D85A0A">
        <w:rPr>
          <w:color w:val="000000" w:themeColor="text1"/>
        </w:rPr>
        <w:t>eligibility</w:t>
      </w:r>
      <w:r w:rsidR="009A0847">
        <w:rPr>
          <w:color w:val="000000" w:themeColor="text1"/>
        </w:rPr>
        <w:t xml:space="preserve"> </w:t>
      </w:r>
      <w:r w:rsidR="00337381" w:rsidRPr="00D85A0A">
        <w:rPr>
          <w:color w:val="000000" w:themeColor="text1"/>
        </w:rPr>
        <w:t>rules</w:t>
      </w:r>
      <w:r w:rsidR="00027179">
        <w:rPr>
          <w:color w:val="000000" w:themeColor="text1"/>
        </w:rPr>
        <w:t>: T</w:t>
      </w:r>
      <w:r w:rsidR="00027179" w:rsidRPr="00D85A0A">
        <w:rPr>
          <w:color w:val="000000" w:themeColor="text1"/>
        </w:rPr>
        <w:t>o</w:t>
      </w:r>
      <w:r w:rsidR="00027179">
        <w:rPr>
          <w:color w:val="000000" w:themeColor="text1"/>
        </w:rPr>
        <w:t xml:space="preserve"> have the ability </w:t>
      </w:r>
      <w:r w:rsidR="00027179" w:rsidRPr="00D85A0A">
        <w:rPr>
          <w:color w:val="000000" w:themeColor="text1"/>
        </w:rPr>
        <w:t>to</w:t>
      </w:r>
      <w:r w:rsidR="00027179">
        <w:rPr>
          <w:color w:val="000000" w:themeColor="text1"/>
        </w:rPr>
        <w:t xml:space="preserve"> </w:t>
      </w:r>
      <w:r w:rsidR="00027179" w:rsidRPr="00D85A0A">
        <w:rPr>
          <w:color w:val="000000" w:themeColor="text1"/>
        </w:rPr>
        <w:t>access</w:t>
      </w:r>
      <w:r w:rsidR="00027179">
        <w:rPr>
          <w:color w:val="000000" w:themeColor="text1"/>
        </w:rPr>
        <w:t xml:space="preserve"> </w:t>
      </w:r>
      <w:r w:rsidR="00027179" w:rsidRPr="00D85A0A">
        <w:rPr>
          <w:color w:val="000000" w:themeColor="text1"/>
        </w:rPr>
        <w:t>the</w:t>
      </w:r>
      <w:r w:rsidR="00027179">
        <w:rPr>
          <w:color w:val="000000" w:themeColor="text1"/>
        </w:rPr>
        <w:t xml:space="preserve"> </w:t>
      </w:r>
      <w:r w:rsidR="00027179" w:rsidRPr="00D85A0A">
        <w:rPr>
          <w:color w:val="000000" w:themeColor="text1"/>
        </w:rPr>
        <w:t>DW</w:t>
      </w:r>
      <w:r w:rsidR="00027179">
        <w:rPr>
          <w:color w:val="000000" w:themeColor="text1"/>
        </w:rPr>
        <w:t xml:space="preserve"> </w:t>
      </w:r>
      <w:r>
        <w:rPr>
          <w:color w:val="000000" w:themeColor="text1"/>
        </w:rPr>
        <w:t>when</w:t>
      </w:r>
      <w:r w:rsidR="00027179">
        <w:rPr>
          <w:color w:val="000000" w:themeColor="text1"/>
        </w:rPr>
        <w:t xml:space="preserve"> </w:t>
      </w:r>
      <w:r w:rsidR="00027179" w:rsidRPr="00D85A0A">
        <w:rPr>
          <w:color w:val="000000" w:themeColor="text1"/>
        </w:rPr>
        <w:t>liquidity</w:t>
      </w:r>
      <w:r w:rsidR="00027179">
        <w:rPr>
          <w:color w:val="000000" w:themeColor="text1"/>
        </w:rPr>
        <w:t xml:space="preserve"> </w:t>
      </w:r>
      <w:r w:rsidR="00027179" w:rsidRPr="00D85A0A">
        <w:rPr>
          <w:color w:val="000000" w:themeColor="text1"/>
        </w:rPr>
        <w:t>support</w:t>
      </w:r>
      <w:r w:rsidR="00027179">
        <w:rPr>
          <w:color w:val="000000" w:themeColor="text1"/>
        </w:rPr>
        <w:t xml:space="preserve"> </w:t>
      </w:r>
      <w:r>
        <w:rPr>
          <w:color w:val="000000" w:themeColor="text1"/>
        </w:rPr>
        <w:t>is</w:t>
      </w:r>
      <w:r w:rsidR="00027179">
        <w:rPr>
          <w:color w:val="000000" w:themeColor="text1"/>
        </w:rPr>
        <w:t xml:space="preserve"> needed, b</w:t>
      </w:r>
      <w:r w:rsidR="00337381" w:rsidRPr="00D85A0A">
        <w:rPr>
          <w:color w:val="000000" w:themeColor="text1"/>
        </w:rPr>
        <w:t>anks</w:t>
      </w:r>
      <w:r w:rsidR="009A0847">
        <w:rPr>
          <w:color w:val="000000" w:themeColor="text1"/>
        </w:rPr>
        <w:t xml:space="preserve"> </w:t>
      </w:r>
      <w:r w:rsidR="00027179">
        <w:rPr>
          <w:color w:val="000000" w:themeColor="text1"/>
        </w:rPr>
        <w:t xml:space="preserve">would have </w:t>
      </w:r>
      <w:r w:rsidR="00337381" w:rsidRPr="00D85A0A">
        <w:rPr>
          <w:color w:val="000000" w:themeColor="text1"/>
        </w:rPr>
        <w:t>to</w:t>
      </w:r>
      <w:r w:rsidR="009A0847">
        <w:rPr>
          <w:color w:val="000000" w:themeColor="text1"/>
        </w:rPr>
        <w:t xml:space="preserve"> </w:t>
      </w:r>
      <w:r w:rsidR="00337381" w:rsidRPr="00D85A0A">
        <w:rPr>
          <w:color w:val="000000" w:themeColor="text1"/>
        </w:rPr>
        <w:t>commit</w:t>
      </w:r>
      <w:r w:rsidR="009A0847">
        <w:rPr>
          <w:color w:val="000000" w:themeColor="text1"/>
        </w:rPr>
        <w:t xml:space="preserve"> </w:t>
      </w:r>
      <w:r w:rsidR="00337381" w:rsidRPr="00D85A0A">
        <w:rPr>
          <w:color w:val="000000" w:themeColor="text1"/>
        </w:rPr>
        <w:t>to</w:t>
      </w:r>
      <w:r w:rsidR="009A0847">
        <w:rPr>
          <w:color w:val="000000" w:themeColor="text1"/>
        </w:rPr>
        <w:t xml:space="preserve"> </w:t>
      </w:r>
      <w:r w:rsidR="00337381" w:rsidRPr="00D85A0A">
        <w:rPr>
          <w:color w:val="000000" w:themeColor="text1"/>
        </w:rPr>
        <w:t>regular</w:t>
      </w:r>
      <w:r w:rsidR="009A0847">
        <w:rPr>
          <w:color w:val="000000" w:themeColor="text1"/>
        </w:rPr>
        <w:t xml:space="preserve"> </w:t>
      </w:r>
      <w:r w:rsidR="00337381" w:rsidRPr="00D85A0A">
        <w:rPr>
          <w:color w:val="000000" w:themeColor="text1"/>
        </w:rPr>
        <w:t>borrowing.</w:t>
      </w:r>
      <w:r w:rsidR="00337381" w:rsidRPr="00D85A0A">
        <w:rPr>
          <w:rStyle w:val="FootnoteReference"/>
          <w:color w:val="000000" w:themeColor="text1"/>
        </w:rPr>
        <w:footnoteReference w:id="31"/>
      </w:r>
      <w:r w:rsidR="009A0847">
        <w:rPr>
          <w:color w:val="000000" w:themeColor="text1"/>
        </w:rPr>
        <w:t xml:space="preserve"> </w:t>
      </w:r>
      <w:r w:rsidR="0036020F">
        <w:rPr>
          <w:color w:val="000000" w:themeColor="text1"/>
        </w:rPr>
        <w:t>Note also that t</w:t>
      </w:r>
      <w:r w:rsidR="00337381" w:rsidRPr="00D85A0A">
        <w:rPr>
          <w:color w:val="000000" w:themeColor="text1"/>
        </w:rPr>
        <w:t>he</w:t>
      </w:r>
      <w:r w:rsidR="009A0847">
        <w:rPr>
          <w:color w:val="000000" w:themeColor="text1"/>
        </w:rPr>
        <w:t xml:space="preserve"> </w:t>
      </w:r>
      <w:r w:rsidR="00337381" w:rsidRPr="00D85A0A">
        <w:rPr>
          <w:color w:val="000000" w:themeColor="text1"/>
        </w:rPr>
        <w:t>cost</w:t>
      </w:r>
      <w:r w:rsidR="009A0847">
        <w:rPr>
          <w:color w:val="000000" w:themeColor="text1"/>
        </w:rPr>
        <w:t xml:space="preserve"> </w:t>
      </w:r>
      <w:r w:rsidR="00337381" w:rsidRPr="00D85A0A">
        <w:rPr>
          <w:color w:val="000000" w:themeColor="text1"/>
        </w:rPr>
        <w:t>of</w:t>
      </w:r>
      <w:r w:rsidR="0036020F">
        <w:rPr>
          <w:color w:val="000000" w:themeColor="text1"/>
        </w:rPr>
        <w:t xml:space="preserve"> regular DW borrowing</w:t>
      </w:r>
      <w:r w:rsidR="009A0847">
        <w:rPr>
          <w:color w:val="000000" w:themeColor="text1"/>
        </w:rPr>
        <w:t xml:space="preserve"> </w:t>
      </w:r>
      <w:r w:rsidR="00337381" w:rsidRPr="00D85A0A">
        <w:rPr>
          <w:color w:val="000000" w:themeColor="text1"/>
        </w:rPr>
        <w:t>would</w:t>
      </w:r>
      <w:r w:rsidR="009A0847">
        <w:rPr>
          <w:color w:val="000000" w:themeColor="text1"/>
        </w:rPr>
        <w:t xml:space="preserve"> </w:t>
      </w:r>
      <w:r w:rsidR="00337381" w:rsidRPr="00D85A0A">
        <w:rPr>
          <w:color w:val="000000" w:themeColor="text1"/>
        </w:rPr>
        <w:t>be</w:t>
      </w:r>
      <w:r w:rsidR="009A0847">
        <w:rPr>
          <w:color w:val="000000" w:themeColor="text1"/>
        </w:rPr>
        <w:t xml:space="preserve"> </w:t>
      </w:r>
      <w:r w:rsidR="00337381" w:rsidRPr="00D85A0A">
        <w:rPr>
          <w:color w:val="000000" w:themeColor="text1"/>
        </w:rPr>
        <w:t>relatively</w:t>
      </w:r>
      <w:r w:rsidR="009A0847">
        <w:rPr>
          <w:color w:val="000000" w:themeColor="text1"/>
        </w:rPr>
        <w:t xml:space="preserve"> </w:t>
      </w:r>
      <w:r w:rsidR="00337381" w:rsidRPr="00D85A0A">
        <w:rPr>
          <w:color w:val="000000" w:themeColor="text1"/>
        </w:rPr>
        <w:t>modest</w:t>
      </w:r>
      <w:r w:rsidR="0036020F">
        <w:rPr>
          <w:color w:val="000000" w:themeColor="text1"/>
        </w:rPr>
        <w:t xml:space="preserve"> for banks</w:t>
      </w:r>
      <w:r w:rsidR="00337381" w:rsidRPr="00D85A0A">
        <w:rPr>
          <w:color w:val="000000" w:themeColor="text1"/>
        </w:rPr>
        <w:t>.</w:t>
      </w:r>
      <w:r w:rsidR="009A0847">
        <w:rPr>
          <w:color w:val="000000" w:themeColor="text1"/>
        </w:rPr>
        <w:t xml:space="preserve"> </w:t>
      </w:r>
      <w:r w:rsidR="00337381" w:rsidRPr="00D85A0A">
        <w:rPr>
          <w:color w:val="000000" w:themeColor="text1"/>
        </w:rPr>
        <w:t>In</w:t>
      </w:r>
      <w:r w:rsidR="009A0847">
        <w:rPr>
          <w:color w:val="000000" w:themeColor="text1"/>
        </w:rPr>
        <w:t xml:space="preserve"> </w:t>
      </w:r>
      <w:r w:rsidR="00337381" w:rsidRPr="00D85A0A">
        <w:rPr>
          <w:color w:val="000000" w:themeColor="text1"/>
        </w:rPr>
        <w:t>particular,</w:t>
      </w:r>
      <w:r w:rsidR="009A0847">
        <w:rPr>
          <w:color w:val="000000" w:themeColor="text1"/>
        </w:rPr>
        <w:t xml:space="preserve"> </w:t>
      </w:r>
      <w:r w:rsidR="00667D08">
        <w:rPr>
          <w:color w:val="000000" w:themeColor="text1"/>
        </w:rPr>
        <w:t>observe</w:t>
      </w:r>
      <w:r w:rsidR="009A0847">
        <w:rPr>
          <w:color w:val="000000" w:themeColor="text1"/>
        </w:rPr>
        <w:t xml:space="preserve"> </w:t>
      </w:r>
      <w:r w:rsidR="00337381" w:rsidRPr="00D85A0A">
        <w:rPr>
          <w:color w:val="000000" w:themeColor="text1"/>
        </w:rPr>
        <w:t>that</w:t>
      </w:r>
      <w:r w:rsidR="009A0847">
        <w:rPr>
          <w:color w:val="000000" w:themeColor="text1"/>
        </w:rPr>
        <w:t xml:space="preserve"> </w:t>
      </w:r>
      <w:r w:rsidR="00337381" w:rsidRPr="00D85A0A">
        <w:rPr>
          <w:color w:val="000000" w:themeColor="text1"/>
        </w:rPr>
        <w:t>the</w:t>
      </w:r>
      <w:r w:rsidR="009A0847">
        <w:rPr>
          <w:color w:val="000000" w:themeColor="text1"/>
        </w:rPr>
        <w:t xml:space="preserve"> </w:t>
      </w:r>
      <w:r w:rsidR="00337381" w:rsidRPr="00D85A0A">
        <w:rPr>
          <w:color w:val="000000" w:themeColor="text1"/>
        </w:rPr>
        <w:t>opportunity</w:t>
      </w:r>
      <w:r w:rsidR="009A0847">
        <w:rPr>
          <w:color w:val="000000" w:themeColor="text1"/>
        </w:rPr>
        <w:t xml:space="preserve"> </w:t>
      </w:r>
      <w:r w:rsidR="00337381" w:rsidRPr="00D85A0A">
        <w:rPr>
          <w:color w:val="000000" w:themeColor="text1"/>
        </w:rPr>
        <w:t>cost</w:t>
      </w:r>
      <w:r w:rsidR="009A0847">
        <w:rPr>
          <w:color w:val="000000" w:themeColor="text1"/>
        </w:rPr>
        <w:t xml:space="preserve"> </w:t>
      </w:r>
      <w:r w:rsidR="00337381" w:rsidRPr="00D85A0A">
        <w:rPr>
          <w:color w:val="000000" w:themeColor="text1"/>
        </w:rPr>
        <w:t>of</w:t>
      </w:r>
      <w:r w:rsidR="009A0847">
        <w:rPr>
          <w:color w:val="000000" w:themeColor="text1"/>
        </w:rPr>
        <w:t xml:space="preserve"> </w:t>
      </w:r>
      <w:r w:rsidR="00337381" w:rsidRPr="00D85A0A">
        <w:rPr>
          <w:color w:val="000000" w:themeColor="text1"/>
        </w:rPr>
        <w:t>a</w:t>
      </w:r>
      <w:r w:rsidR="009A0847">
        <w:rPr>
          <w:color w:val="000000" w:themeColor="text1"/>
        </w:rPr>
        <w:t xml:space="preserve"> </w:t>
      </w:r>
      <w:r w:rsidR="00337381" w:rsidRPr="00D85A0A">
        <w:rPr>
          <w:color w:val="000000" w:themeColor="text1"/>
        </w:rPr>
        <w:t>$100</w:t>
      </w:r>
      <w:r w:rsidR="009A0847">
        <w:rPr>
          <w:color w:val="000000" w:themeColor="text1"/>
        </w:rPr>
        <w:t xml:space="preserve"> </w:t>
      </w:r>
      <w:r w:rsidR="00337381" w:rsidRPr="00D85A0A">
        <w:rPr>
          <w:color w:val="000000" w:themeColor="text1"/>
        </w:rPr>
        <w:t>million</w:t>
      </w:r>
      <w:r w:rsidR="009A0847">
        <w:rPr>
          <w:color w:val="000000" w:themeColor="text1"/>
        </w:rPr>
        <w:t xml:space="preserve"> </w:t>
      </w:r>
      <w:r w:rsidR="00337381" w:rsidRPr="00D85A0A">
        <w:rPr>
          <w:color w:val="000000" w:themeColor="text1"/>
        </w:rPr>
        <w:t>overnight</w:t>
      </w:r>
      <w:r w:rsidR="009A0847">
        <w:rPr>
          <w:color w:val="000000" w:themeColor="text1"/>
        </w:rPr>
        <w:t xml:space="preserve"> </w:t>
      </w:r>
      <w:r w:rsidR="00337381" w:rsidRPr="00D85A0A">
        <w:rPr>
          <w:color w:val="000000" w:themeColor="text1"/>
        </w:rPr>
        <w:t>DW</w:t>
      </w:r>
      <w:r w:rsidR="009A0847">
        <w:rPr>
          <w:color w:val="000000" w:themeColor="text1"/>
        </w:rPr>
        <w:t xml:space="preserve"> </w:t>
      </w:r>
      <w:r w:rsidR="00337381" w:rsidRPr="00D85A0A">
        <w:rPr>
          <w:color w:val="000000" w:themeColor="text1"/>
        </w:rPr>
        <w:t>loan</w:t>
      </w:r>
      <w:r w:rsidR="009A0847">
        <w:rPr>
          <w:color w:val="000000" w:themeColor="text1"/>
        </w:rPr>
        <w:t xml:space="preserve"> </w:t>
      </w:r>
      <w:r w:rsidR="00337381" w:rsidRPr="00D85A0A">
        <w:rPr>
          <w:color w:val="000000" w:themeColor="text1"/>
        </w:rPr>
        <w:t>(a</w:t>
      </w:r>
      <w:r w:rsidR="009A0847">
        <w:rPr>
          <w:color w:val="000000" w:themeColor="text1"/>
        </w:rPr>
        <w:t xml:space="preserve"> </w:t>
      </w:r>
      <w:r w:rsidR="00337381" w:rsidRPr="00D85A0A">
        <w:rPr>
          <w:color w:val="000000" w:themeColor="text1"/>
        </w:rPr>
        <w:t>large</w:t>
      </w:r>
      <w:r w:rsidR="009A0847">
        <w:rPr>
          <w:color w:val="000000" w:themeColor="text1"/>
        </w:rPr>
        <w:t xml:space="preserve"> </w:t>
      </w:r>
      <w:r w:rsidR="00337381" w:rsidRPr="00D85A0A">
        <w:rPr>
          <w:color w:val="000000" w:themeColor="text1"/>
        </w:rPr>
        <w:t>loan</w:t>
      </w:r>
      <w:r w:rsidR="009A0847">
        <w:rPr>
          <w:color w:val="000000" w:themeColor="text1"/>
        </w:rPr>
        <w:t xml:space="preserve"> </w:t>
      </w:r>
      <w:r w:rsidR="00337381" w:rsidRPr="00D85A0A">
        <w:rPr>
          <w:color w:val="000000" w:themeColor="text1"/>
        </w:rPr>
        <w:t>by</w:t>
      </w:r>
      <w:r w:rsidR="009A0847">
        <w:rPr>
          <w:color w:val="000000" w:themeColor="text1"/>
        </w:rPr>
        <w:t xml:space="preserve"> </w:t>
      </w:r>
      <w:r w:rsidR="00337381" w:rsidRPr="00D85A0A">
        <w:rPr>
          <w:color w:val="000000" w:themeColor="text1"/>
        </w:rPr>
        <w:t>historical</w:t>
      </w:r>
      <w:r w:rsidR="009A0847">
        <w:rPr>
          <w:color w:val="000000" w:themeColor="text1"/>
        </w:rPr>
        <w:t xml:space="preserve"> </w:t>
      </w:r>
      <w:r w:rsidR="00337381" w:rsidRPr="00D85A0A">
        <w:rPr>
          <w:color w:val="000000" w:themeColor="text1"/>
        </w:rPr>
        <w:t>standards)</w:t>
      </w:r>
      <w:r w:rsidR="009A0847">
        <w:rPr>
          <w:color w:val="000000" w:themeColor="text1"/>
        </w:rPr>
        <w:t xml:space="preserve"> </w:t>
      </w:r>
      <w:r w:rsidR="00337381" w:rsidRPr="00D85A0A">
        <w:rPr>
          <w:color w:val="000000" w:themeColor="text1"/>
        </w:rPr>
        <w:t>at</w:t>
      </w:r>
      <w:r w:rsidR="009A0847">
        <w:rPr>
          <w:color w:val="000000" w:themeColor="text1"/>
        </w:rPr>
        <w:t xml:space="preserve"> </w:t>
      </w:r>
      <w:r w:rsidR="00337381" w:rsidRPr="00D85A0A">
        <w:rPr>
          <w:color w:val="000000" w:themeColor="text1"/>
        </w:rPr>
        <w:t>a</w:t>
      </w:r>
      <w:r w:rsidR="009A0847">
        <w:rPr>
          <w:color w:val="000000" w:themeColor="text1"/>
        </w:rPr>
        <w:t xml:space="preserve"> </w:t>
      </w:r>
      <w:r w:rsidR="00337381" w:rsidRPr="00D85A0A">
        <w:rPr>
          <w:color w:val="000000" w:themeColor="text1"/>
        </w:rPr>
        <w:t>50</w:t>
      </w:r>
      <w:r w:rsidR="009A0847">
        <w:rPr>
          <w:color w:val="000000" w:themeColor="text1"/>
        </w:rPr>
        <w:t xml:space="preserve"> </w:t>
      </w:r>
      <w:r w:rsidR="00337381" w:rsidRPr="00D85A0A">
        <w:rPr>
          <w:color w:val="000000" w:themeColor="text1"/>
        </w:rPr>
        <w:t>basis</w:t>
      </w:r>
      <w:r w:rsidR="009A0847">
        <w:rPr>
          <w:color w:val="000000" w:themeColor="text1"/>
        </w:rPr>
        <w:t xml:space="preserve"> </w:t>
      </w:r>
      <w:r w:rsidR="00337381" w:rsidRPr="00D85A0A">
        <w:rPr>
          <w:color w:val="000000" w:themeColor="text1"/>
        </w:rPr>
        <w:t>points</w:t>
      </w:r>
      <w:r w:rsidR="009A0847">
        <w:rPr>
          <w:color w:val="000000" w:themeColor="text1"/>
        </w:rPr>
        <w:t xml:space="preserve"> </w:t>
      </w:r>
      <w:r w:rsidR="00337381" w:rsidRPr="00D85A0A">
        <w:rPr>
          <w:color w:val="000000" w:themeColor="text1"/>
        </w:rPr>
        <w:t>spread</w:t>
      </w:r>
      <w:r w:rsidR="009A0847">
        <w:rPr>
          <w:color w:val="000000" w:themeColor="text1"/>
        </w:rPr>
        <w:t xml:space="preserve"> </w:t>
      </w:r>
      <w:r w:rsidR="00337381" w:rsidRPr="00D85A0A">
        <w:rPr>
          <w:color w:val="000000" w:themeColor="text1"/>
        </w:rPr>
        <w:t>is</w:t>
      </w:r>
      <w:r w:rsidR="009A0847">
        <w:rPr>
          <w:color w:val="000000" w:themeColor="text1"/>
        </w:rPr>
        <w:t xml:space="preserve"> </w:t>
      </w:r>
      <w:r w:rsidR="00337381" w:rsidRPr="00D85A0A">
        <w:rPr>
          <w:color w:val="000000" w:themeColor="text1"/>
        </w:rPr>
        <w:t>around</w:t>
      </w:r>
      <w:r w:rsidR="009A0847">
        <w:rPr>
          <w:color w:val="000000" w:themeColor="text1"/>
        </w:rPr>
        <w:t xml:space="preserve"> </w:t>
      </w:r>
      <w:r w:rsidR="00337381" w:rsidRPr="00D85A0A">
        <w:rPr>
          <w:color w:val="000000" w:themeColor="text1"/>
        </w:rPr>
        <w:t>a</w:t>
      </w:r>
      <w:r w:rsidR="009A0847">
        <w:rPr>
          <w:color w:val="000000" w:themeColor="text1"/>
        </w:rPr>
        <w:t xml:space="preserve"> </w:t>
      </w:r>
      <w:r w:rsidR="00337381" w:rsidRPr="00D85A0A">
        <w:rPr>
          <w:color w:val="000000" w:themeColor="text1"/>
        </w:rPr>
        <w:t>$1,000.</w:t>
      </w:r>
      <w:r w:rsidR="00337381" w:rsidRPr="00D85A0A">
        <w:rPr>
          <w:rStyle w:val="FootnoteReference"/>
          <w:color w:val="000000" w:themeColor="text1"/>
        </w:rPr>
        <w:footnoteReference w:id="32"/>
      </w:r>
      <w:r w:rsidR="009A0847">
        <w:rPr>
          <w:color w:val="000000" w:themeColor="text1"/>
        </w:rPr>
        <w:t xml:space="preserve"> </w:t>
      </w:r>
      <w:r w:rsidR="00337381" w:rsidRPr="00D85A0A">
        <w:rPr>
          <w:color w:val="000000" w:themeColor="text1"/>
        </w:rPr>
        <w:t>It</w:t>
      </w:r>
      <w:r w:rsidR="009A0847">
        <w:rPr>
          <w:color w:val="000000" w:themeColor="text1"/>
        </w:rPr>
        <w:t xml:space="preserve"> </w:t>
      </w:r>
      <w:r w:rsidR="00337381" w:rsidRPr="00D85A0A">
        <w:rPr>
          <w:color w:val="000000" w:themeColor="text1"/>
        </w:rPr>
        <w:t>should</w:t>
      </w:r>
      <w:r w:rsidR="009A0847">
        <w:rPr>
          <w:color w:val="000000" w:themeColor="text1"/>
        </w:rPr>
        <w:t xml:space="preserve"> </w:t>
      </w:r>
      <w:r w:rsidR="00337381" w:rsidRPr="00D85A0A">
        <w:rPr>
          <w:color w:val="000000" w:themeColor="text1"/>
        </w:rPr>
        <w:t>also</w:t>
      </w:r>
      <w:r w:rsidR="009A0847">
        <w:rPr>
          <w:color w:val="000000" w:themeColor="text1"/>
        </w:rPr>
        <w:t xml:space="preserve"> </w:t>
      </w:r>
      <w:r w:rsidR="00337381" w:rsidRPr="00D85A0A">
        <w:rPr>
          <w:color w:val="000000" w:themeColor="text1"/>
        </w:rPr>
        <w:t>be</w:t>
      </w:r>
      <w:r w:rsidR="009A0847">
        <w:rPr>
          <w:color w:val="000000" w:themeColor="text1"/>
        </w:rPr>
        <w:t xml:space="preserve"> </w:t>
      </w:r>
      <w:r w:rsidR="00337381" w:rsidRPr="00D85A0A">
        <w:rPr>
          <w:color w:val="000000" w:themeColor="text1"/>
        </w:rPr>
        <w:t>noted</w:t>
      </w:r>
      <w:r w:rsidR="009A0847">
        <w:rPr>
          <w:color w:val="000000" w:themeColor="text1"/>
        </w:rPr>
        <w:t xml:space="preserve"> </w:t>
      </w:r>
      <w:r w:rsidR="00337381" w:rsidRPr="00D85A0A">
        <w:rPr>
          <w:color w:val="000000" w:themeColor="text1"/>
        </w:rPr>
        <w:t>that</w:t>
      </w:r>
      <w:r w:rsidR="009A0847">
        <w:rPr>
          <w:color w:val="000000" w:themeColor="text1"/>
        </w:rPr>
        <w:t xml:space="preserve"> </w:t>
      </w:r>
      <w:r w:rsidR="00337381" w:rsidRPr="00D85A0A">
        <w:rPr>
          <w:color w:val="000000" w:themeColor="text1"/>
        </w:rPr>
        <w:t>a</w:t>
      </w:r>
      <w:r w:rsidR="009A0847">
        <w:rPr>
          <w:color w:val="000000" w:themeColor="text1"/>
        </w:rPr>
        <w:t xml:space="preserve"> </w:t>
      </w:r>
      <w:r w:rsidR="00337381" w:rsidRPr="00D85A0A">
        <w:rPr>
          <w:color w:val="000000" w:themeColor="text1"/>
        </w:rPr>
        <w:t>well-functioning</w:t>
      </w:r>
      <w:r w:rsidR="009A0847">
        <w:rPr>
          <w:color w:val="000000" w:themeColor="text1"/>
        </w:rPr>
        <w:t xml:space="preserve"> </w:t>
      </w:r>
      <w:r w:rsidR="00337381" w:rsidRPr="00D85A0A">
        <w:rPr>
          <w:color w:val="000000" w:themeColor="text1"/>
        </w:rPr>
        <w:t>(i.e.</w:t>
      </w:r>
      <w:r w:rsidR="009A0847">
        <w:rPr>
          <w:color w:val="000000" w:themeColor="text1"/>
        </w:rPr>
        <w:t xml:space="preserve"> </w:t>
      </w:r>
      <w:r w:rsidR="00337381" w:rsidRPr="00D85A0A">
        <w:rPr>
          <w:color w:val="000000" w:themeColor="text1"/>
        </w:rPr>
        <w:t>stigma</w:t>
      </w:r>
      <w:r w:rsidR="009A0847">
        <w:rPr>
          <w:color w:val="000000" w:themeColor="text1"/>
        </w:rPr>
        <w:t xml:space="preserve"> </w:t>
      </w:r>
      <w:r w:rsidR="00337381" w:rsidRPr="00D85A0A">
        <w:rPr>
          <w:color w:val="000000" w:themeColor="text1"/>
        </w:rPr>
        <w:t>free)</w:t>
      </w:r>
      <w:r w:rsidR="009A0847">
        <w:rPr>
          <w:color w:val="000000" w:themeColor="text1"/>
        </w:rPr>
        <w:t xml:space="preserve"> </w:t>
      </w:r>
      <w:r w:rsidR="00337381" w:rsidRPr="00D85A0A">
        <w:rPr>
          <w:color w:val="000000" w:themeColor="text1"/>
        </w:rPr>
        <w:t>LoLR</w:t>
      </w:r>
      <w:r w:rsidR="009A0847">
        <w:rPr>
          <w:color w:val="000000" w:themeColor="text1"/>
        </w:rPr>
        <w:t xml:space="preserve"> </w:t>
      </w:r>
      <w:r w:rsidR="00027179">
        <w:rPr>
          <w:color w:val="000000" w:themeColor="text1"/>
        </w:rPr>
        <w:t>program</w:t>
      </w:r>
      <w:r w:rsidR="009A0847">
        <w:rPr>
          <w:color w:val="000000" w:themeColor="text1"/>
        </w:rPr>
        <w:t xml:space="preserve"> </w:t>
      </w:r>
      <w:r w:rsidR="00337381" w:rsidRPr="00D85A0A">
        <w:rPr>
          <w:color w:val="000000" w:themeColor="text1"/>
        </w:rPr>
        <w:t>is</w:t>
      </w:r>
      <w:r w:rsidR="009A0847">
        <w:rPr>
          <w:color w:val="000000" w:themeColor="text1"/>
        </w:rPr>
        <w:t xml:space="preserve"> </w:t>
      </w:r>
      <w:r w:rsidR="0036020F">
        <w:rPr>
          <w:color w:val="000000" w:themeColor="text1"/>
        </w:rPr>
        <w:t xml:space="preserve">of </w:t>
      </w:r>
      <w:r w:rsidR="00337381" w:rsidRPr="00D85A0A">
        <w:rPr>
          <w:color w:val="000000" w:themeColor="text1"/>
        </w:rPr>
        <w:t>value</w:t>
      </w:r>
      <w:r w:rsidR="009A0847">
        <w:rPr>
          <w:color w:val="000000" w:themeColor="text1"/>
        </w:rPr>
        <w:t xml:space="preserve"> </w:t>
      </w:r>
      <w:r w:rsidR="00337381" w:rsidRPr="00D85A0A">
        <w:rPr>
          <w:color w:val="000000" w:themeColor="text1"/>
        </w:rPr>
        <w:t>to</w:t>
      </w:r>
      <w:r w:rsidR="009A0847">
        <w:rPr>
          <w:color w:val="000000" w:themeColor="text1"/>
        </w:rPr>
        <w:t xml:space="preserve"> </w:t>
      </w:r>
      <w:r w:rsidR="00337381" w:rsidRPr="00D85A0A">
        <w:rPr>
          <w:color w:val="000000" w:themeColor="text1"/>
        </w:rPr>
        <w:t>the</w:t>
      </w:r>
      <w:r w:rsidR="009A0847">
        <w:rPr>
          <w:color w:val="000000" w:themeColor="text1"/>
        </w:rPr>
        <w:t xml:space="preserve"> </w:t>
      </w:r>
      <w:r w:rsidR="00337381" w:rsidRPr="00D85A0A">
        <w:rPr>
          <w:color w:val="000000" w:themeColor="text1"/>
        </w:rPr>
        <w:t>financial</w:t>
      </w:r>
      <w:r w:rsidR="009A0847">
        <w:rPr>
          <w:color w:val="000000" w:themeColor="text1"/>
        </w:rPr>
        <w:t xml:space="preserve"> </w:t>
      </w:r>
      <w:r w:rsidR="00337381" w:rsidRPr="00D85A0A">
        <w:rPr>
          <w:color w:val="000000" w:themeColor="text1"/>
        </w:rPr>
        <w:t>system</w:t>
      </w:r>
      <w:r w:rsidR="009A0847">
        <w:rPr>
          <w:color w:val="000000" w:themeColor="text1"/>
        </w:rPr>
        <w:t xml:space="preserve"> </w:t>
      </w:r>
      <w:r w:rsidR="00337381" w:rsidRPr="00D85A0A">
        <w:rPr>
          <w:color w:val="000000" w:themeColor="text1"/>
        </w:rPr>
        <w:t>and</w:t>
      </w:r>
      <w:r w:rsidR="009A0847">
        <w:rPr>
          <w:color w:val="000000" w:themeColor="text1"/>
        </w:rPr>
        <w:t xml:space="preserve"> </w:t>
      </w:r>
      <w:r w:rsidR="00337381" w:rsidRPr="00D85A0A">
        <w:rPr>
          <w:color w:val="000000" w:themeColor="text1"/>
        </w:rPr>
        <w:t>banks</w:t>
      </w:r>
      <w:r w:rsidR="009A0847">
        <w:rPr>
          <w:color w:val="000000" w:themeColor="text1"/>
        </w:rPr>
        <w:t xml:space="preserve"> </w:t>
      </w:r>
      <w:r w:rsidR="00337381" w:rsidRPr="00D85A0A">
        <w:rPr>
          <w:color w:val="000000" w:themeColor="text1"/>
        </w:rPr>
        <w:t>should</w:t>
      </w:r>
      <w:r w:rsidR="009A0847">
        <w:rPr>
          <w:color w:val="000000" w:themeColor="text1"/>
        </w:rPr>
        <w:t xml:space="preserve"> </w:t>
      </w:r>
      <w:r w:rsidR="00337381" w:rsidRPr="00D85A0A">
        <w:rPr>
          <w:color w:val="000000" w:themeColor="text1"/>
        </w:rPr>
        <w:t>be</w:t>
      </w:r>
      <w:r w:rsidR="009A0847">
        <w:rPr>
          <w:color w:val="000000" w:themeColor="text1"/>
        </w:rPr>
        <w:t xml:space="preserve"> </w:t>
      </w:r>
      <w:r w:rsidR="00337381" w:rsidRPr="00D85A0A">
        <w:rPr>
          <w:color w:val="000000" w:themeColor="text1"/>
        </w:rPr>
        <w:t>willing</w:t>
      </w:r>
      <w:r w:rsidR="009A0847">
        <w:rPr>
          <w:color w:val="000000" w:themeColor="text1"/>
        </w:rPr>
        <w:t xml:space="preserve"> </w:t>
      </w:r>
      <w:r w:rsidR="00337381" w:rsidRPr="00D85A0A">
        <w:rPr>
          <w:color w:val="000000" w:themeColor="text1"/>
        </w:rPr>
        <w:t>to</w:t>
      </w:r>
      <w:r w:rsidR="009A0847">
        <w:rPr>
          <w:color w:val="000000" w:themeColor="text1"/>
        </w:rPr>
        <w:t xml:space="preserve"> </w:t>
      </w:r>
      <w:r w:rsidR="00337381" w:rsidRPr="00D85A0A">
        <w:rPr>
          <w:color w:val="000000" w:themeColor="text1"/>
        </w:rPr>
        <w:t>pay</w:t>
      </w:r>
      <w:r w:rsidR="009A0847">
        <w:rPr>
          <w:color w:val="000000" w:themeColor="text1"/>
        </w:rPr>
        <w:t xml:space="preserve"> </w:t>
      </w:r>
      <w:r w:rsidR="00337381" w:rsidRPr="00D85A0A">
        <w:rPr>
          <w:color w:val="000000" w:themeColor="text1"/>
        </w:rPr>
        <w:t>for</w:t>
      </w:r>
      <w:r w:rsidR="009A0847">
        <w:rPr>
          <w:color w:val="000000" w:themeColor="text1"/>
        </w:rPr>
        <w:t xml:space="preserve"> </w:t>
      </w:r>
      <w:r w:rsidR="00337381" w:rsidRPr="00D85A0A">
        <w:rPr>
          <w:color w:val="000000" w:themeColor="text1"/>
        </w:rPr>
        <w:t>the</w:t>
      </w:r>
      <w:r w:rsidR="009A0847">
        <w:rPr>
          <w:color w:val="000000" w:themeColor="text1"/>
        </w:rPr>
        <w:t xml:space="preserve"> </w:t>
      </w:r>
      <w:r w:rsidR="00337381" w:rsidRPr="00D85A0A">
        <w:rPr>
          <w:color w:val="000000" w:themeColor="text1"/>
        </w:rPr>
        <w:t>service.</w:t>
      </w:r>
      <w:r w:rsidR="009A0847">
        <w:rPr>
          <w:color w:val="000000" w:themeColor="text1"/>
        </w:rPr>
        <w:t xml:space="preserve"> </w:t>
      </w:r>
      <w:r w:rsidR="00337381" w:rsidRPr="00D85A0A">
        <w:rPr>
          <w:color w:val="000000" w:themeColor="text1"/>
        </w:rPr>
        <w:t>The</w:t>
      </w:r>
      <w:r w:rsidR="009A0847">
        <w:rPr>
          <w:color w:val="000000" w:themeColor="text1"/>
        </w:rPr>
        <w:t xml:space="preserve"> </w:t>
      </w:r>
      <w:r w:rsidR="00337381" w:rsidRPr="00D85A0A">
        <w:rPr>
          <w:color w:val="000000" w:themeColor="text1"/>
        </w:rPr>
        <w:t>cost</w:t>
      </w:r>
      <w:r w:rsidR="009A0847">
        <w:rPr>
          <w:color w:val="000000" w:themeColor="text1"/>
        </w:rPr>
        <w:t xml:space="preserve"> </w:t>
      </w:r>
      <w:r w:rsidR="00337381" w:rsidRPr="00D85A0A">
        <w:rPr>
          <w:color w:val="000000" w:themeColor="text1"/>
        </w:rPr>
        <w:t>of</w:t>
      </w:r>
      <w:r w:rsidR="009A0847">
        <w:rPr>
          <w:color w:val="000000" w:themeColor="text1"/>
        </w:rPr>
        <w:t xml:space="preserve"> </w:t>
      </w:r>
      <w:r w:rsidR="00337381" w:rsidRPr="00D85A0A">
        <w:rPr>
          <w:color w:val="000000" w:themeColor="text1"/>
        </w:rPr>
        <w:t>this</w:t>
      </w:r>
      <w:r w:rsidR="009A0847">
        <w:rPr>
          <w:color w:val="000000" w:themeColor="text1"/>
        </w:rPr>
        <w:t xml:space="preserve"> </w:t>
      </w:r>
      <w:r w:rsidR="00337381" w:rsidRPr="00D85A0A">
        <w:rPr>
          <w:color w:val="000000" w:themeColor="text1"/>
        </w:rPr>
        <w:t>service</w:t>
      </w:r>
      <w:r w:rsidR="009A0847">
        <w:rPr>
          <w:color w:val="000000" w:themeColor="text1"/>
        </w:rPr>
        <w:t xml:space="preserve"> </w:t>
      </w:r>
      <w:r w:rsidR="00337381" w:rsidRPr="00D85A0A">
        <w:rPr>
          <w:color w:val="000000" w:themeColor="text1"/>
        </w:rPr>
        <w:t>is</w:t>
      </w:r>
      <w:r w:rsidR="009A0847">
        <w:rPr>
          <w:color w:val="000000" w:themeColor="text1"/>
        </w:rPr>
        <w:t xml:space="preserve"> </w:t>
      </w:r>
      <w:r w:rsidR="00027179">
        <w:rPr>
          <w:color w:val="000000" w:themeColor="text1"/>
        </w:rPr>
        <w:t xml:space="preserve">currently </w:t>
      </w:r>
      <w:r w:rsidR="00337381" w:rsidRPr="00D85A0A">
        <w:rPr>
          <w:color w:val="000000" w:themeColor="text1"/>
        </w:rPr>
        <w:t>the</w:t>
      </w:r>
      <w:r w:rsidR="009A0847">
        <w:rPr>
          <w:color w:val="000000" w:themeColor="text1"/>
        </w:rPr>
        <w:t xml:space="preserve"> </w:t>
      </w:r>
      <w:r w:rsidR="00337381" w:rsidRPr="00D85A0A">
        <w:rPr>
          <w:color w:val="000000" w:themeColor="text1"/>
        </w:rPr>
        <w:t>DW</w:t>
      </w:r>
      <w:r w:rsidR="009A0847">
        <w:rPr>
          <w:color w:val="000000" w:themeColor="text1"/>
        </w:rPr>
        <w:t xml:space="preserve"> </w:t>
      </w:r>
      <w:r w:rsidR="00337381" w:rsidRPr="00D85A0A">
        <w:rPr>
          <w:color w:val="000000" w:themeColor="text1"/>
        </w:rPr>
        <w:t>rate,</w:t>
      </w:r>
      <w:r w:rsidR="009A0847">
        <w:rPr>
          <w:color w:val="000000" w:themeColor="text1"/>
        </w:rPr>
        <w:t xml:space="preserve"> </w:t>
      </w:r>
      <w:r w:rsidR="00337381" w:rsidRPr="00D85A0A">
        <w:rPr>
          <w:color w:val="000000" w:themeColor="text1"/>
        </w:rPr>
        <w:t>but</w:t>
      </w:r>
      <w:r w:rsidR="009A0847">
        <w:rPr>
          <w:color w:val="000000" w:themeColor="text1"/>
        </w:rPr>
        <w:t xml:space="preserve"> </w:t>
      </w:r>
      <w:r w:rsidR="00337381" w:rsidRPr="00D85A0A">
        <w:rPr>
          <w:color w:val="000000" w:themeColor="text1"/>
        </w:rPr>
        <w:t>it</w:t>
      </w:r>
      <w:r w:rsidR="009A0847">
        <w:rPr>
          <w:color w:val="000000" w:themeColor="text1"/>
        </w:rPr>
        <w:t xml:space="preserve"> </w:t>
      </w:r>
      <w:r w:rsidR="00337381" w:rsidRPr="00D85A0A">
        <w:rPr>
          <w:color w:val="000000" w:themeColor="text1"/>
        </w:rPr>
        <w:t>could</w:t>
      </w:r>
      <w:r w:rsidR="009A0847">
        <w:rPr>
          <w:color w:val="000000" w:themeColor="text1"/>
        </w:rPr>
        <w:t xml:space="preserve"> </w:t>
      </w:r>
      <w:r w:rsidR="00337381" w:rsidRPr="00D85A0A">
        <w:rPr>
          <w:color w:val="000000" w:themeColor="text1"/>
        </w:rPr>
        <w:t>also</w:t>
      </w:r>
      <w:r w:rsidR="009A0847">
        <w:rPr>
          <w:color w:val="000000" w:themeColor="text1"/>
        </w:rPr>
        <w:t xml:space="preserve"> </w:t>
      </w:r>
      <w:r w:rsidR="00337381" w:rsidRPr="00D85A0A">
        <w:rPr>
          <w:color w:val="000000" w:themeColor="text1"/>
        </w:rPr>
        <w:t>include</w:t>
      </w:r>
      <w:r w:rsidR="009A0847">
        <w:rPr>
          <w:color w:val="000000" w:themeColor="text1"/>
        </w:rPr>
        <w:t xml:space="preserve"> </w:t>
      </w:r>
      <w:r w:rsidR="00337381" w:rsidRPr="00D85A0A">
        <w:rPr>
          <w:color w:val="000000" w:themeColor="text1"/>
        </w:rPr>
        <w:t>the</w:t>
      </w:r>
      <w:r w:rsidR="009A0847">
        <w:rPr>
          <w:color w:val="000000" w:themeColor="text1"/>
        </w:rPr>
        <w:t xml:space="preserve"> </w:t>
      </w:r>
      <w:r w:rsidR="00337381" w:rsidRPr="00D85A0A">
        <w:rPr>
          <w:color w:val="000000" w:themeColor="text1"/>
        </w:rPr>
        <w:t>cost</w:t>
      </w:r>
      <w:r w:rsidR="009A0847">
        <w:rPr>
          <w:color w:val="000000" w:themeColor="text1"/>
        </w:rPr>
        <w:t xml:space="preserve"> </w:t>
      </w:r>
      <w:r w:rsidR="00337381" w:rsidRPr="00D85A0A">
        <w:rPr>
          <w:color w:val="000000" w:themeColor="text1"/>
        </w:rPr>
        <w:t>of</w:t>
      </w:r>
      <w:r w:rsidR="009A0847">
        <w:rPr>
          <w:color w:val="000000" w:themeColor="text1"/>
        </w:rPr>
        <w:t xml:space="preserve"> </w:t>
      </w:r>
      <w:r w:rsidR="00337381" w:rsidRPr="00D85A0A">
        <w:rPr>
          <w:color w:val="000000" w:themeColor="text1"/>
        </w:rPr>
        <w:t>random</w:t>
      </w:r>
      <w:r w:rsidR="009A0847">
        <w:rPr>
          <w:color w:val="000000" w:themeColor="text1"/>
        </w:rPr>
        <w:t xml:space="preserve"> </w:t>
      </w:r>
      <w:r w:rsidR="00337381" w:rsidRPr="00D85A0A">
        <w:rPr>
          <w:color w:val="000000" w:themeColor="text1"/>
        </w:rPr>
        <w:t>borrowing.</w:t>
      </w:r>
      <w:r w:rsidR="009A0847">
        <w:rPr>
          <w:color w:val="000000" w:themeColor="text1"/>
        </w:rPr>
        <w:t xml:space="preserve"> </w:t>
      </w:r>
      <w:r w:rsidR="00337381" w:rsidRPr="00D85A0A">
        <w:rPr>
          <w:color w:val="000000" w:themeColor="text1"/>
        </w:rPr>
        <w:t>A</w:t>
      </w:r>
      <w:r w:rsidR="009A0847">
        <w:rPr>
          <w:color w:val="000000" w:themeColor="text1"/>
        </w:rPr>
        <w:t xml:space="preserve"> </w:t>
      </w:r>
      <w:r w:rsidR="00337381" w:rsidRPr="00D85A0A">
        <w:rPr>
          <w:color w:val="000000" w:themeColor="text1"/>
        </w:rPr>
        <w:t>reasonable</w:t>
      </w:r>
      <w:r w:rsidR="009A0847">
        <w:rPr>
          <w:color w:val="000000" w:themeColor="text1"/>
        </w:rPr>
        <w:t xml:space="preserve"> </w:t>
      </w:r>
      <w:r w:rsidR="00337381" w:rsidRPr="00D85A0A">
        <w:rPr>
          <w:color w:val="000000" w:themeColor="text1"/>
        </w:rPr>
        <w:t>balance</w:t>
      </w:r>
      <w:r w:rsidR="009A0847">
        <w:rPr>
          <w:color w:val="000000" w:themeColor="text1"/>
        </w:rPr>
        <w:t xml:space="preserve"> </w:t>
      </w:r>
      <w:r w:rsidR="00337381" w:rsidRPr="00D85A0A">
        <w:rPr>
          <w:color w:val="000000" w:themeColor="text1"/>
        </w:rPr>
        <w:t>could</w:t>
      </w:r>
      <w:r w:rsidR="009A0847">
        <w:rPr>
          <w:color w:val="000000" w:themeColor="text1"/>
        </w:rPr>
        <w:t xml:space="preserve"> </w:t>
      </w:r>
      <w:r w:rsidR="00337381" w:rsidRPr="00D85A0A">
        <w:rPr>
          <w:color w:val="000000" w:themeColor="text1"/>
        </w:rPr>
        <w:t>be</w:t>
      </w:r>
      <w:r w:rsidR="009A0847">
        <w:rPr>
          <w:color w:val="000000" w:themeColor="text1"/>
        </w:rPr>
        <w:t xml:space="preserve"> </w:t>
      </w:r>
      <w:r w:rsidR="00337381" w:rsidRPr="00D85A0A">
        <w:rPr>
          <w:color w:val="000000" w:themeColor="text1"/>
        </w:rPr>
        <w:t>achieved</w:t>
      </w:r>
      <w:r w:rsidR="009A0847">
        <w:rPr>
          <w:color w:val="000000" w:themeColor="text1"/>
        </w:rPr>
        <w:t xml:space="preserve"> </w:t>
      </w:r>
      <w:r w:rsidR="00337381" w:rsidRPr="00D85A0A">
        <w:rPr>
          <w:color w:val="000000" w:themeColor="text1"/>
        </w:rPr>
        <w:t>by</w:t>
      </w:r>
      <w:r w:rsidR="009A0847">
        <w:rPr>
          <w:color w:val="000000" w:themeColor="text1"/>
        </w:rPr>
        <w:t xml:space="preserve"> </w:t>
      </w:r>
      <w:r w:rsidR="00337381" w:rsidRPr="00D85A0A">
        <w:rPr>
          <w:color w:val="000000" w:themeColor="text1"/>
        </w:rPr>
        <w:t>lowering</w:t>
      </w:r>
      <w:r w:rsidR="009A0847">
        <w:rPr>
          <w:color w:val="000000" w:themeColor="text1"/>
        </w:rPr>
        <w:t xml:space="preserve"> </w:t>
      </w:r>
      <w:r w:rsidR="00337381" w:rsidRPr="00D85A0A">
        <w:rPr>
          <w:color w:val="000000" w:themeColor="text1"/>
        </w:rPr>
        <w:t>the</w:t>
      </w:r>
      <w:r w:rsidR="009A0847">
        <w:rPr>
          <w:color w:val="000000" w:themeColor="text1"/>
        </w:rPr>
        <w:t xml:space="preserve"> </w:t>
      </w:r>
      <w:r w:rsidR="00337381" w:rsidRPr="00D85A0A">
        <w:rPr>
          <w:color w:val="000000" w:themeColor="text1"/>
        </w:rPr>
        <w:t>DW</w:t>
      </w:r>
      <w:r w:rsidR="009A0847">
        <w:rPr>
          <w:color w:val="000000" w:themeColor="text1"/>
        </w:rPr>
        <w:t xml:space="preserve"> </w:t>
      </w:r>
      <w:r w:rsidR="00337381" w:rsidRPr="00D85A0A">
        <w:rPr>
          <w:color w:val="000000" w:themeColor="text1"/>
        </w:rPr>
        <w:t>rate</w:t>
      </w:r>
      <w:r w:rsidR="009A0847">
        <w:rPr>
          <w:color w:val="000000" w:themeColor="text1"/>
        </w:rPr>
        <w:t xml:space="preserve"> </w:t>
      </w:r>
      <w:r w:rsidR="00337381" w:rsidRPr="00D85A0A">
        <w:rPr>
          <w:color w:val="000000" w:themeColor="text1"/>
        </w:rPr>
        <w:t>or</w:t>
      </w:r>
      <w:r w:rsidR="009A0847">
        <w:rPr>
          <w:color w:val="000000" w:themeColor="text1"/>
        </w:rPr>
        <w:t xml:space="preserve"> </w:t>
      </w:r>
      <w:r w:rsidR="00337381" w:rsidRPr="00D85A0A">
        <w:rPr>
          <w:color w:val="000000" w:themeColor="text1"/>
        </w:rPr>
        <w:t>by</w:t>
      </w:r>
      <w:r w:rsidR="009A0847">
        <w:rPr>
          <w:color w:val="000000" w:themeColor="text1"/>
        </w:rPr>
        <w:t xml:space="preserve"> </w:t>
      </w:r>
      <w:r w:rsidR="00337381" w:rsidRPr="00D85A0A">
        <w:rPr>
          <w:color w:val="000000" w:themeColor="text1"/>
        </w:rPr>
        <w:t>discounting</w:t>
      </w:r>
      <w:r w:rsidR="009A0847">
        <w:rPr>
          <w:color w:val="000000" w:themeColor="text1"/>
        </w:rPr>
        <w:t xml:space="preserve"> </w:t>
      </w:r>
      <w:r w:rsidR="00337381" w:rsidRPr="00D85A0A">
        <w:rPr>
          <w:color w:val="000000" w:themeColor="text1"/>
        </w:rPr>
        <w:t>the</w:t>
      </w:r>
      <w:r w:rsidR="009A0847">
        <w:rPr>
          <w:color w:val="000000" w:themeColor="text1"/>
        </w:rPr>
        <w:t xml:space="preserve"> </w:t>
      </w:r>
      <w:r w:rsidR="00337381" w:rsidRPr="00D85A0A">
        <w:rPr>
          <w:color w:val="000000" w:themeColor="text1"/>
        </w:rPr>
        <w:t>DW</w:t>
      </w:r>
      <w:r w:rsidR="009A0847">
        <w:rPr>
          <w:color w:val="000000" w:themeColor="text1"/>
        </w:rPr>
        <w:t xml:space="preserve"> </w:t>
      </w:r>
      <w:r w:rsidR="00337381" w:rsidRPr="00D85A0A">
        <w:rPr>
          <w:color w:val="000000" w:themeColor="text1"/>
        </w:rPr>
        <w:t>rate</w:t>
      </w:r>
      <w:r w:rsidR="009A0847">
        <w:rPr>
          <w:color w:val="000000" w:themeColor="text1"/>
        </w:rPr>
        <w:t xml:space="preserve"> </w:t>
      </w:r>
      <w:r w:rsidR="00337381" w:rsidRPr="00D85A0A">
        <w:rPr>
          <w:color w:val="000000" w:themeColor="text1"/>
        </w:rPr>
        <w:t>for</w:t>
      </w:r>
      <w:r w:rsidR="009A0847">
        <w:rPr>
          <w:color w:val="000000" w:themeColor="text1"/>
        </w:rPr>
        <w:t xml:space="preserve"> </w:t>
      </w:r>
      <w:r w:rsidR="00337381" w:rsidRPr="00D85A0A">
        <w:rPr>
          <w:color w:val="000000" w:themeColor="text1"/>
        </w:rPr>
        <w:t>regular</w:t>
      </w:r>
      <w:r w:rsidR="009A0847">
        <w:rPr>
          <w:color w:val="000000" w:themeColor="text1"/>
        </w:rPr>
        <w:t xml:space="preserve"> </w:t>
      </w:r>
      <w:r w:rsidR="00337381" w:rsidRPr="00D85A0A">
        <w:rPr>
          <w:color w:val="000000" w:themeColor="text1"/>
        </w:rPr>
        <w:t>(i.e.</w:t>
      </w:r>
      <w:r w:rsidR="009A0847">
        <w:rPr>
          <w:color w:val="000000" w:themeColor="text1"/>
        </w:rPr>
        <w:t xml:space="preserve"> </w:t>
      </w:r>
      <w:r w:rsidR="00337381" w:rsidRPr="00D85A0A">
        <w:rPr>
          <w:color w:val="000000" w:themeColor="text1"/>
        </w:rPr>
        <w:t>involuntary)</w:t>
      </w:r>
      <w:r w:rsidR="009A0847">
        <w:rPr>
          <w:color w:val="000000" w:themeColor="text1"/>
        </w:rPr>
        <w:t xml:space="preserve"> </w:t>
      </w:r>
      <w:r w:rsidR="00337381" w:rsidRPr="00D85A0A">
        <w:rPr>
          <w:color w:val="000000" w:themeColor="text1"/>
        </w:rPr>
        <w:t>DW</w:t>
      </w:r>
      <w:r w:rsidR="009A0847">
        <w:rPr>
          <w:color w:val="000000" w:themeColor="text1"/>
        </w:rPr>
        <w:t xml:space="preserve"> </w:t>
      </w:r>
      <w:r w:rsidR="00337381" w:rsidRPr="00D85A0A">
        <w:rPr>
          <w:color w:val="000000" w:themeColor="text1"/>
        </w:rPr>
        <w:t>borrowing.</w:t>
      </w:r>
      <w:r w:rsidR="009A0847">
        <w:rPr>
          <w:color w:val="000000" w:themeColor="text1"/>
        </w:rPr>
        <w:t xml:space="preserve"> </w:t>
      </w:r>
      <w:r w:rsidR="00337381" w:rsidRPr="00D85A0A">
        <w:rPr>
          <w:color w:val="000000" w:themeColor="text1"/>
        </w:rPr>
        <w:t>Additional</w:t>
      </w:r>
      <w:r w:rsidR="009A0847">
        <w:rPr>
          <w:color w:val="000000" w:themeColor="text1"/>
        </w:rPr>
        <w:t xml:space="preserve"> </w:t>
      </w:r>
      <w:r w:rsidR="00337381" w:rsidRPr="00D85A0A">
        <w:rPr>
          <w:color w:val="000000" w:themeColor="text1"/>
        </w:rPr>
        <w:t>practical</w:t>
      </w:r>
      <w:r w:rsidR="009A0847">
        <w:rPr>
          <w:color w:val="000000" w:themeColor="text1"/>
        </w:rPr>
        <w:t xml:space="preserve"> </w:t>
      </w:r>
      <w:r w:rsidR="00027179">
        <w:rPr>
          <w:color w:val="000000" w:themeColor="text1"/>
        </w:rPr>
        <w:t>issues</w:t>
      </w:r>
      <w:r w:rsidR="009A0847">
        <w:rPr>
          <w:color w:val="000000" w:themeColor="text1"/>
        </w:rPr>
        <w:t xml:space="preserve"> </w:t>
      </w:r>
      <w:r w:rsidR="00337381" w:rsidRPr="00D85A0A">
        <w:rPr>
          <w:color w:val="000000" w:themeColor="text1"/>
        </w:rPr>
        <w:t>that</w:t>
      </w:r>
      <w:r w:rsidR="009A0847">
        <w:rPr>
          <w:color w:val="000000" w:themeColor="text1"/>
        </w:rPr>
        <w:t xml:space="preserve"> </w:t>
      </w:r>
      <w:r w:rsidR="00337381" w:rsidRPr="00D85A0A">
        <w:rPr>
          <w:color w:val="000000" w:themeColor="text1"/>
        </w:rPr>
        <w:t>would</w:t>
      </w:r>
      <w:r w:rsidR="009A0847">
        <w:rPr>
          <w:color w:val="000000" w:themeColor="text1"/>
        </w:rPr>
        <w:t xml:space="preserve"> </w:t>
      </w:r>
      <w:r w:rsidR="00337381" w:rsidRPr="00D85A0A">
        <w:rPr>
          <w:color w:val="000000" w:themeColor="text1"/>
        </w:rPr>
        <w:t>need</w:t>
      </w:r>
      <w:r w:rsidR="009A0847">
        <w:rPr>
          <w:color w:val="000000" w:themeColor="text1"/>
        </w:rPr>
        <w:t xml:space="preserve"> </w:t>
      </w:r>
      <w:r w:rsidR="00337381" w:rsidRPr="00D85A0A">
        <w:rPr>
          <w:color w:val="000000" w:themeColor="text1"/>
        </w:rPr>
        <w:t>to</w:t>
      </w:r>
      <w:r w:rsidR="009A0847">
        <w:rPr>
          <w:color w:val="000000" w:themeColor="text1"/>
        </w:rPr>
        <w:t xml:space="preserve"> </w:t>
      </w:r>
      <w:r w:rsidR="00337381" w:rsidRPr="00D85A0A">
        <w:rPr>
          <w:color w:val="000000" w:themeColor="text1"/>
        </w:rPr>
        <w:t>be</w:t>
      </w:r>
      <w:r w:rsidR="009A0847">
        <w:rPr>
          <w:color w:val="000000" w:themeColor="text1"/>
        </w:rPr>
        <w:t xml:space="preserve"> </w:t>
      </w:r>
      <w:r w:rsidR="00337381" w:rsidRPr="00D85A0A">
        <w:rPr>
          <w:color w:val="000000" w:themeColor="text1"/>
        </w:rPr>
        <w:t>address</w:t>
      </w:r>
      <w:r w:rsidR="0036020F">
        <w:rPr>
          <w:color w:val="000000" w:themeColor="text1"/>
        </w:rPr>
        <w:t>ed</w:t>
      </w:r>
      <w:r w:rsidR="009A0847">
        <w:rPr>
          <w:color w:val="000000" w:themeColor="text1"/>
        </w:rPr>
        <w:t xml:space="preserve"> </w:t>
      </w:r>
      <w:r w:rsidR="00337381" w:rsidRPr="00D85A0A">
        <w:rPr>
          <w:color w:val="000000" w:themeColor="text1"/>
        </w:rPr>
        <w:t>concern</w:t>
      </w:r>
      <w:r w:rsidR="009A0847">
        <w:rPr>
          <w:color w:val="000000" w:themeColor="text1"/>
        </w:rPr>
        <w:t xml:space="preserve"> </w:t>
      </w:r>
      <w:r w:rsidR="00A243C7" w:rsidRPr="00D85A0A">
        <w:rPr>
          <w:color w:val="000000" w:themeColor="text1"/>
        </w:rPr>
        <w:t>the</w:t>
      </w:r>
      <w:r w:rsidR="00A243C7">
        <w:rPr>
          <w:color w:val="000000" w:themeColor="text1"/>
        </w:rPr>
        <w:t xml:space="preserve"> </w:t>
      </w:r>
      <w:r w:rsidR="00A243C7" w:rsidRPr="00D85A0A">
        <w:rPr>
          <w:color w:val="000000" w:themeColor="text1"/>
        </w:rPr>
        <w:t>frequency</w:t>
      </w:r>
      <w:r w:rsidR="00A243C7">
        <w:rPr>
          <w:color w:val="000000" w:themeColor="text1"/>
        </w:rPr>
        <w:t xml:space="preserve"> of regular borrowing </w:t>
      </w:r>
      <w:r w:rsidR="00A243C7" w:rsidRPr="00D85A0A">
        <w:rPr>
          <w:color w:val="000000" w:themeColor="text1"/>
        </w:rPr>
        <w:t>(e.g.</w:t>
      </w:r>
      <w:r w:rsidR="00A243C7">
        <w:rPr>
          <w:color w:val="000000" w:themeColor="text1"/>
        </w:rPr>
        <w:t xml:space="preserve"> </w:t>
      </w:r>
      <w:r w:rsidR="00A243C7" w:rsidRPr="00D85A0A">
        <w:rPr>
          <w:color w:val="000000" w:themeColor="text1"/>
        </w:rPr>
        <w:t>once</w:t>
      </w:r>
      <w:r w:rsidR="00A243C7">
        <w:rPr>
          <w:color w:val="000000" w:themeColor="text1"/>
        </w:rPr>
        <w:t xml:space="preserve"> </w:t>
      </w:r>
      <w:r w:rsidR="00A243C7" w:rsidRPr="00D85A0A">
        <w:rPr>
          <w:color w:val="000000" w:themeColor="text1"/>
        </w:rPr>
        <w:t>or</w:t>
      </w:r>
      <w:r w:rsidR="00A243C7">
        <w:rPr>
          <w:color w:val="000000" w:themeColor="text1"/>
        </w:rPr>
        <w:t xml:space="preserve"> </w:t>
      </w:r>
      <w:r w:rsidR="00A243C7" w:rsidRPr="00D85A0A">
        <w:rPr>
          <w:color w:val="000000" w:themeColor="text1"/>
        </w:rPr>
        <w:t>twice</w:t>
      </w:r>
      <w:r w:rsidR="00A243C7">
        <w:rPr>
          <w:color w:val="000000" w:themeColor="text1"/>
        </w:rPr>
        <w:t xml:space="preserve"> </w:t>
      </w:r>
      <w:r w:rsidR="00A243C7" w:rsidRPr="00D85A0A">
        <w:rPr>
          <w:color w:val="000000" w:themeColor="text1"/>
        </w:rPr>
        <w:t>a</w:t>
      </w:r>
      <w:r w:rsidR="00A243C7">
        <w:rPr>
          <w:color w:val="000000" w:themeColor="text1"/>
        </w:rPr>
        <w:t xml:space="preserve"> </w:t>
      </w:r>
      <w:r w:rsidR="00A243C7" w:rsidRPr="00D85A0A">
        <w:rPr>
          <w:color w:val="000000" w:themeColor="text1"/>
        </w:rPr>
        <w:t>year</w:t>
      </w:r>
      <w:r w:rsidR="00A243C7">
        <w:rPr>
          <w:color w:val="000000" w:themeColor="text1"/>
        </w:rPr>
        <w:t xml:space="preserve"> </w:t>
      </w:r>
      <w:r w:rsidR="00A243C7" w:rsidRPr="00D85A0A">
        <w:rPr>
          <w:color w:val="000000" w:themeColor="text1"/>
        </w:rPr>
        <w:t>for</w:t>
      </w:r>
      <w:r w:rsidR="00A243C7">
        <w:rPr>
          <w:color w:val="000000" w:themeColor="text1"/>
        </w:rPr>
        <w:t xml:space="preserve"> </w:t>
      </w:r>
      <w:r w:rsidR="00A243C7" w:rsidRPr="00D85A0A">
        <w:rPr>
          <w:color w:val="000000" w:themeColor="text1"/>
        </w:rPr>
        <w:t>major</w:t>
      </w:r>
      <w:r w:rsidR="00A243C7">
        <w:rPr>
          <w:color w:val="000000" w:themeColor="text1"/>
        </w:rPr>
        <w:t xml:space="preserve"> </w:t>
      </w:r>
      <w:r w:rsidR="00A243C7" w:rsidRPr="00D85A0A">
        <w:rPr>
          <w:color w:val="000000" w:themeColor="text1"/>
        </w:rPr>
        <w:t>banks)</w:t>
      </w:r>
      <w:r w:rsidR="00A243C7">
        <w:rPr>
          <w:color w:val="000000" w:themeColor="text1"/>
        </w:rPr>
        <w:t xml:space="preserve">, </w:t>
      </w:r>
      <w:r w:rsidR="00337381" w:rsidRPr="00D85A0A">
        <w:rPr>
          <w:color w:val="000000" w:themeColor="text1"/>
        </w:rPr>
        <w:t>the</w:t>
      </w:r>
      <w:r w:rsidR="009A0847">
        <w:rPr>
          <w:color w:val="000000" w:themeColor="text1"/>
        </w:rPr>
        <w:t xml:space="preserve"> </w:t>
      </w:r>
      <w:r w:rsidR="00337381" w:rsidRPr="00D85A0A">
        <w:rPr>
          <w:color w:val="000000" w:themeColor="text1"/>
        </w:rPr>
        <w:t>amount</w:t>
      </w:r>
      <w:r w:rsidR="009A0847">
        <w:rPr>
          <w:color w:val="000000" w:themeColor="text1"/>
        </w:rPr>
        <w:t xml:space="preserve"> </w:t>
      </w:r>
      <w:r w:rsidR="00667D08">
        <w:rPr>
          <w:color w:val="000000" w:themeColor="text1"/>
        </w:rPr>
        <w:t>banks</w:t>
      </w:r>
      <w:r w:rsidR="009A0847">
        <w:rPr>
          <w:color w:val="000000" w:themeColor="text1"/>
        </w:rPr>
        <w:t xml:space="preserve"> </w:t>
      </w:r>
      <w:r w:rsidR="00667D08">
        <w:rPr>
          <w:color w:val="000000" w:themeColor="text1"/>
        </w:rPr>
        <w:t>would</w:t>
      </w:r>
      <w:r w:rsidR="009A0847">
        <w:rPr>
          <w:color w:val="000000" w:themeColor="text1"/>
        </w:rPr>
        <w:t xml:space="preserve"> </w:t>
      </w:r>
      <w:r w:rsidR="0036020F">
        <w:rPr>
          <w:color w:val="000000" w:themeColor="text1"/>
        </w:rPr>
        <w:t>be asked</w:t>
      </w:r>
      <w:r w:rsidR="009A0847">
        <w:rPr>
          <w:color w:val="000000" w:themeColor="text1"/>
        </w:rPr>
        <w:t xml:space="preserve"> </w:t>
      </w:r>
      <w:r w:rsidR="00667D08">
        <w:rPr>
          <w:color w:val="000000" w:themeColor="text1"/>
        </w:rPr>
        <w:t>to</w:t>
      </w:r>
      <w:r w:rsidR="009A0847">
        <w:rPr>
          <w:color w:val="000000" w:themeColor="text1"/>
        </w:rPr>
        <w:t xml:space="preserve"> </w:t>
      </w:r>
      <w:r w:rsidR="00667D08">
        <w:rPr>
          <w:color w:val="000000" w:themeColor="text1"/>
        </w:rPr>
        <w:t>borrow</w:t>
      </w:r>
      <w:r w:rsidR="009A0847">
        <w:rPr>
          <w:color w:val="000000" w:themeColor="text1"/>
        </w:rPr>
        <w:t xml:space="preserve"> </w:t>
      </w:r>
      <w:r w:rsidR="00337381" w:rsidRPr="00D85A0A">
        <w:rPr>
          <w:color w:val="000000" w:themeColor="text1"/>
        </w:rPr>
        <w:t>(it</w:t>
      </w:r>
      <w:r w:rsidR="009A0847">
        <w:rPr>
          <w:color w:val="000000" w:themeColor="text1"/>
        </w:rPr>
        <w:t xml:space="preserve"> </w:t>
      </w:r>
      <w:r w:rsidR="00337381" w:rsidRPr="00D85A0A">
        <w:rPr>
          <w:color w:val="000000" w:themeColor="text1"/>
        </w:rPr>
        <w:t>could</w:t>
      </w:r>
      <w:r w:rsidR="009A0847">
        <w:rPr>
          <w:color w:val="000000" w:themeColor="text1"/>
        </w:rPr>
        <w:t xml:space="preserve"> </w:t>
      </w:r>
      <w:r w:rsidR="00337381" w:rsidRPr="00D85A0A">
        <w:rPr>
          <w:color w:val="000000" w:themeColor="text1"/>
        </w:rPr>
        <w:t>be</w:t>
      </w:r>
      <w:r w:rsidR="009A0847">
        <w:rPr>
          <w:color w:val="000000" w:themeColor="text1"/>
        </w:rPr>
        <w:t xml:space="preserve"> </w:t>
      </w:r>
      <w:r w:rsidR="00337381" w:rsidRPr="00D85A0A">
        <w:rPr>
          <w:color w:val="000000" w:themeColor="text1"/>
        </w:rPr>
        <w:t>a</w:t>
      </w:r>
      <w:r w:rsidR="009A0847">
        <w:rPr>
          <w:color w:val="000000" w:themeColor="text1"/>
        </w:rPr>
        <w:t xml:space="preserve"> </w:t>
      </w:r>
      <w:r w:rsidR="00337381" w:rsidRPr="00D85A0A">
        <w:rPr>
          <w:color w:val="000000" w:themeColor="text1"/>
        </w:rPr>
        <w:t>function</w:t>
      </w:r>
      <w:r w:rsidR="009A0847">
        <w:rPr>
          <w:color w:val="000000" w:themeColor="text1"/>
        </w:rPr>
        <w:t xml:space="preserve"> </w:t>
      </w:r>
      <w:r w:rsidR="00337381" w:rsidRPr="00D85A0A">
        <w:rPr>
          <w:color w:val="000000" w:themeColor="text1"/>
        </w:rPr>
        <w:t>of</w:t>
      </w:r>
      <w:r w:rsidR="009A0847">
        <w:rPr>
          <w:color w:val="000000" w:themeColor="text1"/>
        </w:rPr>
        <w:t xml:space="preserve"> </w:t>
      </w:r>
      <w:r w:rsidR="00337381" w:rsidRPr="00D85A0A">
        <w:rPr>
          <w:color w:val="000000" w:themeColor="text1"/>
        </w:rPr>
        <w:t>the</w:t>
      </w:r>
      <w:r w:rsidR="009A0847">
        <w:rPr>
          <w:color w:val="000000" w:themeColor="text1"/>
        </w:rPr>
        <w:t xml:space="preserve"> </w:t>
      </w:r>
      <w:r w:rsidR="00337381" w:rsidRPr="00D85A0A">
        <w:rPr>
          <w:color w:val="000000" w:themeColor="text1"/>
        </w:rPr>
        <w:t>bank</w:t>
      </w:r>
      <w:r w:rsidR="00667D08">
        <w:rPr>
          <w:color w:val="000000" w:themeColor="text1"/>
        </w:rPr>
        <w:t>’</w:t>
      </w:r>
      <w:r w:rsidR="00337381" w:rsidRPr="00D85A0A">
        <w:rPr>
          <w:color w:val="000000" w:themeColor="text1"/>
        </w:rPr>
        <w:t>s</w:t>
      </w:r>
      <w:r w:rsidR="009A0847">
        <w:rPr>
          <w:color w:val="000000" w:themeColor="text1"/>
        </w:rPr>
        <w:t xml:space="preserve"> </w:t>
      </w:r>
      <w:r w:rsidR="00337381" w:rsidRPr="00D85A0A">
        <w:rPr>
          <w:color w:val="000000" w:themeColor="text1"/>
        </w:rPr>
        <w:t>size),</w:t>
      </w:r>
      <w:r w:rsidR="009A0847">
        <w:rPr>
          <w:color w:val="000000" w:themeColor="text1"/>
        </w:rPr>
        <w:t xml:space="preserve"> </w:t>
      </w:r>
      <w:r w:rsidR="00337381" w:rsidRPr="00D85A0A">
        <w:rPr>
          <w:color w:val="000000" w:themeColor="text1"/>
        </w:rPr>
        <w:t>the</w:t>
      </w:r>
      <w:r w:rsidR="009A0847">
        <w:rPr>
          <w:color w:val="000000" w:themeColor="text1"/>
        </w:rPr>
        <w:t xml:space="preserve"> </w:t>
      </w:r>
      <w:r w:rsidR="00337381" w:rsidRPr="00D85A0A">
        <w:rPr>
          <w:color w:val="000000" w:themeColor="text1"/>
        </w:rPr>
        <w:t>timing</w:t>
      </w:r>
      <w:r w:rsidR="009A0847">
        <w:rPr>
          <w:color w:val="000000" w:themeColor="text1"/>
        </w:rPr>
        <w:t xml:space="preserve"> </w:t>
      </w:r>
      <w:r w:rsidR="00337381" w:rsidRPr="00D85A0A">
        <w:rPr>
          <w:color w:val="000000" w:themeColor="text1"/>
        </w:rPr>
        <w:t>of</w:t>
      </w:r>
      <w:r w:rsidR="009A0847">
        <w:rPr>
          <w:color w:val="000000" w:themeColor="text1"/>
        </w:rPr>
        <w:t xml:space="preserve"> </w:t>
      </w:r>
      <w:r w:rsidR="00A243C7">
        <w:rPr>
          <w:color w:val="000000" w:themeColor="text1"/>
        </w:rPr>
        <w:t xml:space="preserve">random </w:t>
      </w:r>
      <w:r w:rsidR="00337381" w:rsidRPr="00D85A0A">
        <w:rPr>
          <w:color w:val="000000" w:themeColor="text1"/>
        </w:rPr>
        <w:t>borrowing</w:t>
      </w:r>
      <w:r w:rsidR="009A0847">
        <w:rPr>
          <w:color w:val="000000" w:themeColor="text1"/>
        </w:rPr>
        <w:t xml:space="preserve"> </w:t>
      </w:r>
      <w:r w:rsidR="00337381" w:rsidRPr="00D85A0A">
        <w:rPr>
          <w:color w:val="000000" w:themeColor="text1"/>
        </w:rPr>
        <w:t>(e.g.</w:t>
      </w:r>
      <w:r w:rsidR="009A0847">
        <w:rPr>
          <w:color w:val="000000" w:themeColor="text1"/>
        </w:rPr>
        <w:t xml:space="preserve"> </w:t>
      </w:r>
      <w:r w:rsidR="00337381" w:rsidRPr="00D85A0A">
        <w:rPr>
          <w:color w:val="000000" w:themeColor="text1"/>
        </w:rPr>
        <w:t>a</w:t>
      </w:r>
      <w:r w:rsidR="009A0847">
        <w:rPr>
          <w:color w:val="000000" w:themeColor="text1"/>
        </w:rPr>
        <w:t xml:space="preserve"> </w:t>
      </w:r>
      <w:r w:rsidR="00337381" w:rsidRPr="00D85A0A">
        <w:rPr>
          <w:color w:val="000000" w:themeColor="text1"/>
        </w:rPr>
        <w:t>bank</w:t>
      </w:r>
      <w:r w:rsidR="009A0847">
        <w:rPr>
          <w:color w:val="000000" w:themeColor="text1"/>
        </w:rPr>
        <w:t xml:space="preserve"> </w:t>
      </w:r>
      <w:r w:rsidR="00337381" w:rsidRPr="00D85A0A">
        <w:rPr>
          <w:color w:val="000000" w:themeColor="text1"/>
        </w:rPr>
        <w:t>could</w:t>
      </w:r>
      <w:r w:rsidR="009A0847">
        <w:rPr>
          <w:color w:val="000000" w:themeColor="text1"/>
        </w:rPr>
        <w:t xml:space="preserve"> </w:t>
      </w:r>
      <w:r w:rsidR="00337381" w:rsidRPr="00D85A0A">
        <w:rPr>
          <w:color w:val="000000" w:themeColor="text1"/>
        </w:rPr>
        <w:t>be</w:t>
      </w:r>
      <w:r w:rsidR="009A0847">
        <w:rPr>
          <w:color w:val="000000" w:themeColor="text1"/>
        </w:rPr>
        <w:t xml:space="preserve"> </w:t>
      </w:r>
      <w:r w:rsidR="00337381" w:rsidRPr="00D85A0A">
        <w:rPr>
          <w:color w:val="000000" w:themeColor="text1"/>
        </w:rPr>
        <w:t>given</w:t>
      </w:r>
      <w:r w:rsidR="009A0847">
        <w:rPr>
          <w:color w:val="000000" w:themeColor="text1"/>
        </w:rPr>
        <w:t xml:space="preserve"> </w:t>
      </w:r>
      <w:r w:rsidR="00337381" w:rsidRPr="00D85A0A">
        <w:rPr>
          <w:color w:val="000000" w:themeColor="text1"/>
        </w:rPr>
        <w:t>a</w:t>
      </w:r>
      <w:r w:rsidR="009A0847">
        <w:rPr>
          <w:color w:val="000000" w:themeColor="text1"/>
        </w:rPr>
        <w:t xml:space="preserve"> </w:t>
      </w:r>
      <w:r w:rsidR="00337381" w:rsidRPr="00D85A0A">
        <w:rPr>
          <w:color w:val="000000" w:themeColor="text1"/>
        </w:rPr>
        <w:t>week</w:t>
      </w:r>
      <w:r w:rsidR="009A0847">
        <w:rPr>
          <w:color w:val="000000" w:themeColor="text1"/>
        </w:rPr>
        <w:t xml:space="preserve"> </w:t>
      </w:r>
      <w:r w:rsidR="00337381" w:rsidRPr="00D85A0A">
        <w:rPr>
          <w:color w:val="000000" w:themeColor="text1"/>
        </w:rPr>
        <w:t>notice),</w:t>
      </w:r>
      <w:r w:rsidR="00337381" w:rsidRPr="00D85A0A">
        <w:rPr>
          <w:rStyle w:val="FootnoteReference"/>
          <w:color w:val="000000" w:themeColor="text1"/>
        </w:rPr>
        <w:footnoteReference w:id="33"/>
      </w:r>
      <w:r w:rsidR="009A0847">
        <w:rPr>
          <w:color w:val="000000" w:themeColor="text1"/>
        </w:rPr>
        <w:t xml:space="preserve"> </w:t>
      </w:r>
      <w:r w:rsidR="00337381" w:rsidRPr="00D85A0A">
        <w:rPr>
          <w:color w:val="000000" w:themeColor="text1"/>
        </w:rPr>
        <w:t>and</w:t>
      </w:r>
      <w:r w:rsidR="009A0847">
        <w:rPr>
          <w:color w:val="000000" w:themeColor="text1"/>
        </w:rPr>
        <w:t xml:space="preserve"> </w:t>
      </w:r>
      <w:r w:rsidR="00337381" w:rsidRPr="00D85A0A">
        <w:rPr>
          <w:color w:val="000000" w:themeColor="text1"/>
        </w:rPr>
        <w:t>the</w:t>
      </w:r>
      <w:r w:rsidR="009A0847">
        <w:rPr>
          <w:color w:val="000000" w:themeColor="text1"/>
        </w:rPr>
        <w:t xml:space="preserve"> </w:t>
      </w:r>
      <w:r w:rsidR="00337381" w:rsidRPr="00D85A0A">
        <w:rPr>
          <w:color w:val="000000" w:themeColor="text1"/>
        </w:rPr>
        <w:t>disclosure</w:t>
      </w:r>
      <w:r w:rsidR="009A0847">
        <w:rPr>
          <w:color w:val="000000" w:themeColor="text1"/>
        </w:rPr>
        <w:t xml:space="preserve"> </w:t>
      </w:r>
      <w:r w:rsidR="00337381" w:rsidRPr="00D85A0A">
        <w:rPr>
          <w:color w:val="000000" w:themeColor="text1"/>
        </w:rPr>
        <w:t>policy</w:t>
      </w:r>
      <w:r w:rsidR="009A0847">
        <w:rPr>
          <w:color w:val="000000" w:themeColor="text1"/>
        </w:rPr>
        <w:t xml:space="preserve"> </w:t>
      </w:r>
      <w:r w:rsidR="00337381" w:rsidRPr="00D85A0A">
        <w:rPr>
          <w:color w:val="000000" w:themeColor="text1"/>
        </w:rPr>
        <w:t>(banks</w:t>
      </w:r>
      <w:r w:rsidR="009A0847">
        <w:rPr>
          <w:color w:val="000000" w:themeColor="text1"/>
        </w:rPr>
        <w:t xml:space="preserve"> </w:t>
      </w:r>
      <w:r w:rsidR="00337381" w:rsidRPr="00D85A0A">
        <w:rPr>
          <w:color w:val="000000" w:themeColor="text1"/>
        </w:rPr>
        <w:t>would</w:t>
      </w:r>
      <w:r w:rsidR="009A0847">
        <w:rPr>
          <w:color w:val="000000" w:themeColor="text1"/>
        </w:rPr>
        <w:t xml:space="preserve"> </w:t>
      </w:r>
      <w:r w:rsidR="00337381" w:rsidRPr="00D85A0A">
        <w:rPr>
          <w:color w:val="000000" w:themeColor="text1"/>
        </w:rPr>
        <w:t>not</w:t>
      </w:r>
      <w:r w:rsidR="009A0847">
        <w:rPr>
          <w:color w:val="000000" w:themeColor="text1"/>
        </w:rPr>
        <w:t xml:space="preserve"> </w:t>
      </w:r>
      <w:r w:rsidR="00337381" w:rsidRPr="00D85A0A">
        <w:rPr>
          <w:color w:val="000000" w:themeColor="text1"/>
        </w:rPr>
        <w:t>be</w:t>
      </w:r>
      <w:r w:rsidR="009A0847">
        <w:rPr>
          <w:color w:val="000000" w:themeColor="text1"/>
        </w:rPr>
        <w:t xml:space="preserve"> </w:t>
      </w:r>
      <w:r w:rsidR="00337381" w:rsidRPr="00D85A0A">
        <w:rPr>
          <w:color w:val="000000" w:themeColor="text1"/>
        </w:rPr>
        <w:t>allowed</w:t>
      </w:r>
      <w:r w:rsidR="009A0847">
        <w:rPr>
          <w:color w:val="000000" w:themeColor="text1"/>
        </w:rPr>
        <w:t xml:space="preserve"> </w:t>
      </w:r>
      <w:r w:rsidR="00337381" w:rsidRPr="00D85A0A">
        <w:rPr>
          <w:color w:val="000000" w:themeColor="text1"/>
        </w:rPr>
        <w:t>to</w:t>
      </w:r>
      <w:r w:rsidR="009A0847">
        <w:rPr>
          <w:color w:val="000000" w:themeColor="text1"/>
        </w:rPr>
        <w:t xml:space="preserve"> </w:t>
      </w:r>
      <w:r w:rsidR="00337381" w:rsidRPr="00D85A0A">
        <w:rPr>
          <w:color w:val="000000" w:themeColor="text1"/>
        </w:rPr>
        <w:t>disclose</w:t>
      </w:r>
      <w:r w:rsidR="009A0847">
        <w:rPr>
          <w:color w:val="000000" w:themeColor="text1"/>
        </w:rPr>
        <w:t xml:space="preserve"> </w:t>
      </w:r>
      <w:r w:rsidR="00337381" w:rsidRPr="00D85A0A">
        <w:rPr>
          <w:color w:val="000000" w:themeColor="text1"/>
        </w:rPr>
        <w:t>random</w:t>
      </w:r>
      <w:r w:rsidR="009A0847">
        <w:rPr>
          <w:color w:val="000000" w:themeColor="text1"/>
        </w:rPr>
        <w:t xml:space="preserve"> </w:t>
      </w:r>
      <w:r w:rsidR="00337381" w:rsidRPr="00D85A0A">
        <w:rPr>
          <w:color w:val="000000" w:themeColor="text1"/>
        </w:rPr>
        <w:t>borrowing</w:t>
      </w:r>
      <w:r w:rsidR="009A0847">
        <w:rPr>
          <w:color w:val="000000" w:themeColor="text1"/>
        </w:rPr>
        <w:t xml:space="preserve"> </w:t>
      </w:r>
      <w:r w:rsidR="00337381" w:rsidRPr="00D85A0A">
        <w:rPr>
          <w:color w:val="000000" w:themeColor="text1"/>
        </w:rPr>
        <w:t>in</w:t>
      </w:r>
      <w:r w:rsidR="009A0847">
        <w:rPr>
          <w:color w:val="000000" w:themeColor="text1"/>
        </w:rPr>
        <w:t xml:space="preserve"> </w:t>
      </w:r>
      <w:r w:rsidR="00337381" w:rsidRPr="00D85A0A">
        <w:rPr>
          <w:color w:val="000000" w:themeColor="text1"/>
        </w:rPr>
        <w:t>real</w:t>
      </w:r>
      <w:r w:rsidR="009A0847">
        <w:rPr>
          <w:color w:val="000000" w:themeColor="text1"/>
        </w:rPr>
        <w:t xml:space="preserve"> </w:t>
      </w:r>
      <w:r w:rsidR="00337381" w:rsidRPr="00D85A0A">
        <w:rPr>
          <w:color w:val="000000" w:themeColor="text1"/>
        </w:rPr>
        <w:t>time).</w:t>
      </w:r>
    </w:p>
    <w:p w14:paraId="4F189CA3" w14:textId="1B7F63F7" w:rsidR="00074C6B" w:rsidRPr="00D85A0A" w:rsidRDefault="00AD3477" w:rsidP="00F86E09">
      <w:pPr>
        <w:pStyle w:val="Olivier1"/>
        <w:widowControl w:val="0"/>
        <w:ind w:firstLine="270"/>
        <w:rPr>
          <w:color w:val="000000" w:themeColor="text1"/>
        </w:rPr>
      </w:pPr>
      <w:r w:rsidRPr="00D85A0A">
        <w:rPr>
          <w:color w:val="000000" w:themeColor="text1"/>
        </w:rPr>
        <w:t>It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should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be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noted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that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the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premise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for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our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analysis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is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that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the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LoLR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responsibilities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are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assigned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to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the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DW.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Our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objective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was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then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to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explore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adjustments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to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the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DW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that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can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address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stigma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concerns.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In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other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words,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we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focused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on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solutions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that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could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be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implemented</w:t>
      </w:r>
      <w:r w:rsidR="009A0847">
        <w:rPr>
          <w:color w:val="000000" w:themeColor="text1"/>
        </w:rPr>
        <w:t xml:space="preserve"> </w:t>
      </w:r>
      <w:r w:rsidR="0036020F">
        <w:rPr>
          <w:color w:val="000000" w:themeColor="text1"/>
        </w:rPr>
        <w:t xml:space="preserve">in the </w:t>
      </w:r>
      <w:r w:rsidRPr="00D85A0A">
        <w:rPr>
          <w:color w:val="000000" w:themeColor="text1"/>
        </w:rPr>
        <w:t>relatively</w:t>
      </w:r>
      <w:r w:rsidR="009A0847">
        <w:rPr>
          <w:color w:val="000000" w:themeColor="text1"/>
        </w:rPr>
        <w:t xml:space="preserve"> </w:t>
      </w:r>
      <w:r w:rsidR="0036020F">
        <w:rPr>
          <w:color w:val="000000" w:themeColor="text1"/>
        </w:rPr>
        <w:t>short term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and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without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major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disruptions.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Of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course,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this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should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not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prevent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a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more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general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discussion</w:t>
      </w:r>
      <w:r w:rsidR="009A0847">
        <w:rPr>
          <w:color w:val="000000" w:themeColor="text1"/>
        </w:rPr>
        <w:t xml:space="preserve"> </w:t>
      </w:r>
      <w:r w:rsidR="00C31375">
        <w:rPr>
          <w:color w:val="000000" w:themeColor="text1"/>
        </w:rPr>
        <w:t>about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DW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alternatives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and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optimal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LoLR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mechanisms.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Such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possible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alternatives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include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transforming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the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DW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into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a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fee-based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contingent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liquidity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facility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(Nelson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2017),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the</w:t>
      </w:r>
      <w:r w:rsidR="009A0847">
        <w:rPr>
          <w:color w:val="000000" w:themeColor="text1"/>
        </w:rPr>
        <w:t xml:space="preserve"> </w:t>
      </w:r>
      <w:r w:rsidRPr="00D85A0A">
        <w:rPr>
          <w:rFonts w:eastAsiaTheme="minorEastAsia"/>
          <w:color w:val="000000" w:themeColor="text1"/>
        </w:rPr>
        <w:t>“pawnbroker”</w:t>
      </w:r>
      <w:r w:rsidR="009A0847">
        <w:rPr>
          <w:rFonts w:eastAsiaTheme="minorEastAsia"/>
          <w:color w:val="000000" w:themeColor="text1"/>
        </w:rPr>
        <w:t xml:space="preserve"> </w:t>
      </w:r>
      <w:r w:rsidRPr="00D85A0A">
        <w:rPr>
          <w:rFonts w:eastAsiaTheme="minorEastAsia"/>
          <w:color w:val="000000" w:themeColor="text1"/>
        </w:rPr>
        <w:t>approach</w:t>
      </w:r>
      <w:r w:rsidR="009A0847">
        <w:rPr>
          <w:rFonts w:eastAsiaTheme="minorEastAsia"/>
          <w:color w:val="000000" w:themeColor="text1"/>
        </w:rPr>
        <w:t xml:space="preserve"> </w:t>
      </w:r>
      <w:r w:rsidRPr="00D85A0A">
        <w:rPr>
          <w:rFonts w:eastAsiaTheme="minorEastAsia"/>
          <w:color w:val="000000" w:themeColor="text1"/>
        </w:rPr>
        <w:t>of</w:t>
      </w:r>
      <w:r w:rsidR="009A0847">
        <w:rPr>
          <w:rFonts w:eastAsiaTheme="minorEastAsia"/>
          <w:color w:val="000000" w:themeColor="text1"/>
        </w:rPr>
        <w:t xml:space="preserve"> </w:t>
      </w:r>
      <w:r w:rsidRPr="00D85A0A">
        <w:rPr>
          <w:rFonts w:eastAsiaTheme="minorEastAsia"/>
          <w:color w:val="000000" w:themeColor="text1"/>
        </w:rPr>
        <w:t>King</w:t>
      </w:r>
      <w:r w:rsidR="009A0847">
        <w:rPr>
          <w:rFonts w:eastAsiaTheme="minorEastAsia"/>
          <w:color w:val="000000" w:themeColor="text1"/>
        </w:rPr>
        <w:t xml:space="preserve"> </w:t>
      </w:r>
      <w:r w:rsidRPr="00D85A0A">
        <w:rPr>
          <w:rFonts w:eastAsiaTheme="minorEastAsia"/>
          <w:color w:val="000000" w:themeColor="text1"/>
        </w:rPr>
        <w:t>(2016</w:t>
      </w:r>
      <w:r w:rsidR="00AC697C">
        <w:rPr>
          <w:rFonts w:eastAsiaTheme="minorEastAsia"/>
          <w:color w:val="000000" w:themeColor="text1"/>
        </w:rPr>
        <w:t>b</w:t>
      </w:r>
      <w:r w:rsidRPr="00D85A0A">
        <w:rPr>
          <w:rFonts w:eastAsiaTheme="minorEastAsia"/>
          <w:color w:val="000000" w:themeColor="text1"/>
        </w:rPr>
        <w:t>),</w:t>
      </w:r>
      <w:r w:rsidR="009A0847">
        <w:rPr>
          <w:rFonts w:eastAsiaTheme="minorEastAsia"/>
          <w:color w:val="000000" w:themeColor="text1"/>
        </w:rPr>
        <w:t xml:space="preserve"> </w:t>
      </w:r>
      <w:r w:rsidRPr="00D85A0A">
        <w:rPr>
          <w:rFonts w:eastAsiaTheme="minorEastAsia"/>
          <w:color w:val="000000" w:themeColor="text1"/>
        </w:rPr>
        <w:t>open</w:t>
      </w:r>
      <w:r w:rsidR="009A0847">
        <w:rPr>
          <w:rFonts w:eastAsiaTheme="minorEastAsia"/>
          <w:color w:val="000000" w:themeColor="text1"/>
        </w:rPr>
        <w:t xml:space="preserve"> </w:t>
      </w:r>
      <w:r w:rsidRPr="00D85A0A">
        <w:rPr>
          <w:rFonts w:eastAsiaTheme="minorEastAsia"/>
          <w:color w:val="000000" w:themeColor="text1"/>
        </w:rPr>
        <w:t>market</w:t>
      </w:r>
      <w:r w:rsidR="009A0847">
        <w:rPr>
          <w:rFonts w:eastAsiaTheme="minorEastAsia"/>
          <w:color w:val="000000" w:themeColor="text1"/>
        </w:rPr>
        <w:t xml:space="preserve"> </w:t>
      </w:r>
      <w:r w:rsidRPr="00D85A0A">
        <w:rPr>
          <w:rFonts w:eastAsiaTheme="minorEastAsia"/>
          <w:color w:val="000000" w:themeColor="text1"/>
        </w:rPr>
        <w:t>type</w:t>
      </w:r>
      <w:r w:rsidR="009A0847">
        <w:rPr>
          <w:rFonts w:eastAsiaTheme="minorEastAsia"/>
          <w:color w:val="000000" w:themeColor="text1"/>
        </w:rPr>
        <w:t xml:space="preserve"> </w:t>
      </w:r>
      <w:r w:rsidRPr="00D85A0A">
        <w:rPr>
          <w:rFonts w:eastAsiaTheme="minorEastAsia"/>
          <w:color w:val="000000" w:themeColor="text1"/>
        </w:rPr>
        <w:t>auctions</w:t>
      </w:r>
      <w:r w:rsidR="009A0847">
        <w:rPr>
          <w:rFonts w:eastAsiaTheme="minorEastAsia"/>
          <w:color w:val="000000" w:themeColor="text1"/>
        </w:rPr>
        <w:t xml:space="preserve"> </w:t>
      </w:r>
      <w:r w:rsidRPr="00D85A0A">
        <w:rPr>
          <w:rFonts w:eastAsiaTheme="minorEastAsia"/>
          <w:color w:val="000000" w:themeColor="text1"/>
        </w:rPr>
        <w:t>(Selgin</w:t>
      </w:r>
      <w:r w:rsidR="009A0847">
        <w:rPr>
          <w:rFonts w:eastAsiaTheme="minorEastAsia"/>
          <w:color w:val="000000" w:themeColor="text1"/>
        </w:rPr>
        <w:t xml:space="preserve"> </w:t>
      </w:r>
      <w:r w:rsidRPr="00D85A0A">
        <w:rPr>
          <w:rFonts w:eastAsiaTheme="minorEastAsia"/>
          <w:color w:val="000000" w:themeColor="text1"/>
        </w:rPr>
        <w:t>2017),</w:t>
      </w:r>
      <w:r w:rsidR="009A0847">
        <w:rPr>
          <w:rFonts w:eastAsiaTheme="minorEastAsia"/>
          <w:color w:val="000000" w:themeColor="text1"/>
        </w:rPr>
        <w:t xml:space="preserve"> </w:t>
      </w:r>
      <w:r w:rsidRPr="00D85A0A">
        <w:rPr>
          <w:rFonts w:eastAsiaTheme="minorEastAsia"/>
          <w:color w:val="000000" w:themeColor="text1"/>
        </w:rPr>
        <w:t>and</w:t>
      </w:r>
      <w:r w:rsidR="009A0847">
        <w:rPr>
          <w:rFonts w:eastAsiaTheme="minorEastAsia"/>
          <w:color w:val="000000" w:themeColor="text1"/>
        </w:rPr>
        <w:t xml:space="preserve"> </w:t>
      </w:r>
      <w:r w:rsidRPr="00D85A0A">
        <w:rPr>
          <w:rFonts w:eastAsiaTheme="minorEastAsia"/>
          <w:color w:val="000000" w:themeColor="text1"/>
        </w:rPr>
        <w:t>regular</w:t>
      </w:r>
      <w:r w:rsidR="009A0847">
        <w:rPr>
          <w:rFonts w:eastAsiaTheme="minorEastAsia"/>
          <w:color w:val="000000" w:themeColor="text1"/>
        </w:rPr>
        <w:t xml:space="preserve"> </w:t>
      </w:r>
      <w:r w:rsidRPr="00D85A0A">
        <w:rPr>
          <w:rFonts w:eastAsiaTheme="minorEastAsia"/>
          <w:color w:val="000000" w:themeColor="text1"/>
        </w:rPr>
        <w:t>liquidity</w:t>
      </w:r>
      <w:r w:rsidR="009A0847">
        <w:rPr>
          <w:rFonts w:eastAsiaTheme="minorEastAsia"/>
          <w:color w:val="000000" w:themeColor="text1"/>
        </w:rPr>
        <w:t xml:space="preserve"> </w:t>
      </w:r>
      <w:r w:rsidRPr="00D85A0A">
        <w:rPr>
          <w:rFonts w:eastAsiaTheme="minorEastAsia"/>
          <w:color w:val="000000" w:themeColor="text1"/>
        </w:rPr>
        <w:t>auctions</w:t>
      </w:r>
      <w:r w:rsidR="009A0847">
        <w:rPr>
          <w:rFonts w:eastAsiaTheme="minorEastAsia"/>
          <w:color w:val="000000" w:themeColor="text1"/>
        </w:rPr>
        <w:t xml:space="preserve"> </w:t>
      </w:r>
      <w:r w:rsidRPr="00D85A0A">
        <w:rPr>
          <w:rFonts w:eastAsiaTheme="minorEastAsia"/>
          <w:color w:val="000000" w:themeColor="text1"/>
        </w:rPr>
        <w:t>(similar</w:t>
      </w:r>
      <w:r w:rsidR="009A0847">
        <w:rPr>
          <w:rFonts w:eastAsiaTheme="minorEastAsia"/>
          <w:color w:val="000000" w:themeColor="text1"/>
        </w:rPr>
        <w:t xml:space="preserve"> </w:t>
      </w:r>
      <w:r w:rsidRPr="00D85A0A">
        <w:rPr>
          <w:rFonts w:eastAsiaTheme="minorEastAsia"/>
          <w:color w:val="000000" w:themeColor="text1"/>
        </w:rPr>
        <w:t>to</w:t>
      </w:r>
      <w:r w:rsidR="009A0847">
        <w:rPr>
          <w:rFonts w:eastAsiaTheme="minorEastAsia"/>
          <w:color w:val="000000" w:themeColor="text1"/>
        </w:rPr>
        <w:t xml:space="preserve"> </w:t>
      </w:r>
      <w:r w:rsidRPr="00D85A0A">
        <w:rPr>
          <w:rFonts w:eastAsiaTheme="minorEastAsia"/>
          <w:color w:val="000000" w:themeColor="text1"/>
        </w:rPr>
        <w:t>the</w:t>
      </w:r>
      <w:r w:rsidR="009A0847">
        <w:rPr>
          <w:rFonts w:eastAsiaTheme="minorEastAsia"/>
          <w:color w:val="000000" w:themeColor="text1"/>
        </w:rPr>
        <w:t xml:space="preserve"> </w:t>
      </w:r>
      <w:r w:rsidRPr="00D85A0A">
        <w:rPr>
          <w:rFonts w:eastAsiaTheme="minorEastAsia"/>
          <w:color w:val="000000" w:themeColor="text1"/>
        </w:rPr>
        <w:t>Term</w:t>
      </w:r>
      <w:r w:rsidR="009A0847">
        <w:rPr>
          <w:rFonts w:eastAsiaTheme="minorEastAsia"/>
          <w:color w:val="000000" w:themeColor="text1"/>
        </w:rPr>
        <w:t xml:space="preserve"> </w:t>
      </w:r>
      <w:r w:rsidRPr="00D85A0A">
        <w:rPr>
          <w:rFonts w:eastAsiaTheme="minorEastAsia"/>
          <w:color w:val="000000" w:themeColor="text1"/>
        </w:rPr>
        <w:t>Auction</w:t>
      </w:r>
      <w:r w:rsidR="009A0847">
        <w:rPr>
          <w:rFonts w:eastAsiaTheme="minorEastAsia"/>
          <w:color w:val="000000" w:themeColor="text1"/>
        </w:rPr>
        <w:t xml:space="preserve"> </w:t>
      </w:r>
      <w:r w:rsidRPr="00D85A0A">
        <w:rPr>
          <w:rFonts w:eastAsiaTheme="minorEastAsia"/>
          <w:color w:val="000000" w:themeColor="text1"/>
        </w:rPr>
        <w:t>Facility</w:t>
      </w:r>
      <w:r w:rsidR="009A0847">
        <w:rPr>
          <w:rFonts w:eastAsiaTheme="minorEastAsia"/>
          <w:color w:val="000000" w:themeColor="text1"/>
        </w:rPr>
        <w:t xml:space="preserve"> </w:t>
      </w:r>
      <w:r w:rsidRPr="00D85A0A">
        <w:rPr>
          <w:rFonts w:eastAsiaTheme="minorEastAsia"/>
          <w:color w:val="000000" w:themeColor="text1"/>
        </w:rPr>
        <w:t>used</w:t>
      </w:r>
      <w:r w:rsidR="009A0847">
        <w:rPr>
          <w:rFonts w:eastAsiaTheme="minorEastAsia"/>
          <w:color w:val="000000" w:themeColor="text1"/>
        </w:rPr>
        <w:t xml:space="preserve"> </w:t>
      </w:r>
      <w:r w:rsidRPr="00D85A0A">
        <w:rPr>
          <w:rFonts w:eastAsiaTheme="minorEastAsia"/>
          <w:color w:val="000000" w:themeColor="text1"/>
        </w:rPr>
        <w:t>by</w:t>
      </w:r>
      <w:r w:rsidR="009A0847">
        <w:rPr>
          <w:rFonts w:eastAsiaTheme="minorEastAsia"/>
          <w:color w:val="000000" w:themeColor="text1"/>
        </w:rPr>
        <w:t xml:space="preserve"> </w:t>
      </w:r>
      <w:r w:rsidRPr="00D85A0A">
        <w:rPr>
          <w:rFonts w:eastAsiaTheme="minorEastAsia"/>
          <w:color w:val="000000" w:themeColor="text1"/>
        </w:rPr>
        <w:t>the</w:t>
      </w:r>
      <w:r w:rsidR="009A0847">
        <w:rPr>
          <w:rFonts w:eastAsiaTheme="minorEastAsia"/>
          <w:color w:val="000000" w:themeColor="text1"/>
        </w:rPr>
        <w:t xml:space="preserve"> </w:t>
      </w:r>
      <w:r w:rsidRPr="00D85A0A">
        <w:rPr>
          <w:rFonts w:eastAsiaTheme="minorEastAsia"/>
          <w:color w:val="000000" w:themeColor="text1"/>
        </w:rPr>
        <w:t>Fed</w:t>
      </w:r>
      <w:r w:rsidR="009A0847">
        <w:rPr>
          <w:rFonts w:eastAsiaTheme="minorEastAsia"/>
          <w:color w:val="000000" w:themeColor="text1"/>
        </w:rPr>
        <w:t xml:space="preserve"> </w:t>
      </w:r>
      <w:r w:rsidRPr="00D85A0A">
        <w:rPr>
          <w:rFonts w:eastAsiaTheme="minorEastAsia"/>
          <w:color w:val="000000" w:themeColor="text1"/>
        </w:rPr>
        <w:t>between</w:t>
      </w:r>
      <w:r w:rsidR="009A0847">
        <w:rPr>
          <w:rFonts w:eastAsiaTheme="minorEastAsia"/>
          <w:color w:val="000000" w:themeColor="text1"/>
        </w:rPr>
        <w:t xml:space="preserve"> </w:t>
      </w:r>
      <w:r w:rsidRPr="00D85A0A">
        <w:rPr>
          <w:rFonts w:eastAsiaTheme="minorEastAsia"/>
          <w:color w:val="000000" w:themeColor="text1"/>
        </w:rPr>
        <w:t>2007</w:t>
      </w:r>
      <w:r w:rsidR="009A0847">
        <w:rPr>
          <w:rFonts w:eastAsiaTheme="minorEastAsia"/>
          <w:color w:val="000000" w:themeColor="text1"/>
        </w:rPr>
        <w:t xml:space="preserve"> </w:t>
      </w:r>
      <w:r w:rsidRPr="00D85A0A">
        <w:rPr>
          <w:rFonts w:eastAsiaTheme="minorEastAsia"/>
          <w:color w:val="000000" w:themeColor="text1"/>
        </w:rPr>
        <w:t>and</w:t>
      </w:r>
      <w:r w:rsidR="009A0847">
        <w:rPr>
          <w:rFonts w:eastAsiaTheme="minorEastAsia"/>
          <w:color w:val="000000" w:themeColor="text1"/>
        </w:rPr>
        <w:t xml:space="preserve"> </w:t>
      </w:r>
      <w:r w:rsidRPr="00D85A0A">
        <w:rPr>
          <w:rFonts w:eastAsiaTheme="minorEastAsia"/>
          <w:color w:val="000000" w:themeColor="text1"/>
        </w:rPr>
        <w:t>2010,</w:t>
      </w:r>
      <w:r w:rsidR="009A0847">
        <w:rPr>
          <w:rFonts w:eastAsiaTheme="minorEastAsia"/>
          <w:color w:val="000000" w:themeColor="text1"/>
        </w:rPr>
        <w:t xml:space="preserve"> </w:t>
      </w:r>
      <w:r w:rsidRPr="00D85A0A">
        <w:rPr>
          <w:rFonts w:eastAsiaTheme="minorEastAsia"/>
          <w:color w:val="000000" w:themeColor="text1"/>
        </w:rPr>
        <w:t>or</w:t>
      </w:r>
      <w:r w:rsidR="009A0847">
        <w:rPr>
          <w:rFonts w:eastAsiaTheme="minorEastAsia"/>
          <w:color w:val="000000" w:themeColor="text1"/>
        </w:rPr>
        <w:t xml:space="preserve"> </w:t>
      </w:r>
      <w:r w:rsidRPr="00D85A0A">
        <w:rPr>
          <w:rFonts w:eastAsiaTheme="minorEastAsia"/>
          <w:color w:val="000000" w:themeColor="text1"/>
        </w:rPr>
        <w:t>the</w:t>
      </w:r>
      <w:r w:rsidR="009A0847">
        <w:rPr>
          <w:rFonts w:eastAsiaTheme="minorEastAsia"/>
          <w:color w:val="000000" w:themeColor="text1"/>
        </w:rPr>
        <w:t xml:space="preserve"> </w:t>
      </w:r>
      <w:r w:rsidRPr="00D85A0A">
        <w:rPr>
          <w:rFonts w:eastAsiaTheme="minorEastAsia"/>
          <w:color w:val="000000" w:themeColor="text1"/>
        </w:rPr>
        <w:t>long-term</w:t>
      </w:r>
      <w:r w:rsidR="009A0847">
        <w:rPr>
          <w:rFonts w:eastAsiaTheme="minorEastAsia"/>
          <w:color w:val="000000" w:themeColor="text1"/>
        </w:rPr>
        <w:t xml:space="preserve"> </w:t>
      </w:r>
      <w:r w:rsidRPr="00D85A0A">
        <w:rPr>
          <w:rFonts w:eastAsiaTheme="minorEastAsia"/>
          <w:color w:val="000000" w:themeColor="text1"/>
        </w:rPr>
        <w:t>repo</w:t>
      </w:r>
      <w:r w:rsidR="009A0847">
        <w:rPr>
          <w:rFonts w:eastAsiaTheme="minorEastAsia"/>
          <w:color w:val="000000" w:themeColor="text1"/>
        </w:rPr>
        <w:t xml:space="preserve"> </w:t>
      </w:r>
      <w:r w:rsidRPr="00D85A0A">
        <w:rPr>
          <w:rFonts w:eastAsiaTheme="minorEastAsia"/>
          <w:color w:val="000000" w:themeColor="text1"/>
        </w:rPr>
        <w:t>auctions</w:t>
      </w:r>
      <w:r w:rsidR="009A0847">
        <w:rPr>
          <w:rFonts w:eastAsiaTheme="minorEastAsia"/>
          <w:color w:val="000000" w:themeColor="text1"/>
        </w:rPr>
        <w:t xml:space="preserve"> </w:t>
      </w:r>
      <w:r w:rsidRPr="00D85A0A">
        <w:rPr>
          <w:rFonts w:eastAsiaTheme="minorEastAsia"/>
          <w:color w:val="000000" w:themeColor="text1"/>
        </w:rPr>
        <w:t>used</w:t>
      </w:r>
      <w:r w:rsidR="009A0847">
        <w:rPr>
          <w:rFonts w:eastAsiaTheme="minorEastAsia"/>
          <w:color w:val="000000" w:themeColor="text1"/>
        </w:rPr>
        <w:t xml:space="preserve"> </w:t>
      </w:r>
      <w:r w:rsidRPr="00D85A0A">
        <w:rPr>
          <w:rFonts w:eastAsiaTheme="minorEastAsia"/>
          <w:color w:val="000000" w:themeColor="text1"/>
        </w:rPr>
        <w:t>by</w:t>
      </w:r>
      <w:r w:rsidR="009A0847">
        <w:rPr>
          <w:rFonts w:eastAsiaTheme="minorEastAsia"/>
          <w:color w:val="000000" w:themeColor="text1"/>
        </w:rPr>
        <w:t xml:space="preserve"> </w:t>
      </w:r>
      <w:r w:rsidRPr="00D85A0A">
        <w:rPr>
          <w:rFonts w:eastAsiaTheme="minorEastAsia"/>
          <w:color w:val="000000" w:themeColor="text1"/>
        </w:rPr>
        <w:t>the</w:t>
      </w:r>
      <w:r w:rsidR="009A0847">
        <w:rPr>
          <w:rFonts w:eastAsiaTheme="minorEastAsia"/>
          <w:color w:val="000000" w:themeColor="text1"/>
        </w:rPr>
        <w:t xml:space="preserve"> </w:t>
      </w:r>
      <w:r w:rsidRPr="00D85A0A">
        <w:rPr>
          <w:rFonts w:eastAsiaTheme="minorEastAsia"/>
          <w:color w:val="000000" w:themeColor="text1"/>
        </w:rPr>
        <w:t>BoE</w:t>
      </w:r>
      <w:r w:rsidR="009A0847">
        <w:rPr>
          <w:rFonts w:eastAsiaTheme="minorEastAsia"/>
          <w:color w:val="000000" w:themeColor="text1"/>
        </w:rPr>
        <w:t xml:space="preserve"> </w:t>
      </w:r>
      <w:r w:rsidRPr="00D85A0A">
        <w:rPr>
          <w:rFonts w:eastAsiaTheme="minorEastAsia"/>
          <w:color w:val="000000" w:themeColor="text1"/>
        </w:rPr>
        <w:t>since</w:t>
      </w:r>
      <w:r w:rsidR="009A0847">
        <w:rPr>
          <w:rFonts w:eastAsiaTheme="minorEastAsia"/>
          <w:color w:val="000000" w:themeColor="text1"/>
        </w:rPr>
        <w:t xml:space="preserve"> </w:t>
      </w:r>
      <w:r w:rsidRPr="00D85A0A">
        <w:rPr>
          <w:rFonts w:eastAsiaTheme="minorEastAsia"/>
          <w:color w:val="000000" w:themeColor="text1"/>
        </w:rPr>
        <w:t>2012).</w:t>
      </w:r>
      <w:r w:rsidR="009A0847">
        <w:rPr>
          <w:rFonts w:eastAsiaTheme="minorEastAsia"/>
          <w:color w:val="000000" w:themeColor="text1"/>
        </w:rPr>
        <w:t xml:space="preserve"> </w:t>
      </w:r>
      <w:r w:rsidR="008B4DE4" w:rsidRPr="00D85A0A">
        <w:rPr>
          <w:rFonts w:eastAsiaTheme="minorEastAsia"/>
          <w:color w:val="000000" w:themeColor="text1"/>
        </w:rPr>
        <w:t>Such</w:t>
      </w:r>
      <w:r w:rsidR="009A0847">
        <w:rPr>
          <w:rFonts w:eastAsiaTheme="minorEastAsia"/>
          <w:color w:val="000000" w:themeColor="text1"/>
        </w:rPr>
        <w:t xml:space="preserve"> </w:t>
      </w:r>
      <w:r w:rsidR="008B4DE4" w:rsidRPr="00D85A0A">
        <w:rPr>
          <w:rFonts w:eastAsiaTheme="minorEastAsia"/>
          <w:color w:val="000000" w:themeColor="text1"/>
        </w:rPr>
        <w:t>alternatives,</w:t>
      </w:r>
      <w:r w:rsidR="009A0847">
        <w:rPr>
          <w:rFonts w:eastAsiaTheme="minorEastAsia"/>
          <w:color w:val="000000" w:themeColor="text1"/>
        </w:rPr>
        <w:t xml:space="preserve"> </w:t>
      </w:r>
      <w:r w:rsidR="008B4DE4" w:rsidRPr="00D85A0A">
        <w:rPr>
          <w:rFonts w:eastAsiaTheme="minorEastAsia"/>
          <w:color w:val="000000" w:themeColor="text1"/>
        </w:rPr>
        <w:t>however,</w:t>
      </w:r>
      <w:r w:rsidR="009A0847">
        <w:rPr>
          <w:rFonts w:eastAsiaTheme="minorEastAsia"/>
          <w:color w:val="000000" w:themeColor="text1"/>
        </w:rPr>
        <w:t xml:space="preserve"> </w:t>
      </w:r>
      <w:r w:rsidR="008B4DE4" w:rsidRPr="00D85A0A">
        <w:rPr>
          <w:rFonts w:eastAsiaTheme="minorEastAsia"/>
          <w:color w:val="000000" w:themeColor="text1"/>
        </w:rPr>
        <w:t>may</w:t>
      </w:r>
      <w:r w:rsidR="009A0847">
        <w:rPr>
          <w:rFonts w:eastAsiaTheme="minorEastAsia"/>
          <w:color w:val="000000" w:themeColor="text1"/>
        </w:rPr>
        <w:t xml:space="preserve"> </w:t>
      </w:r>
      <w:r w:rsidR="00A243C7">
        <w:rPr>
          <w:rFonts w:eastAsiaTheme="minorEastAsia"/>
          <w:color w:val="000000" w:themeColor="text1"/>
        </w:rPr>
        <w:t>be more difficult to put in place</w:t>
      </w:r>
      <w:r w:rsidR="008B4DE4" w:rsidRPr="00D85A0A">
        <w:rPr>
          <w:rFonts w:eastAsiaTheme="minorEastAsia"/>
          <w:color w:val="000000" w:themeColor="text1"/>
        </w:rPr>
        <w:t>.</w:t>
      </w:r>
      <w:r w:rsidR="009A0847">
        <w:rPr>
          <w:rFonts w:eastAsiaTheme="minorEastAsia"/>
          <w:color w:val="000000" w:themeColor="text1"/>
        </w:rPr>
        <w:t xml:space="preserve"> </w:t>
      </w:r>
      <w:r w:rsidR="008B4DE4" w:rsidRPr="00D85A0A">
        <w:rPr>
          <w:color w:val="000000" w:themeColor="text1"/>
        </w:rPr>
        <w:t>Further,</w:t>
      </w:r>
      <w:r w:rsidR="009A0847">
        <w:rPr>
          <w:color w:val="000000" w:themeColor="text1"/>
        </w:rPr>
        <w:t xml:space="preserve"> </w:t>
      </w:r>
      <w:r w:rsidR="008B4DE4" w:rsidRPr="00D85A0A">
        <w:rPr>
          <w:color w:val="000000" w:themeColor="text1"/>
        </w:rPr>
        <w:t>a</w:t>
      </w:r>
      <w:r w:rsidRPr="00D85A0A">
        <w:rPr>
          <w:color w:val="000000" w:themeColor="text1"/>
        </w:rPr>
        <w:t>s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argued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by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e.g.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Hauser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(2014)</w:t>
      </w:r>
      <w:r w:rsidR="008B4DE4" w:rsidRPr="00D85A0A">
        <w:rPr>
          <w:color w:val="000000" w:themeColor="text1"/>
        </w:rPr>
        <w:t>,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some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of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these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a</w:t>
      </w:r>
      <w:r w:rsidR="008B4DE4" w:rsidRPr="00D85A0A">
        <w:rPr>
          <w:color w:val="000000" w:themeColor="text1"/>
        </w:rPr>
        <w:t>pproach</w:t>
      </w:r>
      <w:r w:rsidRPr="00D85A0A">
        <w:rPr>
          <w:color w:val="000000" w:themeColor="text1"/>
        </w:rPr>
        <w:t>es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are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not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perfect</w:t>
      </w:r>
      <w:r w:rsidR="009A0847">
        <w:rPr>
          <w:color w:val="000000" w:themeColor="text1"/>
        </w:rPr>
        <w:t xml:space="preserve"> </w:t>
      </w:r>
      <w:r w:rsidR="00C31375">
        <w:rPr>
          <w:color w:val="000000" w:themeColor="text1"/>
        </w:rPr>
        <w:t>substitute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for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the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DW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and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may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be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best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described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as</w:t>
      </w:r>
      <w:r w:rsidR="009A0847">
        <w:rPr>
          <w:color w:val="000000" w:themeColor="text1"/>
        </w:rPr>
        <w:t xml:space="preserve"> </w:t>
      </w:r>
      <w:r w:rsidR="00C31375">
        <w:rPr>
          <w:color w:val="000000" w:themeColor="text1"/>
        </w:rPr>
        <w:t>“lender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of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next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to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last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resort.”</w:t>
      </w:r>
      <w:r w:rsidR="008B4DE4" w:rsidRPr="00D85A0A">
        <w:rPr>
          <w:rStyle w:val="FootnoteReference"/>
          <w:color w:val="000000" w:themeColor="text1"/>
        </w:rPr>
        <w:footnoteReference w:id="34"/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Thus,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there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may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still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be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a</w:t>
      </w:r>
      <w:r w:rsidR="009A0847">
        <w:rPr>
          <w:color w:val="000000" w:themeColor="text1"/>
        </w:rPr>
        <w:t xml:space="preserve"> </w:t>
      </w:r>
      <w:r w:rsidR="00667D08">
        <w:rPr>
          <w:color w:val="000000" w:themeColor="text1"/>
        </w:rPr>
        <w:t>need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for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a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stigma-free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DW-like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bilateral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standing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facility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where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a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bank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can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address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an</w:t>
      </w:r>
      <w:r w:rsidR="00C31375">
        <w:rPr>
          <w:color w:val="000000" w:themeColor="text1"/>
        </w:rPr>
        <w:t>y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idiosyncratic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liquidity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shock</w:t>
      </w:r>
      <w:r w:rsidR="009A0847">
        <w:rPr>
          <w:color w:val="000000" w:themeColor="text1"/>
        </w:rPr>
        <w:t xml:space="preserve"> </w:t>
      </w:r>
      <w:r w:rsidR="00667D08">
        <w:rPr>
          <w:color w:val="000000" w:themeColor="text1"/>
        </w:rPr>
        <w:t>in</w:t>
      </w:r>
      <w:r w:rsidR="009A0847">
        <w:rPr>
          <w:color w:val="000000" w:themeColor="text1"/>
        </w:rPr>
        <w:t xml:space="preserve"> </w:t>
      </w:r>
      <w:r w:rsidR="00667D08">
        <w:rPr>
          <w:color w:val="000000" w:themeColor="text1"/>
        </w:rPr>
        <w:t>real</w:t>
      </w:r>
      <w:r w:rsidR="009A0847">
        <w:rPr>
          <w:color w:val="000000" w:themeColor="text1"/>
        </w:rPr>
        <w:t xml:space="preserve"> </w:t>
      </w:r>
      <w:r w:rsidR="00667D08">
        <w:rPr>
          <w:color w:val="000000" w:themeColor="text1"/>
        </w:rPr>
        <w:t>time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before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it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festers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into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a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solvency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or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a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systemic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problem.</w:t>
      </w:r>
    </w:p>
    <w:p w14:paraId="6201A29A" w14:textId="1AA046F5" w:rsidR="00074C6B" w:rsidRPr="00D85A0A" w:rsidRDefault="00074C6B" w:rsidP="00F86E09">
      <w:pPr>
        <w:pStyle w:val="Olivier1"/>
        <w:widowControl w:val="0"/>
        <w:ind w:firstLine="270"/>
        <w:rPr>
          <w:color w:val="000000" w:themeColor="text1"/>
        </w:rPr>
      </w:pPr>
      <w:r w:rsidRPr="00D85A0A">
        <w:rPr>
          <w:color w:val="000000" w:themeColor="text1"/>
        </w:rPr>
        <w:t>Fixing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the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DW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may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not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seem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like</w:t>
      </w:r>
      <w:r w:rsidR="009A0847">
        <w:rPr>
          <w:color w:val="000000" w:themeColor="text1"/>
        </w:rPr>
        <w:t xml:space="preserve"> </w:t>
      </w:r>
      <w:r w:rsidR="00C31375">
        <w:rPr>
          <w:color w:val="000000" w:themeColor="text1"/>
        </w:rPr>
        <w:t xml:space="preserve">a </w:t>
      </w:r>
      <w:r w:rsidRPr="00D85A0A">
        <w:rPr>
          <w:color w:val="000000" w:themeColor="text1"/>
        </w:rPr>
        <w:t>pressing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problem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in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the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current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high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reserves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environment</w:t>
      </w:r>
      <w:r w:rsidR="00C31375">
        <w:rPr>
          <w:color w:val="000000" w:themeColor="text1"/>
        </w:rPr>
        <w:t xml:space="preserve"> in which the need for liquidity support is unlikely</w:t>
      </w:r>
      <w:r w:rsidRPr="00D85A0A">
        <w:rPr>
          <w:color w:val="000000" w:themeColor="text1"/>
        </w:rPr>
        <w:t>.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However,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DW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stigma</w:t>
      </w:r>
      <w:r w:rsidR="009A0847">
        <w:rPr>
          <w:color w:val="000000" w:themeColor="text1"/>
        </w:rPr>
        <w:t xml:space="preserve"> </w:t>
      </w:r>
      <w:r w:rsidR="00667D08">
        <w:rPr>
          <w:color w:val="000000" w:themeColor="text1"/>
        </w:rPr>
        <w:t>could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become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relevant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again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when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the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size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of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the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Fed’s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balance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sheet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returns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to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historical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standards.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As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argued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by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Bernanke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(2015b),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one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does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not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modify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the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fire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code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once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the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fire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has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started.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In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other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words,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it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may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be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prudent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to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think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about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how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to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address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DW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stigma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ex-ante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in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normal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times,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rather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than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wait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until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the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onset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of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the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next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financial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crisis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to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do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so.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The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value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of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implementing</w:t>
      </w:r>
      <w:r w:rsidR="009A0847">
        <w:rPr>
          <w:color w:val="000000" w:themeColor="text1"/>
        </w:rPr>
        <w:t xml:space="preserve"> </w:t>
      </w:r>
      <w:r w:rsidR="0036020F" w:rsidRPr="00D85A0A">
        <w:rPr>
          <w:color w:val="000000" w:themeColor="text1"/>
        </w:rPr>
        <w:t>regular</w:t>
      </w:r>
      <w:r w:rsidR="0036020F">
        <w:rPr>
          <w:color w:val="000000" w:themeColor="text1"/>
        </w:rPr>
        <w:t xml:space="preserve"> </w:t>
      </w:r>
      <w:r w:rsidR="00C31375">
        <w:rPr>
          <w:color w:val="000000" w:themeColor="text1"/>
        </w:rPr>
        <w:t xml:space="preserve">random </w:t>
      </w:r>
      <w:r w:rsidR="0036020F" w:rsidRPr="00D85A0A">
        <w:rPr>
          <w:color w:val="000000" w:themeColor="text1"/>
        </w:rPr>
        <w:t>DW</w:t>
      </w:r>
      <w:r w:rsidR="0036020F">
        <w:rPr>
          <w:color w:val="000000" w:themeColor="text1"/>
        </w:rPr>
        <w:t xml:space="preserve"> </w:t>
      </w:r>
      <w:r w:rsidR="0036020F" w:rsidRPr="00D85A0A">
        <w:rPr>
          <w:color w:val="000000" w:themeColor="text1"/>
        </w:rPr>
        <w:t xml:space="preserve">borrowing </w:t>
      </w:r>
      <w:r w:rsidRPr="00D85A0A">
        <w:rPr>
          <w:color w:val="000000" w:themeColor="text1"/>
        </w:rPr>
        <w:lastRenderedPageBreak/>
        <w:t>in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normal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times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finds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additional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support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in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Bernanke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(2016)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who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argues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that</w:t>
      </w:r>
      <w:r w:rsidR="009A0847">
        <w:rPr>
          <w:color w:val="000000" w:themeColor="text1"/>
        </w:rPr>
        <w:t xml:space="preserve"> </w:t>
      </w:r>
      <w:r w:rsidRPr="00D85A0A">
        <w:rPr>
          <w:rFonts w:eastAsiaTheme="minorEastAsia"/>
          <w:color w:val="000000" w:themeColor="text1"/>
        </w:rPr>
        <w:t>the</w:t>
      </w:r>
      <w:r w:rsidR="009A0847">
        <w:rPr>
          <w:rFonts w:eastAsiaTheme="minorEastAsia"/>
          <w:color w:val="000000" w:themeColor="text1"/>
        </w:rPr>
        <w:t xml:space="preserve"> </w:t>
      </w:r>
      <w:r w:rsidRPr="00D85A0A">
        <w:rPr>
          <w:rFonts w:eastAsiaTheme="minorEastAsia"/>
          <w:color w:val="000000" w:themeColor="text1"/>
        </w:rPr>
        <w:t>stigma</w:t>
      </w:r>
      <w:r w:rsidR="009A0847">
        <w:rPr>
          <w:rFonts w:eastAsiaTheme="minorEastAsia"/>
          <w:color w:val="000000" w:themeColor="text1"/>
        </w:rPr>
        <w:t xml:space="preserve"> </w:t>
      </w:r>
      <w:r w:rsidRPr="00D85A0A">
        <w:rPr>
          <w:rFonts w:eastAsiaTheme="minorEastAsia"/>
          <w:color w:val="000000" w:themeColor="text1"/>
        </w:rPr>
        <w:t>problem</w:t>
      </w:r>
      <w:r w:rsidR="009A0847">
        <w:rPr>
          <w:rFonts w:eastAsiaTheme="minorEastAsia"/>
          <w:color w:val="000000" w:themeColor="text1"/>
        </w:rPr>
        <w:t xml:space="preserve"> </w:t>
      </w:r>
      <w:r w:rsidRPr="00D85A0A">
        <w:rPr>
          <w:rFonts w:eastAsiaTheme="minorEastAsia"/>
          <w:color w:val="000000" w:themeColor="text1"/>
        </w:rPr>
        <w:t>was</w:t>
      </w:r>
      <w:r w:rsidR="009A0847">
        <w:rPr>
          <w:rFonts w:eastAsiaTheme="minorEastAsia"/>
          <w:color w:val="000000" w:themeColor="text1"/>
        </w:rPr>
        <w:t xml:space="preserve"> </w:t>
      </w:r>
      <w:r w:rsidRPr="00D85A0A">
        <w:rPr>
          <w:rFonts w:eastAsiaTheme="minorEastAsia"/>
          <w:color w:val="000000" w:themeColor="text1"/>
        </w:rPr>
        <w:t>less</w:t>
      </w:r>
      <w:r w:rsidR="009A0847">
        <w:rPr>
          <w:rFonts w:eastAsiaTheme="minorEastAsia"/>
          <w:color w:val="000000" w:themeColor="text1"/>
        </w:rPr>
        <w:t xml:space="preserve"> </w:t>
      </w:r>
      <w:r w:rsidRPr="00D85A0A">
        <w:rPr>
          <w:rFonts w:eastAsiaTheme="minorEastAsia"/>
          <w:color w:val="000000" w:themeColor="text1"/>
        </w:rPr>
        <w:t>severe</w:t>
      </w:r>
      <w:r w:rsidR="009A0847">
        <w:rPr>
          <w:rFonts w:eastAsiaTheme="minorEastAsia"/>
          <w:color w:val="000000" w:themeColor="text1"/>
        </w:rPr>
        <w:t xml:space="preserve"> </w:t>
      </w:r>
      <w:r w:rsidRPr="00D85A0A">
        <w:rPr>
          <w:rFonts w:eastAsiaTheme="minorEastAsia"/>
          <w:color w:val="000000" w:themeColor="text1"/>
        </w:rPr>
        <w:t>in</w:t>
      </w:r>
      <w:r w:rsidR="009A0847">
        <w:rPr>
          <w:rFonts w:eastAsiaTheme="minorEastAsia"/>
          <w:color w:val="000000" w:themeColor="text1"/>
        </w:rPr>
        <w:t xml:space="preserve"> </w:t>
      </w:r>
      <w:r w:rsidRPr="00D85A0A">
        <w:rPr>
          <w:rFonts w:eastAsiaTheme="minorEastAsia"/>
          <w:color w:val="000000" w:themeColor="text1"/>
        </w:rPr>
        <w:t>the</w:t>
      </w:r>
      <w:r w:rsidR="009A0847">
        <w:rPr>
          <w:rFonts w:eastAsiaTheme="minorEastAsia"/>
          <w:color w:val="000000" w:themeColor="text1"/>
        </w:rPr>
        <w:t xml:space="preserve"> </w:t>
      </w:r>
      <w:r w:rsidRPr="00D85A0A">
        <w:rPr>
          <w:rFonts w:eastAsiaTheme="minorEastAsia"/>
          <w:color w:val="000000" w:themeColor="text1"/>
        </w:rPr>
        <w:t>Eurozone</w:t>
      </w:r>
      <w:r w:rsidR="009A0847">
        <w:rPr>
          <w:rFonts w:eastAsiaTheme="minorEastAsia"/>
          <w:color w:val="000000" w:themeColor="text1"/>
        </w:rPr>
        <w:t xml:space="preserve"> </w:t>
      </w:r>
      <w:r w:rsidRPr="00D85A0A">
        <w:rPr>
          <w:rFonts w:eastAsiaTheme="minorEastAsia"/>
          <w:color w:val="000000" w:themeColor="text1"/>
        </w:rPr>
        <w:t>during</w:t>
      </w:r>
      <w:r w:rsidR="009A0847">
        <w:rPr>
          <w:rFonts w:eastAsiaTheme="minorEastAsia"/>
          <w:color w:val="000000" w:themeColor="text1"/>
        </w:rPr>
        <w:t xml:space="preserve"> </w:t>
      </w:r>
      <w:r w:rsidRPr="00D85A0A">
        <w:rPr>
          <w:rFonts w:eastAsiaTheme="minorEastAsia"/>
          <w:color w:val="000000" w:themeColor="text1"/>
        </w:rPr>
        <w:t>the</w:t>
      </w:r>
      <w:r w:rsidR="009A0847">
        <w:rPr>
          <w:rFonts w:eastAsiaTheme="minorEastAsia"/>
          <w:color w:val="000000" w:themeColor="text1"/>
        </w:rPr>
        <w:t xml:space="preserve"> </w:t>
      </w:r>
      <w:r w:rsidRPr="00D85A0A">
        <w:rPr>
          <w:rFonts w:eastAsiaTheme="minorEastAsia"/>
          <w:color w:val="000000" w:themeColor="text1"/>
        </w:rPr>
        <w:t>2008</w:t>
      </w:r>
      <w:r w:rsidR="009A0847">
        <w:rPr>
          <w:rFonts w:eastAsiaTheme="minorEastAsia"/>
          <w:color w:val="000000" w:themeColor="text1"/>
        </w:rPr>
        <w:t xml:space="preserve"> </w:t>
      </w:r>
      <w:r w:rsidRPr="00D85A0A">
        <w:rPr>
          <w:rFonts w:eastAsiaTheme="minorEastAsia"/>
          <w:color w:val="000000" w:themeColor="text1"/>
        </w:rPr>
        <w:t>financial</w:t>
      </w:r>
      <w:r w:rsidR="009A0847">
        <w:rPr>
          <w:rFonts w:eastAsiaTheme="minorEastAsia"/>
          <w:color w:val="000000" w:themeColor="text1"/>
        </w:rPr>
        <w:t xml:space="preserve"> </w:t>
      </w:r>
      <w:r w:rsidRPr="00D85A0A">
        <w:rPr>
          <w:rFonts w:eastAsiaTheme="minorEastAsia"/>
          <w:color w:val="000000" w:themeColor="text1"/>
        </w:rPr>
        <w:t>crisis</w:t>
      </w:r>
      <w:r w:rsidR="009A0847">
        <w:rPr>
          <w:rFonts w:eastAsiaTheme="minorEastAsia"/>
          <w:color w:val="000000" w:themeColor="text1"/>
        </w:rPr>
        <w:t xml:space="preserve"> </w:t>
      </w:r>
      <w:r w:rsidRPr="00D85A0A">
        <w:rPr>
          <w:rFonts w:eastAsiaTheme="minorEastAsia"/>
          <w:color w:val="000000" w:themeColor="text1"/>
        </w:rPr>
        <w:t>in</w:t>
      </w:r>
      <w:r w:rsidR="009A0847">
        <w:rPr>
          <w:rFonts w:eastAsiaTheme="minorEastAsia"/>
          <w:color w:val="000000" w:themeColor="text1"/>
        </w:rPr>
        <w:t xml:space="preserve"> </w:t>
      </w:r>
      <w:r w:rsidRPr="00D85A0A">
        <w:rPr>
          <w:rFonts w:eastAsiaTheme="minorEastAsia"/>
          <w:color w:val="000000" w:themeColor="text1"/>
        </w:rPr>
        <w:t>part</w:t>
      </w:r>
      <w:r w:rsidR="009A0847">
        <w:rPr>
          <w:rFonts w:eastAsiaTheme="minorEastAsia"/>
          <w:color w:val="000000" w:themeColor="text1"/>
        </w:rPr>
        <w:t xml:space="preserve"> </w:t>
      </w:r>
      <w:r w:rsidRPr="00D85A0A">
        <w:rPr>
          <w:rFonts w:eastAsiaTheme="minorEastAsia"/>
          <w:color w:val="000000" w:themeColor="text1"/>
        </w:rPr>
        <w:t>because</w:t>
      </w:r>
      <w:r w:rsidR="009A0847">
        <w:rPr>
          <w:rFonts w:eastAsiaTheme="minorEastAsia"/>
          <w:color w:val="000000" w:themeColor="text1"/>
        </w:rPr>
        <w:t xml:space="preserve"> </w:t>
      </w:r>
      <w:r w:rsidRPr="00D85A0A">
        <w:rPr>
          <w:rFonts w:eastAsiaTheme="minorEastAsia"/>
          <w:color w:val="000000" w:themeColor="text1"/>
        </w:rPr>
        <w:t>European</w:t>
      </w:r>
      <w:r w:rsidR="009A0847">
        <w:rPr>
          <w:rFonts w:eastAsiaTheme="minorEastAsia"/>
          <w:color w:val="000000" w:themeColor="text1"/>
        </w:rPr>
        <w:t xml:space="preserve"> </w:t>
      </w:r>
      <w:r w:rsidRPr="00D85A0A">
        <w:rPr>
          <w:rFonts w:eastAsiaTheme="minorEastAsia"/>
          <w:color w:val="000000" w:themeColor="text1"/>
        </w:rPr>
        <w:t>banks</w:t>
      </w:r>
      <w:r w:rsidR="009A0847">
        <w:rPr>
          <w:rFonts w:eastAsiaTheme="minorEastAsia"/>
          <w:color w:val="000000" w:themeColor="text1"/>
        </w:rPr>
        <w:t xml:space="preserve"> </w:t>
      </w:r>
      <w:r w:rsidRPr="00D85A0A">
        <w:rPr>
          <w:rFonts w:eastAsiaTheme="minorEastAsia"/>
          <w:color w:val="000000" w:themeColor="text1"/>
        </w:rPr>
        <w:t>routinely</w:t>
      </w:r>
      <w:r w:rsidR="009A0847">
        <w:rPr>
          <w:rFonts w:eastAsiaTheme="minorEastAsia"/>
          <w:color w:val="000000" w:themeColor="text1"/>
        </w:rPr>
        <w:t xml:space="preserve"> </w:t>
      </w:r>
      <w:r w:rsidRPr="00D85A0A">
        <w:rPr>
          <w:rFonts w:eastAsiaTheme="minorEastAsia"/>
          <w:color w:val="000000" w:themeColor="text1"/>
        </w:rPr>
        <w:t>engaged</w:t>
      </w:r>
      <w:r w:rsidR="009A0847">
        <w:rPr>
          <w:rFonts w:eastAsiaTheme="minorEastAsia"/>
          <w:color w:val="000000" w:themeColor="text1"/>
        </w:rPr>
        <w:t xml:space="preserve"> </w:t>
      </w:r>
      <w:r w:rsidRPr="00D85A0A">
        <w:rPr>
          <w:rFonts w:eastAsiaTheme="minorEastAsia"/>
          <w:color w:val="000000" w:themeColor="text1"/>
        </w:rPr>
        <w:t>with</w:t>
      </w:r>
      <w:r w:rsidR="009A0847">
        <w:rPr>
          <w:rFonts w:eastAsiaTheme="minorEastAsia"/>
          <w:color w:val="000000" w:themeColor="text1"/>
        </w:rPr>
        <w:t xml:space="preserve"> </w:t>
      </w:r>
      <w:r w:rsidRPr="00D85A0A">
        <w:rPr>
          <w:rFonts w:eastAsiaTheme="minorEastAsia"/>
          <w:color w:val="000000" w:themeColor="text1"/>
        </w:rPr>
        <w:t>the</w:t>
      </w:r>
      <w:r w:rsidR="009A0847">
        <w:rPr>
          <w:rFonts w:eastAsiaTheme="minorEastAsia"/>
          <w:color w:val="000000" w:themeColor="text1"/>
        </w:rPr>
        <w:t xml:space="preserve"> </w:t>
      </w:r>
      <w:r w:rsidRPr="00D85A0A">
        <w:rPr>
          <w:rFonts w:eastAsiaTheme="minorEastAsia"/>
          <w:color w:val="000000" w:themeColor="text1"/>
        </w:rPr>
        <w:t>central</w:t>
      </w:r>
      <w:r w:rsidR="009A0847">
        <w:rPr>
          <w:rFonts w:eastAsiaTheme="minorEastAsia"/>
          <w:color w:val="000000" w:themeColor="text1"/>
        </w:rPr>
        <w:t xml:space="preserve"> </w:t>
      </w:r>
      <w:r w:rsidRPr="00D85A0A">
        <w:rPr>
          <w:rFonts w:eastAsiaTheme="minorEastAsia"/>
          <w:color w:val="000000" w:themeColor="text1"/>
        </w:rPr>
        <w:t>bank</w:t>
      </w:r>
      <w:r w:rsidR="009A0847">
        <w:rPr>
          <w:rFonts w:eastAsiaTheme="minorEastAsia"/>
          <w:color w:val="000000" w:themeColor="text1"/>
        </w:rPr>
        <w:t xml:space="preserve"> </w:t>
      </w:r>
      <w:r w:rsidRPr="00D85A0A">
        <w:rPr>
          <w:rFonts w:eastAsiaTheme="minorEastAsia"/>
          <w:color w:val="000000" w:themeColor="text1"/>
        </w:rPr>
        <w:t>in</w:t>
      </w:r>
      <w:r w:rsidR="009A0847">
        <w:rPr>
          <w:rFonts w:eastAsiaTheme="minorEastAsia"/>
          <w:color w:val="000000" w:themeColor="text1"/>
        </w:rPr>
        <w:t xml:space="preserve"> </w:t>
      </w:r>
      <w:r w:rsidRPr="00D85A0A">
        <w:rPr>
          <w:rFonts w:eastAsiaTheme="minorEastAsia"/>
          <w:color w:val="000000" w:themeColor="text1"/>
        </w:rPr>
        <w:t>normal</w:t>
      </w:r>
      <w:r w:rsidR="009A0847">
        <w:rPr>
          <w:rFonts w:eastAsiaTheme="minorEastAsia"/>
          <w:color w:val="000000" w:themeColor="text1"/>
        </w:rPr>
        <w:t xml:space="preserve"> </w:t>
      </w:r>
      <w:r w:rsidRPr="00D85A0A">
        <w:rPr>
          <w:rFonts w:eastAsiaTheme="minorEastAsia"/>
          <w:color w:val="000000" w:themeColor="text1"/>
        </w:rPr>
        <w:t>times.</w:t>
      </w:r>
    </w:p>
    <w:p w14:paraId="45A03C35" w14:textId="124682AD" w:rsidR="00132498" w:rsidRDefault="009F00AF" w:rsidP="00F86E09">
      <w:pPr>
        <w:pStyle w:val="Olivier1"/>
        <w:widowControl w:val="0"/>
        <w:ind w:firstLine="360"/>
        <w:rPr>
          <w:rFonts w:eastAsiaTheme="minorEastAsia"/>
          <w:color w:val="000000" w:themeColor="text1"/>
        </w:rPr>
      </w:pPr>
      <w:r w:rsidRPr="00D85A0A">
        <w:rPr>
          <w:color w:val="000000" w:themeColor="text1"/>
        </w:rPr>
        <w:t>We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conclude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by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noting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that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understanding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and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mitigating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stigma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is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relevant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beyond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the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DW.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In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particular,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stigma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is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also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a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major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concern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for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government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bailouts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(Che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et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al.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2018,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Anbil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2018)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and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IMF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programs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(</w:t>
      </w:r>
      <w:r w:rsidRPr="00D85A0A">
        <w:rPr>
          <w:rFonts w:eastAsiaTheme="minorEastAsia"/>
          <w:color w:val="000000" w:themeColor="text1"/>
        </w:rPr>
        <w:t>Ito</w:t>
      </w:r>
      <w:r w:rsidR="009A0847">
        <w:rPr>
          <w:rFonts w:eastAsiaTheme="minorEastAsia"/>
          <w:color w:val="000000" w:themeColor="text1"/>
        </w:rPr>
        <w:t xml:space="preserve"> </w:t>
      </w:r>
      <w:r w:rsidRPr="00D85A0A">
        <w:rPr>
          <w:rFonts w:eastAsiaTheme="minorEastAsia"/>
          <w:color w:val="000000" w:themeColor="text1"/>
        </w:rPr>
        <w:t>2012,</w:t>
      </w:r>
      <w:r w:rsidR="009A0847">
        <w:rPr>
          <w:rFonts w:eastAsiaTheme="minorEastAsia"/>
          <w:color w:val="000000" w:themeColor="text1"/>
        </w:rPr>
        <w:t xml:space="preserve"> </w:t>
      </w:r>
      <w:r w:rsidRPr="00D85A0A">
        <w:rPr>
          <w:rStyle w:val="author"/>
          <w:color w:val="000000" w:themeColor="text1"/>
        </w:rPr>
        <w:t>Reinhart</w:t>
      </w:r>
      <w:r w:rsidR="009A0847">
        <w:rPr>
          <w:rStyle w:val="author"/>
          <w:color w:val="000000" w:themeColor="text1"/>
        </w:rPr>
        <w:t xml:space="preserve"> </w:t>
      </w:r>
      <w:r w:rsidRPr="00D85A0A">
        <w:rPr>
          <w:rStyle w:val="author"/>
          <w:color w:val="000000" w:themeColor="text1"/>
        </w:rPr>
        <w:t>and</w:t>
      </w:r>
      <w:r w:rsidR="009A0847">
        <w:rPr>
          <w:rStyle w:val="author"/>
          <w:color w:val="000000" w:themeColor="text1"/>
        </w:rPr>
        <w:t xml:space="preserve"> </w:t>
      </w:r>
      <w:r w:rsidRPr="00D85A0A">
        <w:rPr>
          <w:rStyle w:val="author"/>
          <w:color w:val="000000" w:themeColor="text1"/>
        </w:rPr>
        <w:t>Trebesch</w:t>
      </w:r>
      <w:r w:rsidR="009A0847">
        <w:rPr>
          <w:rStyle w:val="author"/>
          <w:color w:val="000000" w:themeColor="text1"/>
        </w:rPr>
        <w:t xml:space="preserve"> </w:t>
      </w:r>
      <w:r w:rsidRPr="00D85A0A">
        <w:rPr>
          <w:rStyle w:val="year"/>
          <w:color w:val="000000" w:themeColor="text1"/>
        </w:rPr>
        <w:t>2016)</w:t>
      </w:r>
      <w:r w:rsidRPr="00D85A0A">
        <w:rPr>
          <w:color w:val="000000" w:themeColor="text1"/>
        </w:rPr>
        <w:t>.</w:t>
      </w:r>
      <w:r w:rsidRPr="00D85A0A">
        <w:rPr>
          <w:color w:val="000000" w:themeColor="text1"/>
          <w:vertAlign w:val="superscript"/>
        </w:rPr>
        <w:footnoteReference w:id="35"/>
      </w:r>
      <w:r w:rsidR="009A0847">
        <w:rPr>
          <w:color w:val="000000" w:themeColor="text1"/>
        </w:rPr>
        <w:t xml:space="preserve"> </w:t>
      </w:r>
      <w:r w:rsidRPr="00D85A0A">
        <w:rPr>
          <w:rFonts w:eastAsiaTheme="minorEastAsia"/>
          <w:color w:val="000000" w:themeColor="text1"/>
        </w:rPr>
        <w:t>In</w:t>
      </w:r>
      <w:r w:rsidR="009A0847">
        <w:rPr>
          <w:rFonts w:eastAsiaTheme="minorEastAsia"/>
          <w:color w:val="000000" w:themeColor="text1"/>
        </w:rPr>
        <w:t xml:space="preserve"> </w:t>
      </w:r>
      <w:r w:rsidRPr="00D85A0A">
        <w:rPr>
          <w:rFonts w:eastAsiaTheme="minorEastAsia"/>
          <w:color w:val="000000" w:themeColor="text1"/>
        </w:rPr>
        <w:t>each</w:t>
      </w:r>
      <w:r w:rsidR="009A0847">
        <w:rPr>
          <w:rFonts w:eastAsiaTheme="minorEastAsia"/>
          <w:color w:val="000000" w:themeColor="text1"/>
        </w:rPr>
        <w:t xml:space="preserve"> </w:t>
      </w:r>
      <w:r w:rsidRPr="00D85A0A">
        <w:rPr>
          <w:rFonts w:eastAsiaTheme="minorEastAsia"/>
          <w:color w:val="000000" w:themeColor="text1"/>
        </w:rPr>
        <w:t>case,</w:t>
      </w:r>
      <w:r w:rsidR="009A0847">
        <w:rPr>
          <w:rFonts w:eastAsiaTheme="minorEastAsia"/>
          <w:color w:val="000000" w:themeColor="text1"/>
        </w:rPr>
        <w:t xml:space="preserve"> </w:t>
      </w:r>
      <w:r w:rsidRPr="00D85A0A">
        <w:rPr>
          <w:rFonts w:eastAsiaTheme="minorEastAsia"/>
          <w:color w:val="000000" w:themeColor="text1"/>
        </w:rPr>
        <w:t>eligible</w:t>
      </w:r>
      <w:r w:rsidR="009A0847">
        <w:rPr>
          <w:rFonts w:eastAsiaTheme="minorEastAsia"/>
          <w:color w:val="000000" w:themeColor="text1"/>
        </w:rPr>
        <w:t xml:space="preserve"> </w:t>
      </w:r>
      <w:r w:rsidRPr="00D85A0A">
        <w:rPr>
          <w:rFonts w:eastAsiaTheme="minorEastAsia"/>
          <w:color w:val="000000" w:themeColor="text1"/>
        </w:rPr>
        <w:t>distressed</w:t>
      </w:r>
      <w:r w:rsidR="009A0847">
        <w:rPr>
          <w:rFonts w:eastAsiaTheme="minorEastAsia"/>
          <w:color w:val="000000" w:themeColor="text1"/>
        </w:rPr>
        <w:t xml:space="preserve"> </w:t>
      </w:r>
      <w:r w:rsidRPr="00D85A0A">
        <w:rPr>
          <w:rFonts w:eastAsiaTheme="minorEastAsia"/>
          <w:color w:val="000000" w:themeColor="text1"/>
        </w:rPr>
        <w:t>firms</w:t>
      </w:r>
      <w:r w:rsidR="009A0847">
        <w:rPr>
          <w:rFonts w:eastAsiaTheme="minorEastAsia"/>
          <w:color w:val="000000" w:themeColor="text1"/>
        </w:rPr>
        <w:t xml:space="preserve"> </w:t>
      </w:r>
      <w:r w:rsidRPr="00D85A0A">
        <w:rPr>
          <w:rFonts w:eastAsiaTheme="minorEastAsia"/>
          <w:color w:val="000000" w:themeColor="text1"/>
        </w:rPr>
        <w:t>or</w:t>
      </w:r>
      <w:r w:rsidR="009A0847">
        <w:rPr>
          <w:rFonts w:eastAsiaTheme="minorEastAsia"/>
          <w:color w:val="000000" w:themeColor="text1"/>
        </w:rPr>
        <w:t xml:space="preserve"> </w:t>
      </w:r>
      <w:r w:rsidRPr="00D85A0A">
        <w:rPr>
          <w:rFonts w:eastAsiaTheme="minorEastAsia"/>
          <w:color w:val="000000" w:themeColor="text1"/>
        </w:rPr>
        <w:t>countries</w:t>
      </w:r>
      <w:r w:rsidR="009A0847">
        <w:rPr>
          <w:rFonts w:eastAsiaTheme="minorEastAsia"/>
          <w:color w:val="000000" w:themeColor="text1"/>
        </w:rPr>
        <w:t xml:space="preserve"> </w:t>
      </w:r>
      <w:r w:rsidRPr="00D85A0A">
        <w:rPr>
          <w:rFonts w:eastAsiaTheme="minorEastAsia"/>
          <w:color w:val="000000" w:themeColor="text1"/>
        </w:rPr>
        <w:t>refrain</w:t>
      </w:r>
      <w:r w:rsidR="009A0847">
        <w:rPr>
          <w:rFonts w:eastAsiaTheme="minorEastAsia"/>
          <w:color w:val="000000" w:themeColor="text1"/>
        </w:rPr>
        <w:t xml:space="preserve"> </w:t>
      </w:r>
      <w:r w:rsidRPr="00D85A0A">
        <w:rPr>
          <w:rFonts w:eastAsiaTheme="minorEastAsia"/>
          <w:color w:val="000000" w:themeColor="text1"/>
        </w:rPr>
        <w:t>from</w:t>
      </w:r>
      <w:r w:rsidR="009A0847">
        <w:rPr>
          <w:rFonts w:eastAsiaTheme="minorEastAsia"/>
          <w:color w:val="000000" w:themeColor="text1"/>
        </w:rPr>
        <w:t xml:space="preserve"> </w:t>
      </w:r>
      <w:r w:rsidRPr="00D85A0A">
        <w:rPr>
          <w:rFonts w:eastAsiaTheme="minorEastAsia"/>
          <w:color w:val="000000" w:themeColor="text1"/>
        </w:rPr>
        <w:t>seeking</w:t>
      </w:r>
      <w:r w:rsidR="009A0847">
        <w:rPr>
          <w:rFonts w:eastAsiaTheme="minorEastAsia"/>
          <w:color w:val="000000" w:themeColor="text1"/>
        </w:rPr>
        <w:t xml:space="preserve"> </w:t>
      </w:r>
      <w:r w:rsidRPr="00D85A0A">
        <w:rPr>
          <w:rFonts w:eastAsiaTheme="minorEastAsia"/>
          <w:color w:val="000000" w:themeColor="text1"/>
        </w:rPr>
        <w:t>the</w:t>
      </w:r>
      <w:r w:rsidR="009A0847">
        <w:rPr>
          <w:rFonts w:eastAsiaTheme="minorEastAsia"/>
          <w:color w:val="000000" w:themeColor="text1"/>
        </w:rPr>
        <w:t xml:space="preserve"> </w:t>
      </w:r>
      <w:r w:rsidRPr="00D85A0A">
        <w:rPr>
          <w:rFonts w:eastAsiaTheme="minorEastAsia"/>
          <w:color w:val="000000" w:themeColor="text1"/>
        </w:rPr>
        <w:t>help</w:t>
      </w:r>
      <w:r w:rsidR="009A0847">
        <w:rPr>
          <w:rFonts w:eastAsiaTheme="minorEastAsia"/>
          <w:color w:val="000000" w:themeColor="text1"/>
        </w:rPr>
        <w:t xml:space="preserve"> </w:t>
      </w:r>
      <w:r w:rsidRPr="00D85A0A">
        <w:rPr>
          <w:rFonts w:eastAsiaTheme="minorEastAsia"/>
          <w:color w:val="000000" w:themeColor="text1"/>
        </w:rPr>
        <w:t>they</w:t>
      </w:r>
      <w:r w:rsidR="009A0847">
        <w:rPr>
          <w:rFonts w:eastAsiaTheme="minorEastAsia"/>
          <w:color w:val="000000" w:themeColor="text1"/>
        </w:rPr>
        <w:t xml:space="preserve"> </w:t>
      </w:r>
      <w:r w:rsidRPr="00D85A0A">
        <w:rPr>
          <w:rFonts w:eastAsiaTheme="minorEastAsia"/>
          <w:color w:val="000000" w:themeColor="text1"/>
        </w:rPr>
        <w:t>need</w:t>
      </w:r>
      <w:r w:rsidR="009A0847">
        <w:rPr>
          <w:rFonts w:eastAsiaTheme="minorEastAsia"/>
          <w:color w:val="000000" w:themeColor="text1"/>
        </w:rPr>
        <w:t xml:space="preserve"> </w:t>
      </w:r>
      <w:r w:rsidRPr="00D85A0A">
        <w:rPr>
          <w:rFonts w:eastAsiaTheme="minorEastAsia"/>
          <w:color w:val="000000" w:themeColor="text1"/>
        </w:rPr>
        <w:t>for</w:t>
      </w:r>
      <w:r w:rsidR="009A0847">
        <w:rPr>
          <w:rFonts w:eastAsiaTheme="minorEastAsia"/>
          <w:color w:val="000000" w:themeColor="text1"/>
        </w:rPr>
        <w:t xml:space="preserve"> </w:t>
      </w:r>
      <w:r w:rsidRPr="00D85A0A">
        <w:rPr>
          <w:rFonts w:eastAsiaTheme="minorEastAsia"/>
          <w:color w:val="000000" w:themeColor="text1"/>
        </w:rPr>
        <w:t>fear</w:t>
      </w:r>
      <w:r w:rsidR="009A0847">
        <w:rPr>
          <w:rFonts w:eastAsiaTheme="minorEastAsia"/>
          <w:color w:val="000000" w:themeColor="text1"/>
        </w:rPr>
        <w:t xml:space="preserve"> </w:t>
      </w:r>
      <w:r w:rsidRPr="00D85A0A">
        <w:rPr>
          <w:rFonts w:eastAsiaTheme="minorEastAsia"/>
          <w:color w:val="000000" w:themeColor="text1"/>
        </w:rPr>
        <w:t>that</w:t>
      </w:r>
      <w:r w:rsidR="009A0847">
        <w:rPr>
          <w:rFonts w:eastAsiaTheme="minorEastAsia"/>
          <w:color w:val="000000" w:themeColor="text1"/>
        </w:rPr>
        <w:t xml:space="preserve"> </w:t>
      </w:r>
      <w:r w:rsidRPr="00D85A0A">
        <w:rPr>
          <w:rFonts w:eastAsiaTheme="minorEastAsia"/>
          <w:color w:val="000000" w:themeColor="text1"/>
        </w:rPr>
        <w:t>it</w:t>
      </w:r>
      <w:r w:rsidR="009A0847">
        <w:rPr>
          <w:rFonts w:eastAsiaTheme="minorEastAsia"/>
          <w:color w:val="000000" w:themeColor="text1"/>
        </w:rPr>
        <w:t xml:space="preserve"> </w:t>
      </w:r>
      <w:r w:rsidRPr="00D85A0A">
        <w:rPr>
          <w:rFonts w:eastAsiaTheme="minorEastAsia"/>
          <w:color w:val="000000" w:themeColor="text1"/>
        </w:rPr>
        <w:t>may</w:t>
      </w:r>
      <w:r w:rsidR="009A0847">
        <w:rPr>
          <w:rFonts w:eastAsiaTheme="minorEastAsia"/>
          <w:color w:val="000000" w:themeColor="text1"/>
        </w:rPr>
        <w:t xml:space="preserve"> </w:t>
      </w:r>
      <w:r w:rsidRPr="00D85A0A">
        <w:rPr>
          <w:rFonts w:eastAsiaTheme="minorEastAsia"/>
          <w:color w:val="000000" w:themeColor="text1"/>
        </w:rPr>
        <w:t>signal</w:t>
      </w:r>
      <w:r w:rsidR="009A0847">
        <w:rPr>
          <w:rFonts w:eastAsiaTheme="minorEastAsia"/>
          <w:color w:val="000000" w:themeColor="text1"/>
        </w:rPr>
        <w:t xml:space="preserve"> </w:t>
      </w:r>
      <w:r w:rsidRPr="00D85A0A">
        <w:rPr>
          <w:rFonts w:eastAsiaTheme="minorEastAsia"/>
          <w:color w:val="000000" w:themeColor="text1"/>
        </w:rPr>
        <w:t>weakness</w:t>
      </w:r>
      <w:r w:rsidR="009A0847">
        <w:rPr>
          <w:rFonts w:eastAsiaTheme="minorEastAsia"/>
          <w:color w:val="000000" w:themeColor="text1"/>
        </w:rPr>
        <w:t xml:space="preserve"> </w:t>
      </w:r>
      <w:r w:rsidRPr="00D85A0A">
        <w:rPr>
          <w:rFonts w:eastAsiaTheme="minorEastAsia"/>
          <w:color w:val="000000" w:themeColor="text1"/>
        </w:rPr>
        <w:t>and</w:t>
      </w:r>
      <w:r w:rsidR="009A0847">
        <w:rPr>
          <w:rFonts w:eastAsiaTheme="minorEastAsia"/>
          <w:color w:val="000000" w:themeColor="text1"/>
        </w:rPr>
        <w:t xml:space="preserve"> </w:t>
      </w:r>
      <w:r w:rsidRPr="00D85A0A">
        <w:rPr>
          <w:rFonts w:eastAsiaTheme="minorEastAsia"/>
          <w:color w:val="000000" w:themeColor="text1"/>
        </w:rPr>
        <w:t>inhibit</w:t>
      </w:r>
      <w:r w:rsidR="009A0847">
        <w:rPr>
          <w:rFonts w:eastAsiaTheme="minorEastAsia"/>
          <w:color w:val="000000" w:themeColor="text1"/>
        </w:rPr>
        <w:t xml:space="preserve"> </w:t>
      </w:r>
      <w:r w:rsidRPr="00D85A0A">
        <w:rPr>
          <w:rFonts w:eastAsiaTheme="minorEastAsia"/>
          <w:color w:val="000000" w:themeColor="text1"/>
        </w:rPr>
        <w:t>future</w:t>
      </w:r>
      <w:r w:rsidR="009A0847">
        <w:rPr>
          <w:rFonts w:eastAsiaTheme="minorEastAsia"/>
          <w:color w:val="000000" w:themeColor="text1"/>
        </w:rPr>
        <w:t xml:space="preserve"> </w:t>
      </w:r>
      <w:r w:rsidRPr="00D85A0A">
        <w:rPr>
          <w:rFonts w:eastAsiaTheme="minorEastAsia"/>
          <w:color w:val="000000" w:themeColor="text1"/>
        </w:rPr>
        <w:t>borrowing.</w:t>
      </w:r>
      <w:r w:rsidR="009A0847">
        <w:rPr>
          <w:rFonts w:eastAsiaTheme="minorEastAsia"/>
          <w:color w:val="000000" w:themeColor="text1"/>
        </w:rPr>
        <w:t xml:space="preserve"> </w:t>
      </w:r>
      <w:r w:rsidRPr="00D85A0A">
        <w:rPr>
          <w:rFonts w:eastAsiaTheme="minorEastAsia"/>
          <w:color w:val="000000" w:themeColor="text1"/>
        </w:rPr>
        <w:t>Other</w:t>
      </w:r>
      <w:r w:rsidR="009A0847">
        <w:rPr>
          <w:rFonts w:eastAsiaTheme="minorEastAsia"/>
          <w:color w:val="000000" w:themeColor="text1"/>
        </w:rPr>
        <w:t xml:space="preserve"> </w:t>
      </w:r>
      <w:r w:rsidRPr="00D85A0A">
        <w:rPr>
          <w:rFonts w:eastAsiaTheme="minorEastAsia"/>
          <w:color w:val="000000" w:themeColor="text1"/>
        </w:rPr>
        <w:t>forms</w:t>
      </w:r>
      <w:r w:rsidR="009A0847">
        <w:rPr>
          <w:rFonts w:eastAsiaTheme="minorEastAsia"/>
          <w:color w:val="000000" w:themeColor="text1"/>
        </w:rPr>
        <w:t xml:space="preserve"> </w:t>
      </w:r>
      <w:r w:rsidRPr="00D85A0A">
        <w:rPr>
          <w:rFonts w:eastAsiaTheme="minorEastAsia"/>
          <w:color w:val="000000" w:themeColor="text1"/>
        </w:rPr>
        <w:t>of</w:t>
      </w:r>
      <w:r w:rsidR="009A0847">
        <w:rPr>
          <w:rFonts w:eastAsiaTheme="minorEastAsia"/>
          <w:color w:val="000000" w:themeColor="text1"/>
        </w:rPr>
        <w:t xml:space="preserve"> </w:t>
      </w:r>
      <w:r w:rsidRPr="00D85A0A">
        <w:rPr>
          <w:rFonts w:eastAsiaTheme="minorEastAsia"/>
          <w:color w:val="000000" w:themeColor="text1"/>
        </w:rPr>
        <w:t>economic</w:t>
      </w:r>
      <w:r w:rsidR="0036020F">
        <w:rPr>
          <w:rFonts w:eastAsiaTheme="minorEastAsia"/>
          <w:color w:val="000000" w:themeColor="text1"/>
        </w:rPr>
        <w:t xml:space="preserve"> stigma</w:t>
      </w:r>
      <w:r w:rsidR="009A0847">
        <w:rPr>
          <w:rFonts w:eastAsiaTheme="minorEastAsia"/>
          <w:color w:val="000000" w:themeColor="text1"/>
        </w:rPr>
        <w:t xml:space="preserve"> </w:t>
      </w:r>
      <w:r w:rsidRPr="00D85A0A">
        <w:rPr>
          <w:color w:val="000000" w:themeColor="text1"/>
        </w:rPr>
        <w:t>(related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e.g.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to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long-term</w:t>
      </w:r>
      <w:r w:rsidR="009A0847">
        <w:rPr>
          <w:color w:val="000000" w:themeColor="text1"/>
        </w:rPr>
        <w:t xml:space="preserve"> </w:t>
      </w:r>
      <w:r w:rsidR="00C31375">
        <w:rPr>
          <w:color w:val="000000" w:themeColor="text1"/>
        </w:rPr>
        <w:t>unemployment or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bankruptcy)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and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social</w:t>
      </w:r>
      <w:r w:rsidR="009A0847">
        <w:rPr>
          <w:color w:val="000000" w:themeColor="text1"/>
        </w:rPr>
        <w:t xml:space="preserve"> </w:t>
      </w:r>
      <w:r w:rsidR="0036020F">
        <w:rPr>
          <w:color w:val="000000" w:themeColor="text1"/>
        </w:rPr>
        <w:t xml:space="preserve">stigma </w:t>
      </w:r>
      <w:r w:rsidRPr="00D85A0A">
        <w:rPr>
          <w:color w:val="000000" w:themeColor="text1"/>
        </w:rPr>
        <w:t>(related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to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mental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health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or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weight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issues)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have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also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been</w:t>
      </w:r>
      <w:r w:rsidR="009A0847">
        <w:rPr>
          <w:color w:val="000000" w:themeColor="text1"/>
        </w:rPr>
        <w:t xml:space="preserve"> </w:t>
      </w:r>
      <w:r w:rsidR="002A5E1B">
        <w:rPr>
          <w:color w:val="000000" w:themeColor="text1"/>
        </w:rPr>
        <w:t>studi</w:t>
      </w:r>
      <w:r w:rsidRPr="00D85A0A">
        <w:rPr>
          <w:color w:val="000000" w:themeColor="text1"/>
        </w:rPr>
        <w:t>ed.</w:t>
      </w:r>
      <w:r w:rsidRPr="00D85A0A">
        <w:rPr>
          <w:color w:val="000000" w:themeColor="text1"/>
          <w:vertAlign w:val="superscript"/>
        </w:rPr>
        <w:footnoteReference w:id="36"/>
      </w:r>
      <w:r w:rsidR="009A0847">
        <w:rPr>
          <w:color w:val="000000" w:themeColor="text1"/>
          <w:vertAlign w:val="superscript"/>
        </w:rPr>
        <w:t xml:space="preserve"> </w:t>
      </w:r>
      <w:r w:rsidRPr="00D85A0A">
        <w:rPr>
          <w:color w:val="000000" w:themeColor="text1"/>
        </w:rPr>
        <w:t>One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case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of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particular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interest,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is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a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form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of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welfare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stigma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(Moffitt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1983)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called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“free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lunch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stigma.”</w:t>
      </w:r>
      <w:r w:rsidR="009A0847">
        <w:rPr>
          <w:color w:val="000000" w:themeColor="text1"/>
        </w:rPr>
        <w:t xml:space="preserve"> </w:t>
      </w:r>
      <w:r w:rsidR="00EF7A49" w:rsidRPr="00D85A0A">
        <w:rPr>
          <w:color w:val="000000" w:themeColor="text1"/>
        </w:rPr>
        <w:t>To</w:t>
      </w:r>
      <w:r w:rsidR="009A0847">
        <w:rPr>
          <w:color w:val="000000" w:themeColor="text1"/>
        </w:rPr>
        <w:t xml:space="preserve"> </w:t>
      </w:r>
      <w:r w:rsidR="00EF7A49" w:rsidRPr="00D85A0A">
        <w:rPr>
          <w:color w:val="000000" w:themeColor="text1"/>
        </w:rPr>
        <w:t>promote</w:t>
      </w:r>
      <w:r w:rsidR="009A0847">
        <w:rPr>
          <w:color w:val="000000" w:themeColor="text1"/>
        </w:rPr>
        <w:t xml:space="preserve"> </w:t>
      </w:r>
      <w:r w:rsidR="00EF7A49" w:rsidRPr="00D85A0A">
        <w:rPr>
          <w:color w:val="000000" w:themeColor="text1"/>
        </w:rPr>
        <w:t>health</w:t>
      </w:r>
      <w:r w:rsidR="009A0847">
        <w:rPr>
          <w:color w:val="000000" w:themeColor="text1"/>
        </w:rPr>
        <w:t xml:space="preserve"> </w:t>
      </w:r>
      <w:r w:rsidR="00EF7A49" w:rsidRPr="00D85A0A">
        <w:rPr>
          <w:color w:val="000000" w:themeColor="text1"/>
        </w:rPr>
        <w:t>and</w:t>
      </w:r>
      <w:r w:rsidR="009A0847">
        <w:rPr>
          <w:color w:val="000000" w:themeColor="text1"/>
        </w:rPr>
        <w:t xml:space="preserve"> </w:t>
      </w:r>
      <w:r w:rsidR="00EF7A49" w:rsidRPr="00D85A0A">
        <w:rPr>
          <w:color w:val="000000" w:themeColor="text1"/>
        </w:rPr>
        <w:t>academic</w:t>
      </w:r>
      <w:r w:rsidR="009A0847">
        <w:rPr>
          <w:color w:val="000000" w:themeColor="text1"/>
        </w:rPr>
        <w:t xml:space="preserve"> </w:t>
      </w:r>
      <w:r w:rsidR="00EF7A49" w:rsidRPr="00D85A0A">
        <w:rPr>
          <w:color w:val="000000" w:themeColor="text1"/>
        </w:rPr>
        <w:t>performance,</w:t>
      </w:r>
      <w:r w:rsidR="009A0847">
        <w:rPr>
          <w:color w:val="000000" w:themeColor="text1"/>
        </w:rPr>
        <w:t xml:space="preserve"> </w:t>
      </w:r>
      <w:r w:rsidR="00EF7A49" w:rsidRPr="00D85A0A">
        <w:rPr>
          <w:color w:val="000000" w:themeColor="text1"/>
        </w:rPr>
        <w:t>l</w:t>
      </w:r>
      <w:r w:rsidRPr="00D85A0A">
        <w:rPr>
          <w:color w:val="000000" w:themeColor="text1"/>
        </w:rPr>
        <w:t>ow-income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children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in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most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U.S.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public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schools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are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eligible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to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receive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free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or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reduced-price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lunch.</w:t>
      </w:r>
      <w:r w:rsidR="009A0847">
        <w:rPr>
          <w:color w:val="000000" w:themeColor="text1"/>
        </w:rPr>
        <w:t xml:space="preserve"> </w:t>
      </w:r>
      <w:r w:rsidR="00195CEA" w:rsidRPr="00D85A0A">
        <w:rPr>
          <w:color w:val="000000" w:themeColor="text1"/>
        </w:rPr>
        <w:t>Many</w:t>
      </w:r>
      <w:r w:rsidR="009A0847">
        <w:rPr>
          <w:color w:val="000000" w:themeColor="text1"/>
        </w:rPr>
        <w:t xml:space="preserve"> </w:t>
      </w:r>
      <w:r w:rsidR="00195CEA" w:rsidRPr="00D85A0A">
        <w:rPr>
          <w:color w:val="000000" w:themeColor="text1"/>
        </w:rPr>
        <w:t>of</w:t>
      </w:r>
      <w:r w:rsidR="009A0847">
        <w:rPr>
          <w:color w:val="000000" w:themeColor="text1"/>
        </w:rPr>
        <w:t xml:space="preserve"> </w:t>
      </w:r>
      <w:r w:rsidR="00195CEA" w:rsidRPr="00D85A0A">
        <w:rPr>
          <w:color w:val="000000" w:themeColor="text1"/>
        </w:rPr>
        <w:t>them</w:t>
      </w:r>
      <w:r w:rsidR="009A0847">
        <w:rPr>
          <w:color w:val="000000" w:themeColor="text1"/>
        </w:rPr>
        <w:t xml:space="preserve"> </w:t>
      </w:r>
      <w:r w:rsidR="00195CEA" w:rsidRPr="00D85A0A">
        <w:rPr>
          <w:color w:val="000000" w:themeColor="text1"/>
        </w:rPr>
        <w:t>do</w:t>
      </w:r>
      <w:r w:rsidR="009A0847">
        <w:rPr>
          <w:color w:val="000000" w:themeColor="text1"/>
        </w:rPr>
        <w:t xml:space="preserve"> </w:t>
      </w:r>
      <w:r w:rsidR="00195CEA" w:rsidRPr="00D85A0A">
        <w:rPr>
          <w:color w:val="000000" w:themeColor="text1"/>
        </w:rPr>
        <w:t>no</w:t>
      </w:r>
      <w:r w:rsidR="009A0847">
        <w:rPr>
          <w:color w:val="000000" w:themeColor="text1"/>
        </w:rPr>
        <w:t xml:space="preserve"> </w:t>
      </w:r>
      <w:r w:rsidR="00195CEA" w:rsidRPr="00D85A0A">
        <w:rPr>
          <w:color w:val="000000" w:themeColor="text1"/>
        </w:rPr>
        <w:t>to</w:t>
      </w:r>
      <w:r w:rsidR="009A0847">
        <w:rPr>
          <w:color w:val="000000" w:themeColor="text1"/>
        </w:rPr>
        <w:t xml:space="preserve"> </w:t>
      </w:r>
      <w:r w:rsidR="00195CEA" w:rsidRPr="00D85A0A">
        <w:rPr>
          <w:color w:val="000000" w:themeColor="text1"/>
        </w:rPr>
        <w:t>take</w:t>
      </w:r>
      <w:r w:rsidR="009A0847">
        <w:rPr>
          <w:color w:val="000000" w:themeColor="text1"/>
        </w:rPr>
        <w:t xml:space="preserve"> </w:t>
      </w:r>
      <w:r w:rsidR="00195CEA" w:rsidRPr="00D85A0A">
        <w:rPr>
          <w:color w:val="000000" w:themeColor="text1"/>
        </w:rPr>
        <w:t>part</w:t>
      </w:r>
      <w:r w:rsidR="009A0847">
        <w:rPr>
          <w:color w:val="000000" w:themeColor="text1"/>
        </w:rPr>
        <w:t xml:space="preserve"> </w:t>
      </w:r>
      <w:r w:rsidR="00195CEA" w:rsidRPr="00D85A0A">
        <w:rPr>
          <w:color w:val="000000" w:themeColor="text1"/>
        </w:rPr>
        <w:t>in</w:t>
      </w:r>
      <w:r w:rsidR="009A0847">
        <w:rPr>
          <w:color w:val="000000" w:themeColor="text1"/>
        </w:rPr>
        <w:t xml:space="preserve"> </w:t>
      </w:r>
      <w:r w:rsidR="00195CEA" w:rsidRPr="00D85A0A">
        <w:rPr>
          <w:color w:val="000000" w:themeColor="text1"/>
        </w:rPr>
        <w:t>the</w:t>
      </w:r>
      <w:r w:rsidR="009A0847">
        <w:rPr>
          <w:color w:val="000000" w:themeColor="text1"/>
        </w:rPr>
        <w:t xml:space="preserve"> </w:t>
      </w:r>
      <w:r w:rsidR="00195CEA" w:rsidRPr="00D85A0A">
        <w:rPr>
          <w:color w:val="000000" w:themeColor="text1"/>
        </w:rPr>
        <w:t>program</w:t>
      </w:r>
      <w:r w:rsidR="009A0847">
        <w:rPr>
          <w:color w:val="000000" w:themeColor="text1"/>
        </w:rPr>
        <w:t xml:space="preserve"> </w:t>
      </w:r>
      <w:r w:rsidR="00195CEA" w:rsidRPr="00D85A0A">
        <w:rPr>
          <w:color w:val="000000" w:themeColor="text1"/>
        </w:rPr>
        <w:t>and</w:t>
      </w:r>
      <w:r w:rsidR="009A0847">
        <w:rPr>
          <w:color w:val="000000" w:themeColor="text1"/>
        </w:rPr>
        <w:t xml:space="preserve"> </w:t>
      </w:r>
      <w:r w:rsidR="00195CEA" w:rsidRPr="00D85A0A">
        <w:rPr>
          <w:color w:val="000000" w:themeColor="text1"/>
        </w:rPr>
        <w:t>prefer</w:t>
      </w:r>
      <w:r w:rsidR="009A0847">
        <w:rPr>
          <w:color w:val="000000" w:themeColor="text1"/>
        </w:rPr>
        <w:t xml:space="preserve"> </w:t>
      </w:r>
      <w:r w:rsidR="00195CEA" w:rsidRPr="00D85A0A">
        <w:rPr>
          <w:color w:val="000000" w:themeColor="text1"/>
        </w:rPr>
        <w:t>to</w:t>
      </w:r>
      <w:r w:rsidR="009A0847">
        <w:rPr>
          <w:color w:val="000000" w:themeColor="text1"/>
        </w:rPr>
        <w:t xml:space="preserve"> </w:t>
      </w:r>
      <w:r w:rsidR="00195CEA" w:rsidRPr="00D85A0A">
        <w:rPr>
          <w:color w:val="000000" w:themeColor="text1"/>
        </w:rPr>
        <w:t>forego</w:t>
      </w:r>
      <w:r w:rsidR="009A0847">
        <w:rPr>
          <w:color w:val="000000" w:themeColor="text1"/>
        </w:rPr>
        <w:t xml:space="preserve"> </w:t>
      </w:r>
      <w:r w:rsidR="00195CEA" w:rsidRPr="00D85A0A">
        <w:rPr>
          <w:color w:val="000000" w:themeColor="text1"/>
        </w:rPr>
        <w:t>lunch</w:t>
      </w:r>
      <w:r w:rsidR="009A0847">
        <w:rPr>
          <w:color w:val="000000" w:themeColor="text1"/>
        </w:rPr>
        <w:t xml:space="preserve"> </w:t>
      </w:r>
      <w:r w:rsidR="00EF7A49" w:rsidRPr="00D85A0A">
        <w:rPr>
          <w:color w:val="000000" w:themeColor="text1"/>
        </w:rPr>
        <w:t>because</w:t>
      </w:r>
      <w:r w:rsidR="009A0847">
        <w:rPr>
          <w:color w:val="000000" w:themeColor="text1"/>
        </w:rPr>
        <w:t xml:space="preserve"> </w:t>
      </w:r>
      <w:r w:rsidR="00EF7A49" w:rsidRPr="00D85A0A">
        <w:rPr>
          <w:color w:val="000000" w:themeColor="text1"/>
        </w:rPr>
        <w:t>of</w:t>
      </w:r>
      <w:r w:rsidR="009A0847">
        <w:rPr>
          <w:color w:val="000000" w:themeColor="text1"/>
        </w:rPr>
        <w:t xml:space="preserve"> </w:t>
      </w:r>
      <w:r w:rsidR="00EF7A49" w:rsidRPr="00D85A0A">
        <w:rPr>
          <w:color w:val="000000" w:themeColor="text1"/>
        </w:rPr>
        <w:t>the</w:t>
      </w:r>
      <w:r w:rsidR="009A0847">
        <w:rPr>
          <w:color w:val="000000" w:themeColor="text1"/>
        </w:rPr>
        <w:t xml:space="preserve"> </w:t>
      </w:r>
      <w:r w:rsidR="00EF7A49" w:rsidRPr="00D85A0A">
        <w:rPr>
          <w:color w:val="000000" w:themeColor="text1"/>
        </w:rPr>
        <w:t>stigma</w:t>
      </w:r>
      <w:r w:rsidR="009A0847">
        <w:rPr>
          <w:color w:val="000000" w:themeColor="text1"/>
        </w:rPr>
        <w:t xml:space="preserve"> </w:t>
      </w:r>
      <w:r w:rsidR="00EF7A49" w:rsidRPr="00D85A0A">
        <w:rPr>
          <w:color w:val="000000" w:themeColor="text1"/>
        </w:rPr>
        <w:t>associated</w:t>
      </w:r>
      <w:r w:rsidR="009A0847">
        <w:rPr>
          <w:color w:val="000000" w:themeColor="text1"/>
        </w:rPr>
        <w:t xml:space="preserve"> </w:t>
      </w:r>
      <w:r w:rsidR="00EF7A49" w:rsidRPr="00D85A0A">
        <w:rPr>
          <w:color w:val="000000" w:themeColor="text1"/>
        </w:rPr>
        <w:t>with</w:t>
      </w:r>
      <w:r w:rsidR="009A0847">
        <w:rPr>
          <w:color w:val="000000" w:themeColor="text1"/>
        </w:rPr>
        <w:t xml:space="preserve"> </w:t>
      </w:r>
      <w:r w:rsidR="00EF7A49" w:rsidRPr="00D85A0A">
        <w:rPr>
          <w:color w:val="000000" w:themeColor="text1"/>
        </w:rPr>
        <w:t>letting</w:t>
      </w:r>
      <w:r w:rsidR="009A0847">
        <w:rPr>
          <w:color w:val="000000" w:themeColor="text1"/>
        </w:rPr>
        <w:t xml:space="preserve"> </w:t>
      </w:r>
      <w:r w:rsidR="00EF7A49" w:rsidRPr="00D85A0A">
        <w:rPr>
          <w:rFonts w:eastAsiaTheme="minorEastAsia"/>
          <w:color w:val="000000" w:themeColor="text1"/>
        </w:rPr>
        <w:t>classmates</w:t>
      </w:r>
      <w:r w:rsidR="009A0847">
        <w:rPr>
          <w:rFonts w:eastAsiaTheme="minorEastAsia"/>
          <w:color w:val="000000" w:themeColor="text1"/>
        </w:rPr>
        <w:t xml:space="preserve"> </w:t>
      </w:r>
      <w:r w:rsidR="00EF7A49" w:rsidRPr="00D85A0A">
        <w:rPr>
          <w:rFonts w:eastAsiaTheme="minorEastAsia"/>
          <w:color w:val="000000" w:themeColor="text1"/>
        </w:rPr>
        <w:t>know</w:t>
      </w:r>
      <w:r w:rsidR="009A0847">
        <w:rPr>
          <w:rFonts w:eastAsiaTheme="minorEastAsia"/>
          <w:color w:val="000000" w:themeColor="text1"/>
        </w:rPr>
        <w:t xml:space="preserve"> </w:t>
      </w:r>
      <w:r w:rsidR="00EF7A49" w:rsidRPr="00D85A0A">
        <w:rPr>
          <w:rFonts w:eastAsiaTheme="minorEastAsia"/>
          <w:color w:val="000000" w:themeColor="text1"/>
        </w:rPr>
        <w:t>they</w:t>
      </w:r>
      <w:r w:rsidR="009A0847">
        <w:rPr>
          <w:rFonts w:eastAsiaTheme="minorEastAsia"/>
          <w:color w:val="000000" w:themeColor="text1"/>
        </w:rPr>
        <w:t xml:space="preserve"> </w:t>
      </w:r>
      <w:r w:rsidR="00EF7A49" w:rsidRPr="00D85A0A">
        <w:rPr>
          <w:rFonts w:eastAsiaTheme="minorEastAsia"/>
          <w:color w:val="000000" w:themeColor="text1"/>
        </w:rPr>
        <w:t>are</w:t>
      </w:r>
      <w:r w:rsidR="009A0847">
        <w:rPr>
          <w:rFonts w:eastAsiaTheme="minorEastAsia"/>
          <w:color w:val="000000" w:themeColor="text1"/>
        </w:rPr>
        <w:t xml:space="preserve"> </w:t>
      </w:r>
      <w:r w:rsidR="00EF7A49" w:rsidRPr="00D85A0A">
        <w:rPr>
          <w:rFonts w:eastAsiaTheme="minorEastAsia"/>
          <w:color w:val="000000" w:themeColor="text1"/>
        </w:rPr>
        <w:t>poor</w:t>
      </w:r>
      <w:r w:rsidR="009A0847">
        <w:rPr>
          <w:rFonts w:eastAsiaTheme="minorEastAsia"/>
          <w:color w:val="000000" w:themeColor="text1"/>
        </w:rPr>
        <w:t xml:space="preserve"> </w:t>
      </w:r>
      <w:r w:rsidR="00EF7A49" w:rsidRPr="00D85A0A">
        <w:rPr>
          <w:rFonts w:eastAsiaTheme="minorEastAsia"/>
          <w:color w:val="000000" w:themeColor="text1"/>
        </w:rPr>
        <w:t>enough</w:t>
      </w:r>
      <w:r w:rsidR="009A0847">
        <w:rPr>
          <w:rFonts w:eastAsiaTheme="minorEastAsia"/>
          <w:color w:val="000000" w:themeColor="text1"/>
        </w:rPr>
        <w:t xml:space="preserve"> </w:t>
      </w:r>
      <w:r w:rsidR="00EF7A49" w:rsidRPr="00D85A0A">
        <w:rPr>
          <w:rFonts w:eastAsiaTheme="minorEastAsia"/>
          <w:color w:val="000000" w:themeColor="text1"/>
        </w:rPr>
        <w:t>to</w:t>
      </w:r>
      <w:r w:rsidR="009A0847">
        <w:rPr>
          <w:rFonts w:eastAsiaTheme="minorEastAsia"/>
          <w:color w:val="000000" w:themeColor="text1"/>
        </w:rPr>
        <w:t xml:space="preserve"> </w:t>
      </w:r>
      <w:r w:rsidR="00EF7A49" w:rsidRPr="00D85A0A">
        <w:rPr>
          <w:rFonts w:eastAsiaTheme="minorEastAsia"/>
          <w:color w:val="000000" w:themeColor="text1"/>
        </w:rPr>
        <w:t>qualify.</w:t>
      </w:r>
      <w:r w:rsidR="00EF7A49" w:rsidRPr="00D85A0A">
        <w:rPr>
          <w:rStyle w:val="FootnoteReference"/>
          <w:rFonts w:eastAsiaTheme="minorEastAsia"/>
          <w:color w:val="000000" w:themeColor="text1"/>
        </w:rPr>
        <w:footnoteReference w:id="37"/>
      </w:r>
      <w:r w:rsidR="009A0847">
        <w:rPr>
          <w:rFonts w:eastAsiaTheme="minorEastAsia"/>
          <w:color w:val="000000" w:themeColor="text1"/>
        </w:rPr>
        <w:t xml:space="preserve"> </w:t>
      </w:r>
    </w:p>
    <w:p w14:paraId="237C0005" w14:textId="7E046E79" w:rsidR="007646BB" w:rsidRDefault="009F00AF" w:rsidP="00F86E09">
      <w:pPr>
        <w:pStyle w:val="Olivier1"/>
        <w:widowControl w:val="0"/>
        <w:ind w:firstLine="360"/>
        <w:rPr>
          <w:sz w:val="23"/>
          <w:szCs w:val="23"/>
        </w:rPr>
      </w:pPr>
      <w:r w:rsidRPr="00D85A0A">
        <w:rPr>
          <w:rFonts w:eastAsiaTheme="minorEastAsia"/>
          <w:color w:val="000000" w:themeColor="text1"/>
        </w:rPr>
        <w:t>Interestingly,</w:t>
      </w:r>
      <w:r w:rsidR="009A0847">
        <w:rPr>
          <w:rFonts w:eastAsiaTheme="minorEastAsia"/>
          <w:color w:val="000000" w:themeColor="text1"/>
        </w:rPr>
        <w:t xml:space="preserve"> </w:t>
      </w:r>
      <w:r w:rsidRPr="00D85A0A">
        <w:rPr>
          <w:rFonts w:eastAsiaTheme="minorEastAsia"/>
          <w:color w:val="000000" w:themeColor="text1"/>
        </w:rPr>
        <w:t>some</w:t>
      </w:r>
      <w:r w:rsidR="009A0847">
        <w:rPr>
          <w:rFonts w:eastAsiaTheme="minorEastAsia"/>
          <w:color w:val="000000" w:themeColor="text1"/>
        </w:rPr>
        <w:t xml:space="preserve"> </w:t>
      </w:r>
      <w:r w:rsidRPr="00D85A0A">
        <w:rPr>
          <w:rFonts w:eastAsiaTheme="minorEastAsia"/>
          <w:color w:val="000000" w:themeColor="text1"/>
        </w:rPr>
        <w:t>of</w:t>
      </w:r>
      <w:r w:rsidR="009A0847">
        <w:rPr>
          <w:rFonts w:eastAsiaTheme="minorEastAsia"/>
          <w:color w:val="000000" w:themeColor="text1"/>
        </w:rPr>
        <w:t xml:space="preserve"> </w:t>
      </w:r>
      <w:r w:rsidRPr="00D85A0A">
        <w:rPr>
          <w:rFonts w:eastAsiaTheme="minorEastAsia"/>
          <w:color w:val="000000" w:themeColor="text1"/>
        </w:rPr>
        <w:t>the</w:t>
      </w:r>
      <w:r w:rsidR="009A0847">
        <w:rPr>
          <w:rFonts w:eastAsiaTheme="minorEastAsia"/>
          <w:color w:val="000000" w:themeColor="text1"/>
        </w:rPr>
        <w:t xml:space="preserve"> </w:t>
      </w:r>
      <w:r w:rsidRPr="00D85A0A">
        <w:rPr>
          <w:rFonts w:eastAsiaTheme="minorEastAsia"/>
          <w:color w:val="000000" w:themeColor="text1"/>
        </w:rPr>
        <w:t>policies</w:t>
      </w:r>
      <w:r w:rsidR="009A0847">
        <w:rPr>
          <w:rFonts w:eastAsiaTheme="minorEastAsia"/>
          <w:color w:val="000000" w:themeColor="text1"/>
        </w:rPr>
        <w:t xml:space="preserve"> </w:t>
      </w:r>
      <w:r w:rsidRPr="00D85A0A">
        <w:rPr>
          <w:rFonts w:eastAsiaTheme="minorEastAsia"/>
          <w:color w:val="000000" w:themeColor="text1"/>
        </w:rPr>
        <w:t>that</w:t>
      </w:r>
      <w:r w:rsidR="009A0847">
        <w:rPr>
          <w:rFonts w:eastAsiaTheme="minorEastAsia"/>
          <w:color w:val="000000" w:themeColor="text1"/>
        </w:rPr>
        <w:t xml:space="preserve"> </w:t>
      </w:r>
      <w:r w:rsidRPr="00D85A0A">
        <w:rPr>
          <w:rFonts w:eastAsiaTheme="minorEastAsia"/>
          <w:color w:val="000000" w:themeColor="text1"/>
        </w:rPr>
        <w:t>have</w:t>
      </w:r>
      <w:r w:rsidR="009A0847">
        <w:rPr>
          <w:rFonts w:eastAsiaTheme="minorEastAsia"/>
          <w:color w:val="000000" w:themeColor="text1"/>
        </w:rPr>
        <w:t xml:space="preserve"> </w:t>
      </w:r>
      <w:r w:rsidRPr="00D85A0A">
        <w:rPr>
          <w:rFonts w:eastAsiaTheme="minorEastAsia"/>
          <w:color w:val="000000" w:themeColor="text1"/>
        </w:rPr>
        <w:t>been</w:t>
      </w:r>
      <w:r w:rsidR="009A0847">
        <w:rPr>
          <w:rFonts w:eastAsiaTheme="minorEastAsia"/>
          <w:color w:val="000000" w:themeColor="text1"/>
        </w:rPr>
        <w:t xml:space="preserve"> </w:t>
      </w:r>
      <w:r w:rsidR="002A5E1B">
        <w:rPr>
          <w:rFonts w:eastAsiaTheme="minorEastAsia"/>
          <w:color w:val="000000" w:themeColor="text1"/>
        </w:rPr>
        <w:t>enacted</w:t>
      </w:r>
      <w:r w:rsidR="009A0847">
        <w:rPr>
          <w:rFonts w:eastAsiaTheme="minorEastAsia"/>
          <w:color w:val="000000" w:themeColor="text1"/>
        </w:rPr>
        <w:t xml:space="preserve"> </w:t>
      </w:r>
      <w:r w:rsidRPr="00D85A0A">
        <w:rPr>
          <w:rFonts w:eastAsiaTheme="minorEastAsia"/>
          <w:color w:val="000000" w:themeColor="text1"/>
        </w:rPr>
        <w:t>to</w:t>
      </w:r>
      <w:r w:rsidR="009A0847">
        <w:rPr>
          <w:rFonts w:eastAsiaTheme="minorEastAsia"/>
          <w:color w:val="000000" w:themeColor="text1"/>
        </w:rPr>
        <w:t xml:space="preserve"> </w:t>
      </w:r>
      <w:r w:rsidRPr="00D85A0A">
        <w:rPr>
          <w:rFonts w:eastAsiaTheme="minorEastAsia"/>
          <w:color w:val="000000" w:themeColor="text1"/>
        </w:rPr>
        <w:t>overcome</w:t>
      </w:r>
      <w:r w:rsidR="009A0847">
        <w:rPr>
          <w:rFonts w:eastAsiaTheme="minorEastAsia"/>
          <w:color w:val="000000" w:themeColor="text1"/>
        </w:rPr>
        <w:t xml:space="preserve"> </w:t>
      </w:r>
      <w:r w:rsidRPr="00D85A0A">
        <w:rPr>
          <w:rFonts w:eastAsiaTheme="minorEastAsia"/>
          <w:color w:val="000000" w:themeColor="text1"/>
        </w:rPr>
        <w:t>stigma</w:t>
      </w:r>
      <w:r w:rsidR="009A0847">
        <w:rPr>
          <w:rFonts w:eastAsiaTheme="minorEastAsia"/>
          <w:color w:val="000000" w:themeColor="text1"/>
        </w:rPr>
        <w:t xml:space="preserve"> </w:t>
      </w:r>
      <w:r w:rsidRPr="00D85A0A">
        <w:rPr>
          <w:rFonts w:eastAsiaTheme="minorEastAsia"/>
          <w:color w:val="000000" w:themeColor="text1"/>
        </w:rPr>
        <w:t>in</w:t>
      </w:r>
      <w:r w:rsidR="009A0847">
        <w:rPr>
          <w:rFonts w:eastAsiaTheme="minorEastAsia"/>
          <w:color w:val="000000" w:themeColor="text1"/>
        </w:rPr>
        <w:t xml:space="preserve"> </w:t>
      </w:r>
      <w:r w:rsidR="00132498">
        <w:rPr>
          <w:rFonts w:eastAsiaTheme="minorEastAsia"/>
          <w:color w:val="000000" w:themeColor="text1"/>
        </w:rPr>
        <w:t>the</w:t>
      </w:r>
      <w:r w:rsidR="009A0847">
        <w:rPr>
          <w:rFonts w:eastAsiaTheme="minorEastAsia"/>
          <w:color w:val="000000" w:themeColor="text1"/>
        </w:rPr>
        <w:t xml:space="preserve"> </w:t>
      </w:r>
      <w:r w:rsidRPr="00D85A0A">
        <w:rPr>
          <w:rFonts w:eastAsiaTheme="minorEastAsia"/>
          <w:color w:val="000000" w:themeColor="text1"/>
        </w:rPr>
        <w:t>situations</w:t>
      </w:r>
      <w:r w:rsidR="009A0847">
        <w:rPr>
          <w:rFonts w:eastAsiaTheme="minorEastAsia"/>
          <w:color w:val="000000" w:themeColor="text1"/>
        </w:rPr>
        <w:t xml:space="preserve"> </w:t>
      </w:r>
      <w:r w:rsidR="00132498">
        <w:rPr>
          <w:rFonts w:eastAsiaTheme="minorEastAsia"/>
          <w:color w:val="000000" w:themeColor="text1"/>
        </w:rPr>
        <w:t xml:space="preserve">just described </w:t>
      </w:r>
      <w:r w:rsidRPr="00D85A0A">
        <w:rPr>
          <w:rFonts w:eastAsiaTheme="minorEastAsia"/>
          <w:color w:val="000000" w:themeColor="text1"/>
        </w:rPr>
        <w:t>share</w:t>
      </w:r>
      <w:r w:rsidR="009A0847">
        <w:rPr>
          <w:rFonts w:eastAsiaTheme="minorEastAsia"/>
          <w:color w:val="000000" w:themeColor="text1"/>
        </w:rPr>
        <w:t xml:space="preserve"> </w:t>
      </w:r>
      <w:r w:rsidRPr="00D85A0A">
        <w:rPr>
          <w:rFonts w:eastAsiaTheme="minorEastAsia"/>
          <w:color w:val="000000" w:themeColor="text1"/>
        </w:rPr>
        <w:t>the</w:t>
      </w:r>
      <w:r w:rsidR="009A0847">
        <w:rPr>
          <w:rFonts w:eastAsiaTheme="minorEastAsia"/>
          <w:color w:val="000000" w:themeColor="text1"/>
        </w:rPr>
        <w:t xml:space="preserve"> </w:t>
      </w:r>
      <w:r w:rsidRPr="00D85A0A">
        <w:rPr>
          <w:rFonts w:eastAsiaTheme="minorEastAsia"/>
          <w:color w:val="000000" w:themeColor="text1"/>
        </w:rPr>
        <w:t>same</w:t>
      </w:r>
      <w:r w:rsidR="009A0847">
        <w:rPr>
          <w:rFonts w:eastAsiaTheme="minorEastAsia"/>
          <w:color w:val="000000" w:themeColor="text1"/>
        </w:rPr>
        <w:t xml:space="preserve"> </w:t>
      </w:r>
      <w:r w:rsidRPr="00D85A0A">
        <w:rPr>
          <w:rFonts w:eastAsiaTheme="minorEastAsia"/>
          <w:color w:val="000000" w:themeColor="text1"/>
        </w:rPr>
        <w:t>fundamental</w:t>
      </w:r>
      <w:r w:rsidR="009A0847">
        <w:rPr>
          <w:rFonts w:eastAsiaTheme="minorEastAsia"/>
          <w:color w:val="000000" w:themeColor="text1"/>
        </w:rPr>
        <w:t xml:space="preserve"> </w:t>
      </w:r>
      <w:r w:rsidRPr="00D85A0A">
        <w:rPr>
          <w:rFonts w:eastAsiaTheme="minorEastAsia"/>
          <w:color w:val="000000" w:themeColor="text1"/>
        </w:rPr>
        <w:t>principle</w:t>
      </w:r>
      <w:r w:rsidR="009A0847">
        <w:rPr>
          <w:rFonts w:eastAsiaTheme="minorEastAsia"/>
          <w:color w:val="000000" w:themeColor="text1"/>
        </w:rPr>
        <w:t xml:space="preserve"> </w:t>
      </w:r>
      <w:r w:rsidRPr="00D85A0A">
        <w:rPr>
          <w:rFonts w:eastAsiaTheme="minorEastAsia"/>
          <w:color w:val="000000" w:themeColor="text1"/>
        </w:rPr>
        <w:t>with</w:t>
      </w:r>
      <w:r w:rsidR="009A0847">
        <w:rPr>
          <w:rFonts w:eastAsiaTheme="minorEastAsia"/>
          <w:color w:val="000000" w:themeColor="text1"/>
        </w:rPr>
        <w:t xml:space="preserve"> </w:t>
      </w:r>
      <w:r w:rsidRPr="00D85A0A">
        <w:rPr>
          <w:rFonts w:eastAsiaTheme="minorEastAsia"/>
          <w:color w:val="000000" w:themeColor="text1"/>
        </w:rPr>
        <w:t>the</w:t>
      </w:r>
      <w:r w:rsidR="009A0847">
        <w:rPr>
          <w:rFonts w:eastAsiaTheme="minorEastAsia"/>
          <w:color w:val="000000" w:themeColor="text1"/>
        </w:rPr>
        <w:t xml:space="preserve"> </w:t>
      </w:r>
      <w:r w:rsidRPr="00D85A0A">
        <w:rPr>
          <w:rFonts w:eastAsiaTheme="minorEastAsia"/>
          <w:color w:val="000000" w:themeColor="text1"/>
        </w:rPr>
        <w:t>random</w:t>
      </w:r>
      <w:r w:rsidR="009A0847">
        <w:rPr>
          <w:rFonts w:eastAsiaTheme="minorEastAsia"/>
          <w:color w:val="000000" w:themeColor="text1"/>
        </w:rPr>
        <w:t xml:space="preserve"> </w:t>
      </w:r>
      <w:r w:rsidRPr="00D85A0A">
        <w:rPr>
          <w:rFonts w:eastAsiaTheme="minorEastAsia"/>
          <w:color w:val="000000" w:themeColor="text1"/>
        </w:rPr>
        <w:t>borrowing</w:t>
      </w:r>
      <w:r w:rsidR="009A0847">
        <w:rPr>
          <w:rFonts w:eastAsiaTheme="minorEastAsia"/>
          <w:color w:val="000000" w:themeColor="text1"/>
        </w:rPr>
        <w:t xml:space="preserve"> </w:t>
      </w:r>
      <w:r w:rsidRPr="00D85A0A">
        <w:rPr>
          <w:rFonts w:eastAsiaTheme="minorEastAsia"/>
          <w:color w:val="000000" w:themeColor="text1"/>
        </w:rPr>
        <w:t>approach</w:t>
      </w:r>
      <w:r w:rsidR="009A0847">
        <w:rPr>
          <w:rFonts w:eastAsiaTheme="minorEastAsia"/>
          <w:color w:val="000000" w:themeColor="text1"/>
        </w:rPr>
        <w:t xml:space="preserve"> </w:t>
      </w:r>
      <w:r w:rsidRPr="00D85A0A">
        <w:rPr>
          <w:rFonts w:eastAsiaTheme="minorEastAsia"/>
          <w:color w:val="000000" w:themeColor="text1"/>
        </w:rPr>
        <w:t>we</w:t>
      </w:r>
      <w:r w:rsidR="009A0847">
        <w:rPr>
          <w:rFonts w:eastAsiaTheme="minorEastAsia"/>
          <w:color w:val="000000" w:themeColor="text1"/>
        </w:rPr>
        <w:t xml:space="preserve"> </w:t>
      </w:r>
      <w:r w:rsidR="00132498">
        <w:rPr>
          <w:rFonts w:eastAsiaTheme="minorEastAsia"/>
          <w:color w:val="000000" w:themeColor="text1"/>
        </w:rPr>
        <w:t>propose</w:t>
      </w:r>
      <w:r w:rsidRPr="00D85A0A">
        <w:rPr>
          <w:rFonts w:eastAsiaTheme="minorEastAsia"/>
          <w:color w:val="000000" w:themeColor="text1"/>
        </w:rPr>
        <w:t>:</w:t>
      </w:r>
      <w:r w:rsidR="009A0847">
        <w:rPr>
          <w:rFonts w:eastAsiaTheme="minorEastAsia"/>
          <w:color w:val="000000" w:themeColor="text1"/>
        </w:rPr>
        <w:t xml:space="preserve"> </w:t>
      </w:r>
      <w:r w:rsidRPr="00D85A0A">
        <w:rPr>
          <w:rFonts w:eastAsiaTheme="minorEastAsia"/>
          <w:color w:val="000000" w:themeColor="text1"/>
        </w:rPr>
        <w:t>have</w:t>
      </w:r>
      <w:r w:rsidR="009A0847">
        <w:rPr>
          <w:rFonts w:eastAsiaTheme="minorEastAsia"/>
          <w:color w:val="000000" w:themeColor="text1"/>
        </w:rPr>
        <w:t xml:space="preserve"> </w:t>
      </w:r>
      <w:r w:rsidRPr="00D85A0A">
        <w:rPr>
          <w:rFonts w:eastAsiaTheme="minorEastAsia"/>
          <w:color w:val="000000" w:themeColor="text1"/>
        </w:rPr>
        <w:t>non-concerned</w:t>
      </w:r>
      <w:r w:rsidR="009A0847">
        <w:rPr>
          <w:rFonts w:eastAsiaTheme="minorEastAsia"/>
          <w:color w:val="000000" w:themeColor="text1"/>
        </w:rPr>
        <w:t xml:space="preserve"> </w:t>
      </w:r>
      <w:r w:rsidRPr="00D85A0A">
        <w:rPr>
          <w:rFonts w:eastAsiaTheme="minorEastAsia"/>
          <w:color w:val="000000" w:themeColor="text1"/>
        </w:rPr>
        <w:t>parties</w:t>
      </w:r>
      <w:r w:rsidR="009A0847">
        <w:rPr>
          <w:rFonts w:eastAsiaTheme="minorEastAsia"/>
          <w:color w:val="000000" w:themeColor="text1"/>
        </w:rPr>
        <w:t xml:space="preserve"> </w:t>
      </w:r>
      <w:r w:rsidRPr="00D85A0A">
        <w:rPr>
          <w:rFonts w:eastAsiaTheme="minorEastAsia"/>
          <w:color w:val="000000" w:themeColor="text1"/>
        </w:rPr>
        <w:t>take</w:t>
      </w:r>
      <w:r w:rsidR="009A0847">
        <w:rPr>
          <w:rFonts w:eastAsiaTheme="minorEastAsia"/>
          <w:color w:val="000000" w:themeColor="text1"/>
        </w:rPr>
        <w:t xml:space="preserve"> </w:t>
      </w:r>
      <w:r w:rsidRPr="00D85A0A">
        <w:rPr>
          <w:rFonts w:eastAsiaTheme="minorEastAsia"/>
          <w:color w:val="000000" w:themeColor="text1"/>
        </w:rPr>
        <w:t>part</w:t>
      </w:r>
      <w:r w:rsidR="009A0847">
        <w:rPr>
          <w:rFonts w:eastAsiaTheme="minorEastAsia"/>
          <w:color w:val="000000" w:themeColor="text1"/>
        </w:rPr>
        <w:t xml:space="preserve"> </w:t>
      </w:r>
      <w:r w:rsidRPr="00D85A0A">
        <w:rPr>
          <w:rFonts w:eastAsiaTheme="minorEastAsia"/>
          <w:color w:val="000000" w:themeColor="text1"/>
        </w:rPr>
        <w:t>in</w:t>
      </w:r>
      <w:r w:rsidR="009A0847">
        <w:rPr>
          <w:rFonts w:eastAsiaTheme="minorEastAsia"/>
          <w:color w:val="000000" w:themeColor="text1"/>
        </w:rPr>
        <w:t xml:space="preserve"> </w:t>
      </w:r>
      <w:r w:rsidRPr="00D85A0A">
        <w:rPr>
          <w:rFonts w:eastAsiaTheme="minorEastAsia"/>
          <w:color w:val="000000" w:themeColor="text1"/>
        </w:rPr>
        <w:t>the</w:t>
      </w:r>
      <w:r w:rsidR="009A0847">
        <w:rPr>
          <w:rFonts w:eastAsiaTheme="minorEastAsia"/>
          <w:color w:val="000000" w:themeColor="text1"/>
        </w:rPr>
        <w:t xml:space="preserve"> </w:t>
      </w:r>
      <w:r w:rsidRPr="00D85A0A">
        <w:rPr>
          <w:rFonts w:eastAsiaTheme="minorEastAsia"/>
          <w:color w:val="000000" w:themeColor="text1"/>
        </w:rPr>
        <w:t>program</w:t>
      </w:r>
      <w:r w:rsidR="009A0847">
        <w:rPr>
          <w:rFonts w:eastAsiaTheme="minorEastAsia"/>
          <w:color w:val="000000" w:themeColor="text1"/>
        </w:rPr>
        <w:t xml:space="preserve"> </w:t>
      </w:r>
      <w:r w:rsidRPr="00D85A0A">
        <w:rPr>
          <w:rFonts w:eastAsiaTheme="minorEastAsia"/>
          <w:color w:val="000000" w:themeColor="text1"/>
        </w:rPr>
        <w:t>as</w:t>
      </w:r>
      <w:r w:rsidR="009A0847">
        <w:rPr>
          <w:rFonts w:eastAsiaTheme="minorEastAsia"/>
          <w:color w:val="000000" w:themeColor="text1"/>
        </w:rPr>
        <w:t xml:space="preserve"> </w:t>
      </w:r>
      <w:r w:rsidRPr="00D85A0A">
        <w:rPr>
          <w:rFonts w:eastAsiaTheme="minorEastAsia"/>
          <w:color w:val="000000" w:themeColor="text1"/>
        </w:rPr>
        <w:t>a</w:t>
      </w:r>
      <w:r w:rsidR="009A0847">
        <w:rPr>
          <w:rFonts w:eastAsiaTheme="minorEastAsia"/>
          <w:color w:val="000000" w:themeColor="text1"/>
        </w:rPr>
        <w:t xml:space="preserve"> </w:t>
      </w:r>
      <w:r w:rsidRPr="00D85A0A">
        <w:rPr>
          <w:rFonts w:eastAsiaTheme="minorEastAsia"/>
          <w:color w:val="000000" w:themeColor="text1"/>
        </w:rPr>
        <w:t>way</w:t>
      </w:r>
      <w:r w:rsidR="009A0847">
        <w:rPr>
          <w:rFonts w:eastAsiaTheme="minorEastAsia"/>
          <w:color w:val="000000" w:themeColor="text1"/>
        </w:rPr>
        <w:t xml:space="preserve"> </w:t>
      </w:r>
      <w:r w:rsidRPr="00D85A0A">
        <w:rPr>
          <w:rFonts w:eastAsiaTheme="minorEastAsia"/>
          <w:color w:val="000000" w:themeColor="text1"/>
        </w:rPr>
        <w:t>to</w:t>
      </w:r>
      <w:r w:rsidR="009A0847">
        <w:rPr>
          <w:rFonts w:eastAsiaTheme="minorEastAsia"/>
          <w:color w:val="000000" w:themeColor="text1"/>
        </w:rPr>
        <w:t xml:space="preserve"> </w:t>
      </w:r>
      <w:r w:rsidRPr="00D85A0A">
        <w:rPr>
          <w:rFonts w:eastAsiaTheme="minorEastAsia"/>
          <w:color w:val="000000" w:themeColor="text1"/>
        </w:rPr>
        <w:t>dilute</w:t>
      </w:r>
      <w:r w:rsidR="009A0847">
        <w:rPr>
          <w:rFonts w:eastAsiaTheme="minorEastAsia"/>
          <w:color w:val="000000" w:themeColor="text1"/>
        </w:rPr>
        <w:t xml:space="preserve"> </w:t>
      </w:r>
      <w:r w:rsidRPr="00D85A0A">
        <w:rPr>
          <w:rFonts w:eastAsiaTheme="minorEastAsia"/>
          <w:color w:val="000000" w:themeColor="text1"/>
        </w:rPr>
        <w:t>any</w:t>
      </w:r>
      <w:r w:rsidR="009A0847">
        <w:rPr>
          <w:rFonts w:eastAsiaTheme="minorEastAsia"/>
          <w:color w:val="000000" w:themeColor="text1"/>
        </w:rPr>
        <w:t xml:space="preserve"> </w:t>
      </w:r>
      <w:r w:rsidRPr="00D85A0A">
        <w:rPr>
          <w:rFonts w:eastAsiaTheme="minorEastAsia"/>
          <w:color w:val="000000" w:themeColor="text1"/>
        </w:rPr>
        <w:t>negative</w:t>
      </w:r>
      <w:r w:rsidR="009A0847">
        <w:rPr>
          <w:rFonts w:eastAsiaTheme="minorEastAsia"/>
          <w:color w:val="000000" w:themeColor="text1"/>
        </w:rPr>
        <w:t xml:space="preserve"> </w:t>
      </w:r>
      <w:r w:rsidRPr="00D85A0A">
        <w:rPr>
          <w:rFonts w:eastAsiaTheme="minorEastAsia"/>
          <w:color w:val="000000" w:themeColor="text1"/>
        </w:rPr>
        <w:t>signal</w:t>
      </w:r>
      <w:r w:rsidR="009A0847">
        <w:rPr>
          <w:rFonts w:eastAsiaTheme="minorEastAsia"/>
          <w:color w:val="000000" w:themeColor="text1"/>
        </w:rPr>
        <w:t xml:space="preserve"> </w:t>
      </w:r>
      <w:r w:rsidRPr="00D85A0A">
        <w:rPr>
          <w:rFonts w:eastAsiaTheme="minorEastAsia"/>
          <w:color w:val="000000" w:themeColor="text1"/>
        </w:rPr>
        <w:t>from</w:t>
      </w:r>
      <w:r w:rsidR="009A0847">
        <w:rPr>
          <w:rFonts w:eastAsiaTheme="minorEastAsia"/>
          <w:color w:val="000000" w:themeColor="text1"/>
        </w:rPr>
        <w:t xml:space="preserve"> </w:t>
      </w:r>
      <w:r w:rsidRPr="00D85A0A">
        <w:rPr>
          <w:rFonts w:eastAsiaTheme="minorEastAsia"/>
          <w:color w:val="000000" w:themeColor="text1"/>
        </w:rPr>
        <w:t>participation.</w:t>
      </w:r>
      <w:r w:rsidR="009A0847">
        <w:rPr>
          <w:rFonts w:eastAsiaTheme="minorEastAsia"/>
          <w:color w:val="000000" w:themeColor="text1"/>
        </w:rPr>
        <w:t xml:space="preserve"> </w:t>
      </w:r>
      <w:r w:rsidRPr="00D85A0A">
        <w:rPr>
          <w:color w:val="000000" w:themeColor="text1"/>
        </w:rPr>
        <w:t>In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particular,</w:t>
      </w:r>
      <w:r w:rsidR="00C31375">
        <w:rPr>
          <w:color w:val="000000" w:themeColor="text1"/>
        </w:rPr>
        <w:t xml:space="preserve"> </w:t>
      </w:r>
      <w:r w:rsidR="00C31375">
        <w:rPr>
          <w:color w:val="000000" w:themeColor="text1"/>
          <w:szCs w:val="24"/>
        </w:rPr>
        <w:t xml:space="preserve">when </w:t>
      </w:r>
      <w:r w:rsidR="00C31375" w:rsidRPr="00D85A0A">
        <w:rPr>
          <w:color w:val="000000" w:themeColor="text1"/>
          <w:szCs w:val="24"/>
        </w:rPr>
        <w:t>the</w:t>
      </w:r>
      <w:r w:rsidR="00C31375">
        <w:rPr>
          <w:color w:val="000000" w:themeColor="text1"/>
          <w:szCs w:val="24"/>
        </w:rPr>
        <w:t xml:space="preserve"> </w:t>
      </w:r>
      <w:r w:rsidR="00C31375" w:rsidRPr="00D85A0A">
        <w:rPr>
          <w:rFonts w:eastAsiaTheme="minorEastAsia"/>
          <w:color w:val="000000" w:themeColor="text1"/>
          <w:szCs w:val="24"/>
        </w:rPr>
        <w:t>Troubled</w:t>
      </w:r>
      <w:r w:rsidR="00C31375">
        <w:rPr>
          <w:rFonts w:eastAsiaTheme="minorEastAsia"/>
          <w:color w:val="000000" w:themeColor="text1"/>
          <w:szCs w:val="24"/>
        </w:rPr>
        <w:t xml:space="preserve"> </w:t>
      </w:r>
      <w:r w:rsidR="00C31375" w:rsidRPr="00D85A0A">
        <w:rPr>
          <w:rFonts w:eastAsiaTheme="minorEastAsia"/>
          <w:color w:val="000000" w:themeColor="text1"/>
          <w:szCs w:val="24"/>
        </w:rPr>
        <w:t>Asset</w:t>
      </w:r>
      <w:r w:rsidR="00C31375">
        <w:rPr>
          <w:rFonts w:eastAsiaTheme="minorEastAsia"/>
          <w:color w:val="000000" w:themeColor="text1"/>
          <w:szCs w:val="24"/>
        </w:rPr>
        <w:t xml:space="preserve"> </w:t>
      </w:r>
      <w:r w:rsidR="00C31375" w:rsidRPr="00D85A0A">
        <w:rPr>
          <w:rFonts w:eastAsiaTheme="minorEastAsia"/>
          <w:color w:val="000000" w:themeColor="text1"/>
          <w:szCs w:val="24"/>
        </w:rPr>
        <w:t>Relief</w:t>
      </w:r>
      <w:r w:rsidR="00C31375">
        <w:rPr>
          <w:rFonts w:eastAsiaTheme="minorEastAsia"/>
          <w:color w:val="000000" w:themeColor="text1"/>
          <w:szCs w:val="24"/>
        </w:rPr>
        <w:t xml:space="preserve"> </w:t>
      </w:r>
      <w:r w:rsidR="00C31375" w:rsidRPr="00D85A0A">
        <w:rPr>
          <w:rFonts w:eastAsiaTheme="minorEastAsia"/>
          <w:color w:val="000000" w:themeColor="text1"/>
          <w:szCs w:val="24"/>
        </w:rPr>
        <w:t>Program</w:t>
      </w:r>
      <w:r w:rsidR="00C31375">
        <w:rPr>
          <w:rFonts w:eastAsiaTheme="minorEastAsia"/>
          <w:color w:val="000000" w:themeColor="text1"/>
          <w:szCs w:val="24"/>
        </w:rPr>
        <w:t xml:space="preserve"> (TARP) was launched in 2008, </w:t>
      </w:r>
      <w:r w:rsidR="00C31375" w:rsidRPr="00D85A0A">
        <w:rPr>
          <w:color w:val="000000" w:themeColor="text1"/>
        </w:rPr>
        <w:t>the</w:t>
      </w:r>
      <w:r w:rsidR="00C31375">
        <w:rPr>
          <w:color w:val="000000" w:themeColor="text1"/>
        </w:rPr>
        <w:t xml:space="preserve"> </w:t>
      </w:r>
      <w:r w:rsidR="00C31375" w:rsidRPr="00D85A0A">
        <w:rPr>
          <w:color w:val="000000" w:themeColor="text1"/>
        </w:rPr>
        <w:t>nine</w:t>
      </w:r>
      <w:r w:rsidR="00C31375">
        <w:rPr>
          <w:color w:val="000000" w:themeColor="text1"/>
        </w:rPr>
        <w:t xml:space="preserve"> </w:t>
      </w:r>
      <w:r w:rsidR="00C31375" w:rsidRPr="00D85A0A">
        <w:rPr>
          <w:color w:val="000000" w:themeColor="text1"/>
        </w:rPr>
        <w:t>largest</w:t>
      </w:r>
      <w:r w:rsidR="00C31375">
        <w:rPr>
          <w:color w:val="000000" w:themeColor="text1"/>
        </w:rPr>
        <w:t xml:space="preserve"> U.S. </w:t>
      </w:r>
      <w:r w:rsidR="00C31375" w:rsidRPr="00D85A0A">
        <w:rPr>
          <w:color w:val="000000" w:themeColor="text1"/>
        </w:rPr>
        <w:t>banks</w:t>
      </w:r>
      <w:r w:rsidR="00C31375">
        <w:rPr>
          <w:color w:val="000000" w:themeColor="text1"/>
        </w:rPr>
        <w:t xml:space="preserve"> </w:t>
      </w:r>
      <w:r w:rsidR="00C31375" w:rsidRPr="00D85A0A">
        <w:rPr>
          <w:color w:val="000000" w:themeColor="text1"/>
        </w:rPr>
        <w:t>were</w:t>
      </w:r>
      <w:r w:rsidR="00C31375">
        <w:rPr>
          <w:color w:val="000000" w:themeColor="text1"/>
        </w:rPr>
        <w:t xml:space="preserve"> </w:t>
      </w:r>
      <w:r w:rsidR="00C31375" w:rsidRPr="00D85A0A">
        <w:rPr>
          <w:color w:val="000000" w:themeColor="text1"/>
        </w:rPr>
        <w:t>c</w:t>
      </w:r>
      <w:r w:rsidR="00C31375" w:rsidRPr="00D85A0A">
        <w:rPr>
          <w:color w:val="000000" w:themeColor="text1"/>
          <w:szCs w:val="24"/>
        </w:rPr>
        <w:t>ompelled</w:t>
      </w:r>
      <w:r w:rsidR="00C31375">
        <w:rPr>
          <w:color w:val="000000" w:themeColor="text1"/>
          <w:szCs w:val="24"/>
        </w:rPr>
        <w:t xml:space="preserve"> </w:t>
      </w:r>
      <w:r w:rsidR="00C31375" w:rsidRPr="00D85A0A">
        <w:rPr>
          <w:color w:val="000000" w:themeColor="text1"/>
          <w:szCs w:val="24"/>
        </w:rPr>
        <w:t>to</w:t>
      </w:r>
      <w:r w:rsidR="00C31375">
        <w:rPr>
          <w:color w:val="000000" w:themeColor="text1"/>
          <w:szCs w:val="24"/>
        </w:rPr>
        <w:t xml:space="preserve"> </w:t>
      </w:r>
      <w:r w:rsidR="00C31375" w:rsidRPr="00D85A0A">
        <w:rPr>
          <w:color w:val="000000" w:themeColor="text1"/>
          <w:szCs w:val="24"/>
        </w:rPr>
        <w:t>accept</w:t>
      </w:r>
      <w:r w:rsidR="00C31375">
        <w:rPr>
          <w:color w:val="000000" w:themeColor="text1"/>
          <w:szCs w:val="24"/>
        </w:rPr>
        <w:t xml:space="preserve"> </w:t>
      </w:r>
      <w:r w:rsidR="00C31375" w:rsidRPr="00D85A0A">
        <w:rPr>
          <w:color w:val="000000" w:themeColor="text1"/>
          <w:szCs w:val="24"/>
        </w:rPr>
        <w:t>capital</w:t>
      </w:r>
      <w:r w:rsidR="00C31375">
        <w:rPr>
          <w:color w:val="000000" w:themeColor="text1"/>
          <w:szCs w:val="24"/>
        </w:rPr>
        <w:t xml:space="preserve"> </w:t>
      </w:r>
      <w:r w:rsidR="00C31375" w:rsidRPr="00D85A0A">
        <w:rPr>
          <w:color w:val="000000" w:themeColor="text1"/>
          <w:szCs w:val="24"/>
        </w:rPr>
        <w:t>injections</w:t>
      </w:r>
      <w:r w:rsidR="00C31375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to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promote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take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up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from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smaller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banks</w:t>
      </w:r>
      <w:r w:rsidR="00C31375">
        <w:rPr>
          <w:color w:val="000000" w:themeColor="text1"/>
        </w:rPr>
        <w:t xml:space="preserve"> and </w:t>
      </w:r>
      <w:r w:rsidR="00C31375" w:rsidRPr="00D85A0A">
        <w:rPr>
          <w:color w:val="000000" w:themeColor="text1"/>
        </w:rPr>
        <w:t>prevent</w:t>
      </w:r>
      <w:r w:rsidR="00C31375">
        <w:rPr>
          <w:color w:val="000000" w:themeColor="text1"/>
        </w:rPr>
        <w:t xml:space="preserve"> </w:t>
      </w:r>
      <w:r w:rsidR="00C31375" w:rsidRPr="00D85A0A">
        <w:rPr>
          <w:color w:val="000000" w:themeColor="text1"/>
        </w:rPr>
        <w:t>“TARP</w:t>
      </w:r>
      <w:r w:rsidR="00C31375">
        <w:rPr>
          <w:color w:val="000000" w:themeColor="text1"/>
        </w:rPr>
        <w:t xml:space="preserve"> </w:t>
      </w:r>
      <w:r w:rsidR="00C31375" w:rsidRPr="00D85A0A">
        <w:rPr>
          <w:color w:val="000000" w:themeColor="text1"/>
        </w:rPr>
        <w:t>stigma</w:t>
      </w:r>
      <w:r w:rsidR="00C31375">
        <w:rPr>
          <w:color w:val="000000" w:themeColor="text1"/>
        </w:rPr>
        <w:t>.</w:t>
      </w:r>
      <w:r w:rsidR="00C31375" w:rsidRPr="00D85A0A">
        <w:rPr>
          <w:color w:val="000000" w:themeColor="text1"/>
        </w:rPr>
        <w:t>”</w:t>
      </w:r>
      <w:r w:rsidRPr="00D85A0A">
        <w:rPr>
          <w:rStyle w:val="FootnoteReference"/>
          <w:color w:val="000000" w:themeColor="text1"/>
          <w:sz w:val="20"/>
          <w:szCs w:val="20"/>
        </w:rPr>
        <w:footnoteReference w:id="38"/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Similarly,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several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school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districts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have</w:t>
      </w:r>
      <w:r w:rsidR="009A0847">
        <w:rPr>
          <w:color w:val="000000" w:themeColor="text1"/>
        </w:rPr>
        <w:t xml:space="preserve"> </w:t>
      </w:r>
      <w:r w:rsidR="00122E95">
        <w:rPr>
          <w:color w:val="000000" w:themeColor="text1"/>
        </w:rPr>
        <w:t>recently</w:t>
      </w:r>
      <w:r w:rsidR="009A0847">
        <w:rPr>
          <w:color w:val="000000" w:themeColor="text1"/>
        </w:rPr>
        <w:t xml:space="preserve"> </w:t>
      </w:r>
      <w:r w:rsidRPr="00D85A0A">
        <w:rPr>
          <w:rFonts w:eastAsiaTheme="minorEastAsia"/>
          <w:color w:val="000000" w:themeColor="text1"/>
        </w:rPr>
        <w:t>decided</w:t>
      </w:r>
      <w:r w:rsidR="009A0847">
        <w:rPr>
          <w:rFonts w:eastAsiaTheme="minorEastAsia"/>
          <w:color w:val="000000" w:themeColor="text1"/>
        </w:rPr>
        <w:t xml:space="preserve"> </w:t>
      </w:r>
      <w:r w:rsidRPr="00D85A0A">
        <w:rPr>
          <w:rFonts w:eastAsiaTheme="minorEastAsia"/>
          <w:color w:val="000000" w:themeColor="text1"/>
        </w:rPr>
        <w:t>to</w:t>
      </w:r>
      <w:r w:rsidR="009A0847">
        <w:rPr>
          <w:rFonts w:eastAsiaTheme="minorEastAsia"/>
          <w:color w:val="000000" w:themeColor="text1"/>
        </w:rPr>
        <w:t xml:space="preserve"> </w:t>
      </w:r>
      <w:r w:rsidRPr="00D85A0A">
        <w:rPr>
          <w:rFonts w:eastAsiaTheme="minorEastAsia"/>
          <w:color w:val="000000" w:themeColor="text1"/>
        </w:rPr>
        <w:t>adopt</w:t>
      </w:r>
      <w:r w:rsidR="009A0847">
        <w:rPr>
          <w:rFonts w:eastAsiaTheme="minorEastAsia"/>
          <w:color w:val="000000" w:themeColor="text1"/>
        </w:rPr>
        <w:t xml:space="preserve"> </w:t>
      </w:r>
      <w:r w:rsidRPr="00D85A0A">
        <w:rPr>
          <w:rFonts w:eastAsiaTheme="minorEastAsia"/>
          <w:color w:val="000000" w:themeColor="text1"/>
        </w:rPr>
        <w:t>“</w:t>
      </w:r>
      <w:r w:rsidR="00A345EF" w:rsidRPr="00D85A0A">
        <w:rPr>
          <w:rFonts w:eastAsiaTheme="minorEastAsia"/>
          <w:color w:val="000000" w:themeColor="text1"/>
        </w:rPr>
        <w:t>u</w:t>
      </w:r>
      <w:r w:rsidRPr="00D85A0A">
        <w:rPr>
          <w:rFonts w:eastAsiaTheme="minorEastAsia"/>
          <w:color w:val="000000" w:themeColor="text1"/>
        </w:rPr>
        <w:t>niversal</w:t>
      </w:r>
      <w:r w:rsidR="009A0847">
        <w:rPr>
          <w:rFonts w:eastAsiaTheme="minorEastAsia"/>
          <w:color w:val="000000" w:themeColor="text1"/>
        </w:rPr>
        <w:t xml:space="preserve"> </w:t>
      </w:r>
      <w:r w:rsidR="00A345EF" w:rsidRPr="00D85A0A">
        <w:rPr>
          <w:rFonts w:eastAsiaTheme="minorEastAsia"/>
          <w:color w:val="000000" w:themeColor="text1"/>
        </w:rPr>
        <w:t>f</w:t>
      </w:r>
      <w:r w:rsidRPr="00D85A0A">
        <w:rPr>
          <w:rFonts w:eastAsiaTheme="minorEastAsia"/>
          <w:color w:val="000000" w:themeColor="text1"/>
        </w:rPr>
        <w:t>ree</w:t>
      </w:r>
      <w:r w:rsidR="009A0847">
        <w:rPr>
          <w:rFonts w:eastAsiaTheme="minorEastAsia"/>
          <w:color w:val="000000" w:themeColor="text1"/>
        </w:rPr>
        <w:t xml:space="preserve"> </w:t>
      </w:r>
      <w:r w:rsidR="00A345EF" w:rsidRPr="00D85A0A">
        <w:rPr>
          <w:rFonts w:eastAsiaTheme="minorEastAsia"/>
          <w:color w:val="000000" w:themeColor="text1"/>
        </w:rPr>
        <w:t>lunch</w:t>
      </w:r>
      <w:r w:rsidRPr="00D85A0A">
        <w:rPr>
          <w:rFonts w:eastAsiaTheme="minorEastAsia"/>
          <w:color w:val="000000" w:themeColor="text1"/>
        </w:rPr>
        <w:t>”</w:t>
      </w:r>
      <w:r w:rsidR="009A0847">
        <w:rPr>
          <w:rFonts w:eastAsiaTheme="minorEastAsia"/>
          <w:color w:val="000000" w:themeColor="text1"/>
        </w:rPr>
        <w:t xml:space="preserve"> </w:t>
      </w:r>
      <w:r w:rsidRPr="00D85A0A">
        <w:rPr>
          <w:rFonts w:eastAsiaTheme="minorEastAsia"/>
          <w:color w:val="000000" w:themeColor="text1"/>
        </w:rPr>
        <w:t>p</w:t>
      </w:r>
      <w:r w:rsidR="00857AC1">
        <w:rPr>
          <w:rFonts w:eastAsiaTheme="minorEastAsia"/>
          <w:color w:val="000000" w:themeColor="text1"/>
        </w:rPr>
        <w:t>olicie</w:t>
      </w:r>
      <w:r w:rsidRPr="00D85A0A">
        <w:rPr>
          <w:rFonts w:eastAsiaTheme="minorEastAsia"/>
          <w:color w:val="000000" w:themeColor="text1"/>
        </w:rPr>
        <w:t>s</w:t>
      </w:r>
      <w:r w:rsidR="009A0847">
        <w:rPr>
          <w:rFonts w:eastAsiaTheme="minorEastAsia"/>
          <w:color w:val="000000" w:themeColor="text1"/>
        </w:rPr>
        <w:t xml:space="preserve"> </w:t>
      </w:r>
      <w:r w:rsidRPr="00D85A0A">
        <w:rPr>
          <w:rFonts w:eastAsiaTheme="minorEastAsia"/>
          <w:color w:val="000000" w:themeColor="text1"/>
        </w:rPr>
        <w:t>under</w:t>
      </w:r>
      <w:r w:rsidR="009A0847">
        <w:rPr>
          <w:rFonts w:eastAsiaTheme="minorEastAsia"/>
          <w:color w:val="000000" w:themeColor="text1"/>
        </w:rPr>
        <w:t xml:space="preserve"> </w:t>
      </w:r>
      <w:r w:rsidRPr="00D85A0A">
        <w:rPr>
          <w:rFonts w:eastAsiaTheme="minorEastAsia"/>
          <w:color w:val="000000" w:themeColor="text1"/>
        </w:rPr>
        <w:t>which</w:t>
      </w:r>
      <w:r w:rsidR="009A0847">
        <w:rPr>
          <w:rFonts w:eastAsiaTheme="minorEastAsia"/>
          <w:color w:val="000000" w:themeColor="text1"/>
        </w:rPr>
        <w:t xml:space="preserve"> </w:t>
      </w:r>
      <w:r w:rsidRPr="00D85A0A">
        <w:rPr>
          <w:rFonts w:eastAsiaTheme="minorEastAsia"/>
          <w:color w:val="000000" w:themeColor="text1"/>
        </w:rPr>
        <w:t>lunch</w:t>
      </w:r>
      <w:r w:rsidR="009A0847">
        <w:rPr>
          <w:rFonts w:eastAsiaTheme="minorEastAsia"/>
          <w:color w:val="000000" w:themeColor="text1"/>
        </w:rPr>
        <w:t xml:space="preserve"> </w:t>
      </w:r>
      <w:r w:rsidRPr="00D85A0A">
        <w:rPr>
          <w:rFonts w:eastAsiaTheme="minorEastAsia"/>
          <w:color w:val="000000" w:themeColor="text1"/>
        </w:rPr>
        <w:t>is</w:t>
      </w:r>
      <w:r w:rsidR="009A0847">
        <w:rPr>
          <w:rFonts w:eastAsiaTheme="minorEastAsia"/>
          <w:color w:val="000000" w:themeColor="text1"/>
        </w:rPr>
        <w:t xml:space="preserve"> </w:t>
      </w:r>
      <w:r w:rsidRPr="00D85A0A">
        <w:rPr>
          <w:rFonts w:eastAsiaTheme="minorEastAsia"/>
          <w:color w:val="000000" w:themeColor="text1"/>
        </w:rPr>
        <w:t>provided</w:t>
      </w:r>
      <w:r w:rsidR="009A0847">
        <w:rPr>
          <w:rFonts w:eastAsiaTheme="minorEastAsia"/>
          <w:color w:val="000000" w:themeColor="text1"/>
        </w:rPr>
        <w:t xml:space="preserve"> </w:t>
      </w:r>
      <w:r w:rsidR="00A345EF" w:rsidRPr="00D85A0A">
        <w:rPr>
          <w:rFonts w:eastAsiaTheme="minorEastAsia"/>
          <w:color w:val="000000" w:themeColor="text1"/>
        </w:rPr>
        <w:t>for</w:t>
      </w:r>
      <w:r w:rsidR="009A0847">
        <w:rPr>
          <w:rFonts w:eastAsiaTheme="minorEastAsia"/>
          <w:color w:val="000000" w:themeColor="text1"/>
        </w:rPr>
        <w:t xml:space="preserve"> </w:t>
      </w:r>
      <w:r w:rsidR="00A345EF" w:rsidRPr="00D85A0A">
        <w:rPr>
          <w:rFonts w:eastAsiaTheme="minorEastAsia"/>
          <w:color w:val="000000" w:themeColor="text1"/>
        </w:rPr>
        <w:t>free</w:t>
      </w:r>
      <w:r w:rsidR="009A0847">
        <w:rPr>
          <w:rFonts w:eastAsiaTheme="minorEastAsia"/>
          <w:color w:val="000000" w:themeColor="text1"/>
        </w:rPr>
        <w:t xml:space="preserve"> </w:t>
      </w:r>
      <w:r w:rsidRPr="00D85A0A">
        <w:rPr>
          <w:rFonts w:eastAsiaTheme="minorEastAsia"/>
          <w:color w:val="000000" w:themeColor="text1"/>
        </w:rPr>
        <w:t>to</w:t>
      </w:r>
      <w:r w:rsidR="009A0847">
        <w:rPr>
          <w:rFonts w:eastAsiaTheme="minorEastAsia"/>
          <w:color w:val="000000" w:themeColor="text1"/>
        </w:rPr>
        <w:t xml:space="preserve"> </w:t>
      </w:r>
      <w:r w:rsidRPr="00D85A0A">
        <w:rPr>
          <w:rFonts w:eastAsiaTheme="minorEastAsia"/>
          <w:color w:val="000000" w:themeColor="text1"/>
        </w:rPr>
        <w:t>all</w:t>
      </w:r>
      <w:r w:rsidR="009A0847">
        <w:rPr>
          <w:rFonts w:eastAsiaTheme="minorEastAsia"/>
          <w:color w:val="000000" w:themeColor="text1"/>
        </w:rPr>
        <w:t xml:space="preserve"> </w:t>
      </w:r>
      <w:r w:rsidRPr="00D85A0A">
        <w:rPr>
          <w:rFonts w:eastAsiaTheme="minorEastAsia"/>
          <w:color w:val="000000" w:themeColor="text1"/>
        </w:rPr>
        <w:t>students,</w:t>
      </w:r>
      <w:r w:rsidR="009A0847">
        <w:rPr>
          <w:rFonts w:eastAsiaTheme="minorEastAsia"/>
          <w:color w:val="000000" w:themeColor="text1"/>
        </w:rPr>
        <w:t xml:space="preserve"> </w:t>
      </w:r>
      <w:r w:rsidRPr="00D85A0A">
        <w:rPr>
          <w:rFonts w:eastAsiaTheme="minorEastAsia"/>
          <w:color w:val="000000" w:themeColor="text1"/>
        </w:rPr>
        <w:t>regardless</w:t>
      </w:r>
      <w:r w:rsidR="009A0847">
        <w:rPr>
          <w:rFonts w:eastAsiaTheme="minorEastAsia"/>
          <w:color w:val="000000" w:themeColor="text1"/>
        </w:rPr>
        <w:t xml:space="preserve"> </w:t>
      </w:r>
      <w:r w:rsidRPr="00D85A0A">
        <w:rPr>
          <w:rFonts w:eastAsiaTheme="minorEastAsia"/>
          <w:color w:val="000000" w:themeColor="text1"/>
        </w:rPr>
        <w:t>of</w:t>
      </w:r>
      <w:r w:rsidR="009A0847">
        <w:rPr>
          <w:rFonts w:eastAsiaTheme="minorEastAsia"/>
          <w:color w:val="000000" w:themeColor="text1"/>
        </w:rPr>
        <w:t xml:space="preserve"> </w:t>
      </w:r>
      <w:r w:rsidRPr="00D85A0A">
        <w:rPr>
          <w:rFonts w:eastAsiaTheme="minorEastAsia"/>
          <w:color w:val="000000" w:themeColor="text1"/>
        </w:rPr>
        <w:t>income.</w:t>
      </w:r>
      <w:r w:rsidR="009A0847">
        <w:rPr>
          <w:rFonts w:eastAsiaTheme="minorEastAsia"/>
          <w:color w:val="000000" w:themeColor="text1"/>
        </w:rPr>
        <w:t xml:space="preserve"> </w:t>
      </w:r>
      <w:r w:rsidRPr="00D85A0A">
        <w:rPr>
          <w:rFonts w:eastAsiaTheme="minorEastAsia"/>
          <w:color w:val="000000" w:themeColor="text1"/>
        </w:rPr>
        <w:t>Two</w:t>
      </w:r>
      <w:r w:rsidR="009A0847">
        <w:rPr>
          <w:rFonts w:eastAsiaTheme="minorEastAsia"/>
          <w:color w:val="000000" w:themeColor="text1"/>
        </w:rPr>
        <w:t xml:space="preserve"> </w:t>
      </w:r>
      <w:r w:rsidRPr="00D85A0A">
        <w:rPr>
          <w:rFonts w:eastAsiaTheme="minorEastAsia"/>
          <w:color w:val="000000" w:themeColor="text1"/>
        </w:rPr>
        <w:t>studies</w:t>
      </w:r>
      <w:r w:rsidR="009A0847">
        <w:rPr>
          <w:rFonts w:eastAsiaTheme="minorEastAsia"/>
          <w:color w:val="000000" w:themeColor="text1"/>
        </w:rPr>
        <w:t xml:space="preserve"> </w:t>
      </w:r>
      <w:r w:rsidRPr="00D85A0A">
        <w:rPr>
          <w:rFonts w:eastAsiaTheme="minorEastAsia"/>
          <w:color w:val="000000" w:themeColor="text1"/>
        </w:rPr>
        <w:t>suggest</w:t>
      </w:r>
      <w:r w:rsidR="009A0847">
        <w:rPr>
          <w:rFonts w:eastAsiaTheme="minorEastAsia"/>
          <w:color w:val="000000" w:themeColor="text1"/>
        </w:rPr>
        <w:t xml:space="preserve"> </w:t>
      </w:r>
      <w:r w:rsidRPr="00D85A0A">
        <w:rPr>
          <w:rFonts w:eastAsiaTheme="minorEastAsia"/>
          <w:color w:val="000000" w:themeColor="text1"/>
        </w:rPr>
        <w:t>that</w:t>
      </w:r>
      <w:r w:rsidR="009A0847">
        <w:rPr>
          <w:rFonts w:eastAsiaTheme="minorEastAsia"/>
          <w:color w:val="000000" w:themeColor="text1"/>
        </w:rPr>
        <w:t xml:space="preserve"> </w:t>
      </w:r>
      <w:r w:rsidRPr="00D85A0A">
        <w:rPr>
          <w:rFonts w:eastAsiaTheme="minorEastAsia"/>
          <w:color w:val="000000" w:themeColor="text1"/>
        </w:rPr>
        <w:t>these</w:t>
      </w:r>
      <w:r w:rsidR="009A0847">
        <w:rPr>
          <w:rFonts w:eastAsiaTheme="minorEastAsia"/>
          <w:color w:val="000000" w:themeColor="text1"/>
        </w:rPr>
        <w:t xml:space="preserve"> </w:t>
      </w:r>
      <w:r w:rsidRPr="00D85A0A">
        <w:rPr>
          <w:rFonts w:eastAsiaTheme="minorEastAsia"/>
          <w:color w:val="000000" w:themeColor="text1"/>
        </w:rPr>
        <w:t>programs</w:t>
      </w:r>
      <w:r w:rsidR="009A0847">
        <w:rPr>
          <w:rFonts w:eastAsiaTheme="minorEastAsia"/>
          <w:color w:val="000000" w:themeColor="text1"/>
        </w:rPr>
        <w:t xml:space="preserve"> </w:t>
      </w:r>
      <w:r w:rsidRPr="00D85A0A">
        <w:rPr>
          <w:rFonts w:eastAsiaTheme="minorEastAsia"/>
          <w:color w:val="000000" w:themeColor="text1"/>
        </w:rPr>
        <w:t>imp</w:t>
      </w:r>
      <w:r w:rsidR="00122E95">
        <w:rPr>
          <w:rFonts w:eastAsiaTheme="minorEastAsia"/>
          <w:color w:val="000000" w:themeColor="text1"/>
        </w:rPr>
        <w:t>r</w:t>
      </w:r>
      <w:r w:rsidRPr="00D85A0A">
        <w:rPr>
          <w:rFonts w:eastAsiaTheme="minorEastAsia"/>
          <w:color w:val="000000" w:themeColor="text1"/>
        </w:rPr>
        <w:t>ove</w:t>
      </w:r>
      <w:r w:rsidR="009A0847">
        <w:rPr>
          <w:rFonts w:eastAsiaTheme="minorEastAsia"/>
          <w:color w:val="000000" w:themeColor="text1"/>
        </w:rPr>
        <w:t xml:space="preserve"> </w:t>
      </w:r>
      <w:r w:rsidRPr="00D85A0A">
        <w:rPr>
          <w:rFonts w:eastAsiaTheme="minorEastAsia"/>
          <w:color w:val="000000" w:themeColor="text1"/>
        </w:rPr>
        <w:t>academic</w:t>
      </w:r>
      <w:r w:rsidR="009A0847">
        <w:rPr>
          <w:rFonts w:eastAsiaTheme="minorEastAsia"/>
          <w:color w:val="000000" w:themeColor="text1"/>
        </w:rPr>
        <w:t xml:space="preserve"> </w:t>
      </w:r>
      <w:r w:rsidRPr="00D85A0A">
        <w:rPr>
          <w:rFonts w:eastAsiaTheme="minorEastAsia"/>
          <w:color w:val="000000" w:themeColor="text1"/>
        </w:rPr>
        <w:t>performance</w:t>
      </w:r>
      <w:r w:rsidR="009A0847">
        <w:rPr>
          <w:rFonts w:eastAsiaTheme="minorEastAsia"/>
          <w:color w:val="000000" w:themeColor="text1"/>
        </w:rPr>
        <w:t xml:space="preserve"> </w:t>
      </w:r>
      <w:r w:rsidRPr="00D85A0A">
        <w:rPr>
          <w:rFonts w:eastAsiaTheme="minorEastAsia"/>
          <w:color w:val="000000" w:themeColor="text1"/>
        </w:rPr>
        <w:t>(Schwartz</w:t>
      </w:r>
      <w:r w:rsidR="009A0847">
        <w:rPr>
          <w:rFonts w:eastAsiaTheme="minorEastAsia"/>
          <w:color w:val="000000" w:themeColor="text1"/>
        </w:rPr>
        <w:t xml:space="preserve"> </w:t>
      </w:r>
      <w:r w:rsidRPr="00D85A0A">
        <w:rPr>
          <w:rFonts w:eastAsiaTheme="minorEastAsia"/>
          <w:color w:val="000000" w:themeColor="text1"/>
        </w:rPr>
        <w:t>and</w:t>
      </w:r>
      <w:r w:rsidR="009A0847">
        <w:rPr>
          <w:rFonts w:eastAsiaTheme="minorEastAsia"/>
          <w:color w:val="000000" w:themeColor="text1"/>
        </w:rPr>
        <w:t xml:space="preserve"> </w:t>
      </w:r>
      <w:r w:rsidRPr="00D85A0A">
        <w:rPr>
          <w:rFonts w:eastAsiaTheme="minorEastAsia"/>
          <w:color w:val="000000" w:themeColor="text1"/>
        </w:rPr>
        <w:t>Rothbart</w:t>
      </w:r>
      <w:r w:rsidR="009A0847">
        <w:rPr>
          <w:rFonts w:eastAsiaTheme="minorEastAsia"/>
          <w:color w:val="000000" w:themeColor="text1"/>
        </w:rPr>
        <w:t xml:space="preserve"> </w:t>
      </w:r>
      <w:r w:rsidRPr="00D85A0A">
        <w:rPr>
          <w:rFonts w:eastAsiaTheme="minorEastAsia"/>
          <w:color w:val="000000" w:themeColor="text1"/>
        </w:rPr>
        <w:t>2018)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and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students’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behavior</w:t>
      </w:r>
      <w:r w:rsidR="009A0847">
        <w:rPr>
          <w:color w:val="000000" w:themeColor="text1"/>
        </w:rPr>
        <w:t xml:space="preserve"> </w:t>
      </w:r>
      <w:r w:rsidRPr="00D85A0A">
        <w:rPr>
          <w:color w:val="000000" w:themeColor="text1"/>
        </w:rPr>
        <w:t>(</w:t>
      </w:r>
      <w:r w:rsidRPr="00D85A0A">
        <w:rPr>
          <w:rFonts w:eastAsiaTheme="minorEastAsia"/>
          <w:color w:val="000000" w:themeColor="text1"/>
        </w:rPr>
        <w:t>Altindag</w:t>
      </w:r>
      <w:r w:rsidR="009A0847">
        <w:rPr>
          <w:rFonts w:eastAsiaTheme="minorEastAsia"/>
          <w:color w:val="000000" w:themeColor="text1"/>
        </w:rPr>
        <w:t xml:space="preserve"> </w:t>
      </w:r>
      <w:r w:rsidRPr="00D85A0A">
        <w:rPr>
          <w:rFonts w:eastAsiaTheme="minorEastAsia"/>
          <w:color w:val="000000" w:themeColor="text1"/>
        </w:rPr>
        <w:t>et</w:t>
      </w:r>
      <w:r w:rsidR="009A0847">
        <w:rPr>
          <w:rFonts w:eastAsiaTheme="minorEastAsia"/>
          <w:color w:val="000000" w:themeColor="text1"/>
        </w:rPr>
        <w:t xml:space="preserve"> </w:t>
      </w:r>
      <w:r w:rsidRPr="00D85A0A">
        <w:rPr>
          <w:rFonts w:eastAsiaTheme="minorEastAsia"/>
          <w:color w:val="000000" w:themeColor="text1"/>
        </w:rPr>
        <w:t>al.</w:t>
      </w:r>
      <w:r w:rsidR="009A0847">
        <w:rPr>
          <w:rFonts w:eastAsiaTheme="minorEastAsia"/>
          <w:color w:val="000000" w:themeColor="text1"/>
        </w:rPr>
        <w:t xml:space="preserve"> </w:t>
      </w:r>
      <w:r w:rsidRPr="00D85A0A">
        <w:rPr>
          <w:rFonts w:eastAsiaTheme="minorEastAsia"/>
          <w:color w:val="000000" w:themeColor="text1"/>
        </w:rPr>
        <w:t>2018).</w:t>
      </w:r>
      <w:r w:rsidR="009A0847">
        <w:rPr>
          <w:rFonts w:eastAsiaTheme="minorEastAsia"/>
          <w:color w:val="000000" w:themeColor="text1"/>
        </w:rPr>
        <w:t xml:space="preserve"> </w:t>
      </w:r>
      <w:r w:rsidR="009A0847">
        <w:rPr>
          <w:sz w:val="23"/>
          <w:szCs w:val="23"/>
        </w:rPr>
        <w:t xml:space="preserve"> </w:t>
      </w:r>
    </w:p>
    <w:p w14:paraId="63B9AA2E" w14:textId="77777777" w:rsidR="00337381" w:rsidRDefault="00337381" w:rsidP="00F86E09">
      <w:pPr>
        <w:widowControl w:val="0"/>
        <w:rPr>
          <w:rFonts w:eastAsiaTheme="minorEastAsia"/>
        </w:rPr>
      </w:pPr>
    </w:p>
    <w:p w14:paraId="152BBBC3" w14:textId="0E5E5315" w:rsidR="00E321BF" w:rsidRDefault="00E321BF" w:rsidP="00F86E09">
      <w:pPr>
        <w:pStyle w:val="Olivier1"/>
        <w:widowControl w:val="0"/>
        <w:spacing w:line="240" w:lineRule="auto"/>
        <w:rPr>
          <w:b/>
          <w:sz w:val="26"/>
        </w:rPr>
      </w:pPr>
      <w:r w:rsidRPr="00C52B5B">
        <w:rPr>
          <w:b/>
          <w:sz w:val="26"/>
        </w:rPr>
        <w:t>References:</w:t>
      </w:r>
    </w:p>
    <w:p w14:paraId="33869A8A" w14:textId="0B0F1BC2" w:rsidR="00F50E20" w:rsidRPr="00F50E20" w:rsidRDefault="00F50E20" w:rsidP="00F86E09">
      <w:pPr>
        <w:pStyle w:val="Olivier1"/>
        <w:widowControl w:val="0"/>
        <w:spacing w:line="240" w:lineRule="auto"/>
        <w:rPr>
          <w:rFonts w:eastAsiaTheme="minorEastAsia"/>
          <w:szCs w:val="24"/>
        </w:rPr>
      </w:pPr>
      <w:r w:rsidRPr="00F50E20">
        <w:rPr>
          <w:rFonts w:eastAsiaTheme="minorEastAsia"/>
        </w:rPr>
        <w:t>Ackon</w:t>
      </w:r>
      <w:r w:rsidR="009A0847">
        <w:rPr>
          <w:rFonts w:eastAsiaTheme="minorEastAsia"/>
        </w:rPr>
        <w:t xml:space="preserve"> </w:t>
      </w:r>
      <w:r w:rsidRPr="00F50E20">
        <w:rPr>
          <w:rFonts w:eastAsiaTheme="minorEastAsia"/>
        </w:rPr>
        <w:t>F.</w:t>
      </w:r>
      <w:r w:rsidR="009A0847">
        <w:rPr>
          <w:rFonts w:eastAsiaTheme="minorEastAsia"/>
        </w:rPr>
        <w:t xml:space="preserve"> </w:t>
      </w:r>
      <w:r w:rsidRPr="00F50E20">
        <w:rPr>
          <w:rFonts w:eastAsiaTheme="minorEastAsia"/>
        </w:rPr>
        <w:t>and</w:t>
      </w:r>
      <w:r w:rsidR="009A0847">
        <w:rPr>
          <w:rFonts w:eastAsiaTheme="minorEastAsia"/>
        </w:rPr>
        <w:t xml:space="preserve"> </w:t>
      </w:r>
      <w:r w:rsidRPr="00F50E20">
        <w:rPr>
          <w:rFonts w:eastAsiaTheme="minorEastAsia"/>
        </w:rPr>
        <w:t>H.</w:t>
      </w:r>
      <w:r w:rsidR="009A0847">
        <w:rPr>
          <w:rFonts w:eastAsiaTheme="minorEastAsia"/>
        </w:rPr>
        <w:t xml:space="preserve"> </w:t>
      </w:r>
      <w:r w:rsidRPr="00F50E20">
        <w:rPr>
          <w:rFonts w:eastAsiaTheme="minorEastAsia"/>
        </w:rPr>
        <w:t>Ennis</w:t>
      </w:r>
      <w:r w:rsidR="009A0847">
        <w:rPr>
          <w:rFonts w:eastAsiaTheme="minorEastAsia"/>
        </w:rPr>
        <w:t xml:space="preserve"> </w:t>
      </w:r>
      <w:r w:rsidRPr="00F50E20">
        <w:rPr>
          <w:rFonts w:eastAsiaTheme="minorEastAsia"/>
        </w:rPr>
        <w:t>(2018)</w:t>
      </w:r>
      <w:r w:rsidR="009A0847">
        <w:rPr>
          <w:rFonts w:eastAsiaTheme="minorEastAsia"/>
        </w:rPr>
        <w:t xml:space="preserve"> </w:t>
      </w:r>
      <w:r w:rsidRPr="00F50E20">
        <w:rPr>
          <w:rFonts w:eastAsiaTheme="minorEastAsia"/>
        </w:rPr>
        <w:t>“The</w:t>
      </w:r>
      <w:r w:rsidR="009A0847">
        <w:rPr>
          <w:rFonts w:eastAsiaTheme="minorEastAsia"/>
        </w:rPr>
        <w:t xml:space="preserve"> </w:t>
      </w:r>
      <w:r w:rsidRPr="00F50E20">
        <w:rPr>
          <w:rFonts w:eastAsiaTheme="minorEastAsia"/>
        </w:rPr>
        <w:t>Fed</w:t>
      </w:r>
      <w:r>
        <w:rPr>
          <w:rFonts w:eastAsiaTheme="minorEastAsia"/>
        </w:rPr>
        <w:t>’s</w:t>
      </w:r>
      <w:r w:rsidR="009A0847">
        <w:rPr>
          <w:rFonts w:eastAsiaTheme="minorEastAsia"/>
        </w:rPr>
        <w:t xml:space="preserve"> </w:t>
      </w:r>
      <w:r>
        <w:rPr>
          <w:rFonts w:eastAsiaTheme="minorEastAsia"/>
        </w:rPr>
        <w:t>Dis</w:t>
      </w:r>
      <w:r w:rsidRPr="00F50E20">
        <w:rPr>
          <w:rFonts w:eastAsiaTheme="minorEastAsia"/>
        </w:rPr>
        <w:t>c</w:t>
      </w:r>
      <w:r>
        <w:rPr>
          <w:rFonts w:eastAsiaTheme="minorEastAsia"/>
        </w:rPr>
        <w:t>o</w:t>
      </w:r>
      <w:r w:rsidRPr="00F50E20">
        <w:rPr>
          <w:rFonts w:eastAsiaTheme="minorEastAsia"/>
        </w:rPr>
        <w:t>unt</w:t>
      </w:r>
      <w:r w:rsidR="009A0847">
        <w:rPr>
          <w:rFonts w:eastAsiaTheme="minorEastAsia"/>
        </w:rPr>
        <w:t xml:space="preserve"> </w:t>
      </w:r>
      <w:r w:rsidRPr="00F50E20">
        <w:rPr>
          <w:rFonts w:eastAsiaTheme="minorEastAsia"/>
        </w:rPr>
        <w:t>Window</w:t>
      </w:r>
      <w:r>
        <w:rPr>
          <w:rFonts w:eastAsiaTheme="minorEastAsia"/>
        </w:rPr>
        <w:t>:</w:t>
      </w:r>
      <w:r w:rsidR="009A0847">
        <w:rPr>
          <w:rFonts w:eastAsiaTheme="minorEastAsia"/>
        </w:rPr>
        <w:t xml:space="preserve"> </w:t>
      </w:r>
      <w:r>
        <w:rPr>
          <w:rFonts w:eastAsiaTheme="minorEastAsia"/>
        </w:rPr>
        <w:t>A</w:t>
      </w:r>
      <w:r w:rsidR="002A5E1B">
        <w:rPr>
          <w:rFonts w:eastAsiaTheme="minorEastAsia"/>
        </w:rPr>
        <w:t>n</w:t>
      </w:r>
      <w:r w:rsidR="009A0847">
        <w:rPr>
          <w:rFonts w:eastAsiaTheme="minorEastAsia"/>
        </w:rPr>
        <w:t xml:space="preserve"> </w:t>
      </w:r>
      <w:r>
        <w:rPr>
          <w:rFonts w:eastAsiaTheme="minorEastAsia"/>
        </w:rPr>
        <w:t>overview</w:t>
      </w:r>
      <w:r w:rsidR="009A0847">
        <w:rPr>
          <w:rFonts w:eastAsiaTheme="minorEastAsia"/>
        </w:rPr>
        <w:t xml:space="preserve"> </w:t>
      </w:r>
      <w:r>
        <w:rPr>
          <w:rFonts w:eastAsiaTheme="minorEastAsia"/>
        </w:rPr>
        <w:t>of</w:t>
      </w:r>
      <w:r w:rsidR="009A0847">
        <w:rPr>
          <w:rFonts w:eastAsiaTheme="minorEastAsia"/>
        </w:rPr>
        <w:t xml:space="preserve"> </w:t>
      </w:r>
      <w:r>
        <w:rPr>
          <w:rFonts w:eastAsiaTheme="minorEastAsia"/>
        </w:rPr>
        <w:t>re</w:t>
      </w:r>
      <w:r w:rsidRPr="00F50E20">
        <w:rPr>
          <w:rFonts w:eastAsiaTheme="minorEastAsia"/>
        </w:rPr>
        <w:t>cent</w:t>
      </w:r>
      <w:r w:rsidR="009A0847">
        <w:rPr>
          <w:rFonts w:eastAsiaTheme="minorEastAsia"/>
        </w:rPr>
        <w:t xml:space="preserve"> </w:t>
      </w:r>
      <w:r w:rsidRPr="00F50E20">
        <w:rPr>
          <w:rFonts w:eastAsiaTheme="minorEastAsia"/>
        </w:rPr>
        <w:t>data,”</w:t>
      </w:r>
      <w:r w:rsidR="009A0847">
        <w:rPr>
          <w:rFonts w:eastAsiaTheme="minorEastAsia"/>
        </w:rPr>
        <w:t xml:space="preserve"> </w:t>
      </w:r>
      <w:r w:rsidRPr="00F50E20">
        <w:rPr>
          <w:rFonts w:eastAsiaTheme="minorEastAsia"/>
        </w:rPr>
        <w:t>Federal</w:t>
      </w:r>
      <w:r w:rsidR="009A0847">
        <w:rPr>
          <w:rFonts w:eastAsiaTheme="minorEastAsia"/>
        </w:rPr>
        <w:t xml:space="preserve"> </w:t>
      </w:r>
      <w:r w:rsidRPr="00F50E20">
        <w:rPr>
          <w:rFonts w:eastAsiaTheme="minorEastAsia"/>
        </w:rPr>
        <w:t>Reserve</w:t>
      </w:r>
      <w:r w:rsidR="009A0847">
        <w:rPr>
          <w:rFonts w:eastAsiaTheme="minorEastAsia"/>
        </w:rPr>
        <w:t xml:space="preserve"> </w:t>
      </w:r>
      <w:r w:rsidRPr="00F50E20">
        <w:rPr>
          <w:rFonts w:eastAsiaTheme="minorEastAsia"/>
        </w:rPr>
        <w:t>Bank</w:t>
      </w:r>
      <w:r w:rsidR="009A0847">
        <w:rPr>
          <w:rFonts w:eastAsiaTheme="minorEastAsia"/>
        </w:rPr>
        <w:t xml:space="preserve"> </w:t>
      </w:r>
      <w:r w:rsidRPr="00F50E20">
        <w:rPr>
          <w:rFonts w:eastAsiaTheme="minorEastAsia"/>
        </w:rPr>
        <w:t>of</w:t>
      </w:r>
      <w:r w:rsidR="009A0847">
        <w:rPr>
          <w:rFonts w:eastAsiaTheme="minorEastAsia"/>
        </w:rPr>
        <w:t xml:space="preserve"> </w:t>
      </w:r>
      <w:r w:rsidRPr="00F50E20">
        <w:rPr>
          <w:rFonts w:eastAsiaTheme="minorEastAsia"/>
        </w:rPr>
        <w:t>Richmond</w:t>
      </w:r>
      <w:r w:rsidR="009A0847">
        <w:rPr>
          <w:rFonts w:eastAsiaTheme="minorEastAsia"/>
        </w:rPr>
        <w:t xml:space="preserve"> </w:t>
      </w:r>
      <w:r w:rsidRPr="00F50E20">
        <w:rPr>
          <w:rFonts w:eastAsiaTheme="minorEastAsia"/>
        </w:rPr>
        <w:t>Working</w:t>
      </w:r>
      <w:r w:rsidR="009A0847">
        <w:rPr>
          <w:rFonts w:eastAsiaTheme="minorEastAsia"/>
        </w:rPr>
        <w:t xml:space="preserve"> </w:t>
      </w:r>
      <w:r w:rsidRPr="00F50E20">
        <w:rPr>
          <w:rFonts w:eastAsiaTheme="minorEastAsia"/>
        </w:rPr>
        <w:t>Paper</w:t>
      </w:r>
      <w:r w:rsidR="009A0847">
        <w:rPr>
          <w:rFonts w:eastAsiaTheme="minorEastAsia"/>
        </w:rPr>
        <w:t xml:space="preserve"> </w:t>
      </w:r>
      <w:r w:rsidRPr="00F50E20">
        <w:rPr>
          <w:rFonts w:eastAsiaTheme="minorEastAsia"/>
        </w:rPr>
        <w:t>No.</w:t>
      </w:r>
      <w:r w:rsidR="009A0847">
        <w:rPr>
          <w:rFonts w:eastAsiaTheme="minorEastAsia"/>
        </w:rPr>
        <w:t xml:space="preserve"> </w:t>
      </w:r>
      <w:r w:rsidRPr="00F50E20">
        <w:rPr>
          <w:rFonts w:eastAsiaTheme="minorEastAsia"/>
        </w:rPr>
        <w:t>18-08</w:t>
      </w:r>
      <w:r w:rsidR="001B3106">
        <w:rPr>
          <w:rFonts w:eastAsiaTheme="minorEastAsia"/>
          <w:szCs w:val="24"/>
        </w:rPr>
        <w:t>.</w:t>
      </w:r>
    </w:p>
    <w:p w14:paraId="5C9D22FD" w14:textId="2A5284B0" w:rsidR="00D72A5B" w:rsidRPr="00D72A5B" w:rsidRDefault="00D72A5B" w:rsidP="00F86E09">
      <w:pPr>
        <w:pStyle w:val="Olivier1"/>
        <w:widowControl w:val="0"/>
        <w:spacing w:line="240" w:lineRule="auto"/>
        <w:rPr>
          <w:rFonts w:eastAsiaTheme="minorEastAsia"/>
          <w:szCs w:val="24"/>
        </w:rPr>
      </w:pPr>
      <w:r w:rsidRPr="00F50E20">
        <w:rPr>
          <w:rFonts w:eastAsiaTheme="minorEastAsia"/>
          <w:szCs w:val="24"/>
        </w:rPr>
        <w:t>Altindag</w:t>
      </w:r>
      <w:r w:rsidR="009A0847">
        <w:rPr>
          <w:rFonts w:eastAsiaTheme="minorEastAsia"/>
          <w:szCs w:val="24"/>
        </w:rPr>
        <w:t xml:space="preserve"> </w:t>
      </w:r>
      <w:r w:rsidRPr="00F50E20">
        <w:rPr>
          <w:rFonts w:eastAsiaTheme="minorEastAsia"/>
          <w:szCs w:val="24"/>
        </w:rPr>
        <w:t>D.,</w:t>
      </w:r>
      <w:r w:rsidR="009A0847">
        <w:rPr>
          <w:rFonts w:eastAsiaTheme="minorEastAsia"/>
          <w:szCs w:val="24"/>
        </w:rPr>
        <w:t xml:space="preserve"> </w:t>
      </w:r>
      <w:r w:rsidRPr="00F50E20">
        <w:rPr>
          <w:rFonts w:eastAsiaTheme="minorEastAsia"/>
          <w:szCs w:val="24"/>
        </w:rPr>
        <w:t>Baek</w:t>
      </w:r>
      <w:r w:rsidR="009A0847">
        <w:rPr>
          <w:rFonts w:eastAsiaTheme="minorEastAsia"/>
          <w:szCs w:val="24"/>
        </w:rPr>
        <w:t xml:space="preserve"> </w:t>
      </w:r>
      <w:r w:rsidRPr="00F50E20">
        <w:rPr>
          <w:rFonts w:eastAsiaTheme="minorEastAsia"/>
          <w:szCs w:val="24"/>
        </w:rPr>
        <w:t>D.,</w:t>
      </w:r>
      <w:r w:rsidR="009A0847">
        <w:rPr>
          <w:rFonts w:eastAsiaTheme="minorEastAsia"/>
          <w:szCs w:val="24"/>
        </w:rPr>
        <w:t xml:space="preserve"> </w:t>
      </w:r>
      <w:r w:rsidRPr="00F50E20">
        <w:rPr>
          <w:rFonts w:eastAsiaTheme="minorEastAsia"/>
          <w:szCs w:val="24"/>
        </w:rPr>
        <w:t>Lee</w:t>
      </w:r>
      <w:r w:rsidR="009A0847">
        <w:rPr>
          <w:rFonts w:eastAsiaTheme="minorEastAsia"/>
          <w:szCs w:val="24"/>
        </w:rPr>
        <w:t xml:space="preserve"> </w:t>
      </w:r>
      <w:r w:rsidRPr="00F50E20">
        <w:rPr>
          <w:rFonts w:eastAsiaTheme="minorEastAsia"/>
          <w:szCs w:val="24"/>
        </w:rPr>
        <w:t>H.</w:t>
      </w:r>
      <w:r w:rsidR="009A0847">
        <w:rPr>
          <w:rFonts w:eastAsiaTheme="minorEastAsia"/>
          <w:szCs w:val="24"/>
        </w:rPr>
        <w:t xml:space="preserve"> </w:t>
      </w:r>
      <w:r w:rsidRPr="00F50E20">
        <w:rPr>
          <w:rFonts w:eastAsiaTheme="minorEastAsia"/>
          <w:szCs w:val="24"/>
        </w:rPr>
        <w:t>and</w:t>
      </w:r>
      <w:r w:rsidR="009A0847">
        <w:rPr>
          <w:rFonts w:eastAsiaTheme="minorEastAsia"/>
          <w:szCs w:val="24"/>
        </w:rPr>
        <w:t xml:space="preserve"> </w:t>
      </w:r>
      <w:r w:rsidRPr="00F50E20">
        <w:rPr>
          <w:rFonts w:eastAsiaTheme="minorEastAsia"/>
          <w:szCs w:val="24"/>
        </w:rPr>
        <w:t>J.</w:t>
      </w:r>
      <w:r w:rsidR="009A0847">
        <w:rPr>
          <w:rFonts w:eastAsiaTheme="minorEastAsia"/>
          <w:szCs w:val="24"/>
        </w:rPr>
        <w:t xml:space="preserve"> </w:t>
      </w:r>
      <w:r w:rsidRPr="00F50E20">
        <w:rPr>
          <w:rFonts w:eastAsiaTheme="minorEastAsia"/>
          <w:szCs w:val="24"/>
        </w:rPr>
        <w:t>Merkle</w:t>
      </w:r>
      <w:r w:rsidR="009A0847">
        <w:rPr>
          <w:rFonts w:eastAsiaTheme="minorEastAsia"/>
          <w:szCs w:val="24"/>
        </w:rPr>
        <w:t xml:space="preserve"> </w:t>
      </w:r>
      <w:r w:rsidRPr="00F50E20">
        <w:rPr>
          <w:rFonts w:eastAsiaTheme="minorEastAsia"/>
          <w:szCs w:val="24"/>
        </w:rPr>
        <w:t>(2018)</w:t>
      </w:r>
      <w:r w:rsidR="009A0847">
        <w:rPr>
          <w:rFonts w:eastAsiaTheme="minorEastAsia"/>
          <w:szCs w:val="24"/>
        </w:rPr>
        <w:t xml:space="preserve"> </w:t>
      </w:r>
      <w:r w:rsidRPr="00F50E20">
        <w:rPr>
          <w:rFonts w:eastAsiaTheme="minorEastAsia"/>
          <w:szCs w:val="24"/>
        </w:rPr>
        <w:t>“Free</w:t>
      </w:r>
      <w:r w:rsidR="009A0847">
        <w:rPr>
          <w:rFonts w:eastAsiaTheme="minorEastAsia"/>
          <w:szCs w:val="24"/>
        </w:rPr>
        <w:t xml:space="preserve"> </w:t>
      </w:r>
      <w:r w:rsidRPr="00F50E20">
        <w:rPr>
          <w:rFonts w:eastAsiaTheme="minorEastAsia"/>
          <w:szCs w:val="24"/>
        </w:rPr>
        <w:t>lunch</w:t>
      </w:r>
      <w:r w:rsidR="009A0847">
        <w:rPr>
          <w:rFonts w:eastAsiaTheme="minorEastAsia"/>
          <w:szCs w:val="24"/>
        </w:rPr>
        <w:t xml:space="preserve"> </w:t>
      </w:r>
      <w:r w:rsidRPr="00F50E20">
        <w:rPr>
          <w:rFonts w:eastAsiaTheme="minorEastAsia"/>
          <w:szCs w:val="24"/>
        </w:rPr>
        <w:t>for</w:t>
      </w:r>
      <w:r w:rsidR="009A0847">
        <w:rPr>
          <w:rFonts w:eastAsiaTheme="minorEastAsia"/>
          <w:szCs w:val="24"/>
        </w:rPr>
        <w:t xml:space="preserve"> </w:t>
      </w:r>
      <w:r w:rsidRPr="00F50E20">
        <w:rPr>
          <w:rFonts w:eastAsiaTheme="minorEastAsia"/>
          <w:szCs w:val="24"/>
        </w:rPr>
        <w:t>all?</w:t>
      </w:r>
      <w:r w:rsidR="009A0847">
        <w:rPr>
          <w:rFonts w:eastAsiaTheme="minorEastAsia"/>
          <w:szCs w:val="24"/>
        </w:rPr>
        <w:t xml:space="preserve"> </w:t>
      </w:r>
      <w:r w:rsidRPr="00F50E20">
        <w:rPr>
          <w:rFonts w:eastAsiaTheme="minorEastAsia"/>
          <w:szCs w:val="24"/>
        </w:rPr>
        <w:t>The</w:t>
      </w:r>
      <w:r w:rsidR="009A0847">
        <w:rPr>
          <w:rFonts w:eastAsiaTheme="minorEastAsia"/>
          <w:szCs w:val="24"/>
        </w:rPr>
        <w:t xml:space="preserve"> </w:t>
      </w:r>
      <w:r w:rsidRPr="00F50E20">
        <w:rPr>
          <w:rFonts w:eastAsiaTheme="minorEastAsia"/>
          <w:szCs w:val="24"/>
        </w:rPr>
        <w:t>impact</w:t>
      </w:r>
      <w:r w:rsidR="009A0847">
        <w:rPr>
          <w:rFonts w:eastAsiaTheme="minorEastAsia"/>
          <w:szCs w:val="24"/>
        </w:rPr>
        <w:t xml:space="preserve"> </w:t>
      </w:r>
      <w:r w:rsidRPr="00F50E20">
        <w:rPr>
          <w:rFonts w:eastAsiaTheme="minorEastAsia"/>
          <w:szCs w:val="24"/>
        </w:rPr>
        <w:t>of</w:t>
      </w:r>
      <w:r w:rsidR="009A0847">
        <w:rPr>
          <w:rFonts w:eastAsiaTheme="minorEastAsia"/>
          <w:szCs w:val="24"/>
        </w:rPr>
        <w:t xml:space="preserve"> </w:t>
      </w:r>
      <w:r w:rsidRPr="00F50E20">
        <w:rPr>
          <w:rFonts w:eastAsiaTheme="minorEastAsia"/>
          <w:szCs w:val="24"/>
        </w:rPr>
        <w:t>universal</w:t>
      </w:r>
      <w:r w:rsidR="009A0847">
        <w:rPr>
          <w:rFonts w:eastAsiaTheme="minorEastAsia"/>
          <w:szCs w:val="24"/>
        </w:rPr>
        <w:t xml:space="preserve"> </w:t>
      </w:r>
      <w:r>
        <w:rPr>
          <w:rFonts w:eastAsiaTheme="minorEastAsia"/>
          <w:szCs w:val="24"/>
        </w:rPr>
        <w:t>s</w:t>
      </w:r>
      <w:r w:rsidRPr="00D72A5B">
        <w:rPr>
          <w:rFonts w:eastAsiaTheme="minorEastAsia"/>
          <w:szCs w:val="24"/>
        </w:rPr>
        <w:t>chool</w:t>
      </w:r>
      <w:r w:rsidR="009A0847">
        <w:rPr>
          <w:rFonts w:eastAsiaTheme="minorEastAsia"/>
          <w:szCs w:val="24"/>
        </w:rPr>
        <w:t xml:space="preserve"> </w:t>
      </w:r>
      <w:r w:rsidR="002A5E1B">
        <w:rPr>
          <w:rFonts w:eastAsiaTheme="minorEastAsia"/>
          <w:szCs w:val="24"/>
        </w:rPr>
        <w:t>l</w:t>
      </w:r>
      <w:r w:rsidRPr="00D72A5B">
        <w:rPr>
          <w:rFonts w:eastAsiaTheme="minorEastAsia"/>
          <w:szCs w:val="24"/>
        </w:rPr>
        <w:t>unch</w:t>
      </w:r>
      <w:r w:rsidR="009A0847">
        <w:rPr>
          <w:rFonts w:eastAsiaTheme="minorEastAsia"/>
          <w:szCs w:val="24"/>
        </w:rPr>
        <w:t xml:space="preserve"> </w:t>
      </w:r>
      <w:r w:rsidRPr="00D72A5B">
        <w:rPr>
          <w:rFonts w:eastAsiaTheme="minorEastAsia"/>
          <w:szCs w:val="24"/>
        </w:rPr>
        <w:t>on</w:t>
      </w:r>
      <w:r w:rsidR="009A0847">
        <w:rPr>
          <w:rFonts w:eastAsiaTheme="minorEastAsia"/>
          <w:szCs w:val="24"/>
        </w:rPr>
        <w:t xml:space="preserve"> </w:t>
      </w:r>
      <w:r>
        <w:rPr>
          <w:rFonts w:eastAsiaTheme="minorEastAsia"/>
          <w:szCs w:val="24"/>
        </w:rPr>
        <w:t>s</w:t>
      </w:r>
      <w:r w:rsidRPr="00D72A5B">
        <w:rPr>
          <w:rFonts w:eastAsiaTheme="minorEastAsia"/>
          <w:szCs w:val="24"/>
        </w:rPr>
        <w:t>tudent</w:t>
      </w:r>
      <w:r w:rsidR="009A0847">
        <w:rPr>
          <w:rFonts w:eastAsiaTheme="minorEastAsia"/>
          <w:szCs w:val="24"/>
        </w:rPr>
        <w:t xml:space="preserve"> </w:t>
      </w:r>
      <w:r>
        <w:rPr>
          <w:rFonts w:eastAsiaTheme="minorEastAsia"/>
          <w:szCs w:val="24"/>
        </w:rPr>
        <w:t>m</w:t>
      </w:r>
      <w:r w:rsidRPr="00D72A5B">
        <w:rPr>
          <w:rFonts w:eastAsiaTheme="minorEastAsia"/>
          <w:szCs w:val="24"/>
        </w:rPr>
        <w:t>isbehavior,”</w:t>
      </w:r>
      <w:r w:rsidR="00F34C7F" w:rsidRPr="00F34C7F">
        <w:rPr>
          <w:rFonts w:eastAsiaTheme="minorEastAsia"/>
          <w:szCs w:val="24"/>
        </w:rPr>
        <w:t xml:space="preserve"> </w:t>
      </w:r>
      <w:r w:rsidR="00E51B12">
        <w:rPr>
          <w:rFonts w:eastAsiaTheme="minorEastAsia"/>
          <w:szCs w:val="24"/>
        </w:rPr>
        <w:t>manuscript</w:t>
      </w:r>
      <w:r>
        <w:rPr>
          <w:rFonts w:eastAsiaTheme="minorEastAsia"/>
          <w:szCs w:val="24"/>
        </w:rPr>
        <w:t>,</w:t>
      </w:r>
      <w:r w:rsidR="009A0847">
        <w:rPr>
          <w:rFonts w:eastAsiaTheme="minorEastAsia"/>
          <w:szCs w:val="24"/>
        </w:rPr>
        <w:t xml:space="preserve"> </w:t>
      </w:r>
      <w:r w:rsidRPr="00D72A5B">
        <w:rPr>
          <w:rFonts w:eastAsiaTheme="minorEastAsia"/>
          <w:szCs w:val="24"/>
        </w:rPr>
        <w:t>Auburn</w:t>
      </w:r>
      <w:r w:rsidR="009A0847">
        <w:rPr>
          <w:rFonts w:eastAsiaTheme="minorEastAsia"/>
          <w:szCs w:val="24"/>
        </w:rPr>
        <w:t xml:space="preserve"> </w:t>
      </w:r>
      <w:r w:rsidRPr="00D72A5B">
        <w:rPr>
          <w:rFonts w:eastAsiaTheme="minorEastAsia"/>
          <w:szCs w:val="24"/>
        </w:rPr>
        <w:t>Univers</w:t>
      </w:r>
      <w:r>
        <w:rPr>
          <w:rFonts w:eastAsiaTheme="minorEastAsia"/>
          <w:szCs w:val="24"/>
        </w:rPr>
        <w:t>i</w:t>
      </w:r>
      <w:r w:rsidRPr="00D72A5B">
        <w:rPr>
          <w:rFonts w:eastAsiaTheme="minorEastAsia"/>
          <w:szCs w:val="24"/>
        </w:rPr>
        <w:t>ty.</w:t>
      </w:r>
    </w:p>
    <w:p w14:paraId="2795147A" w14:textId="5C89D9DF" w:rsidR="00FC43F3" w:rsidRDefault="001B3106" w:rsidP="00F86E09">
      <w:pPr>
        <w:pStyle w:val="Olivier1"/>
        <w:widowControl w:val="0"/>
        <w:spacing w:line="240" w:lineRule="auto"/>
        <w:rPr>
          <w:rFonts w:eastAsiaTheme="minorEastAsia"/>
        </w:rPr>
      </w:pPr>
      <w:r>
        <w:rPr>
          <w:rFonts w:eastAsiaTheme="minorEastAsia"/>
        </w:rPr>
        <w:t>Anbil</w:t>
      </w:r>
      <w:r w:rsidR="009A0847">
        <w:rPr>
          <w:rFonts w:eastAsiaTheme="minorEastAsia"/>
        </w:rPr>
        <w:t xml:space="preserve"> </w:t>
      </w:r>
      <w:r w:rsidR="00FC43F3" w:rsidRPr="00FC43F3">
        <w:rPr>
          <w:rFonts w:eastAsiaTheme="minorEastAsia"/>
        </w:rPr>
        <w:t>S.</w:t>
      </w:r>
      <w:r w:rsidR="009A0847">
        <w:rPr>
          <w:rFonts w:eastAsiaTheme="minorEastAsia"/>
        </w:rPr>
        <w:t xml:space="preserve"> </w:t>
      </w:r>
      <w:r w:rsidR="009F00AF">
        <w:rPr>
          <w:rFonts w:eastAsiaTheme="minorEastAsia"/>
        </w:rPr>
        <w:t>(</w:t>
      </w:r>
      <w:r w:rsidR="00FC43F3" w:rsidRPr="00FC43F3">
        <w:rPr>
          <w:rFonts w:eastAsiaTheme="minorEastAsia"/>
        </w:rPr>
        <w:t>201</w:t>
      </w:r>
      <w:r w:rsidR="009F00AF">
        <w:rPr>
          <w:rFonts w:eastAsiaTheme="minorEastAsia"/>
        </w:rPr>
        <w:t>8)</w:t>
      </w:r>
      <w:r w:rsidR="009A0847">
        <w:rPr>
          <w:rFonts w:eastAsiaTheme="minorEastAsia"/>
        </w:rPr>
        <w:t xml:space="preserve"> </w:t>
      </w:r>
      <w:r w:rsidR="00FC43F3" w:rsidRPr="00FC43F3">
        <w:rPr>
          <w:rFonts w:eastAsiaTheme="minorEastAsia"/>
        </w:rPr>
        <w:t>“Managing</w:t>
      </w:r>
      <w:r w:rsidR="009A0847">
        <w:rPr>
          <w:rFonts w:eastAsiaTheme="minorEastAsia"/>
        </w:rPr>
        <w:t xml:space="preserve"> </w:t>
      </w:r>
      <w:r w:rsidR="00E51B12">
        <w:rPr>
          <w:rFonts w:eastAsiaTheme="minorEastAsia"/>
        </w:rPr>
        <w:t>s</w:t>
      </w:r>
      <w:r w:rsidR="009F00AF">
        <w:rPr>
          <w:rFonts w:eastAsiaTheme="minorEastAsia"/>
        </w:rPr>
        <w:t>tigma</w:t>
      </w:r>
      <w:r w:rsidR="009A0847">
        <w:rPr>
          <w:rFonts w:eastAsiaTheme="minorEastAsia"/>
        </w:rPr>
        <w:t xml:space="preserve"> </w:t>
      </w:r>
      <w:r w:rsidR="009F00AF">
        <w:rPr>
          <w:rFonts w:eastAsiaTheme="minorEastAsia"/>
        </w:rPr>
        <w:t>during</w:t>
      </w:r>
      <w:r w:rsidR="009A0847">
        <w:rPr>
          <w:rFonts w:eastAsiaTheme="minorEastAsia"/>
        </w:rPr>
        <w:t xml:space="preserve"> </w:t>
      </w:r>
      <w:r w:rsidR="009F00AF">
        <w:rPr>
          <w:rFonts w:eastAsiaTheme="minorEastAsia"/>
        </w:rPr>
        <w:t>a</w:t>
      </w:r>
      <w:r w:rsidR="009A0847">
        <w:rPr>
          <w:rFonts w:eastAsiaTheme="minorEastAsia"/>
        </w:rPr>
        <w:t xml:space="preserve"> </w:t>
      </w:r>
      <w:r w:rsidR="00E51B12">
        <w:rPr>
          <w:rFonts w:eastAsiaTheme="minorEastAsia"/>
        </w:rPr>
        <w:t>f</w:t>
      </w:r>
      <w:r w:rsidR="009F00AF">
        <w:rPr>
          <w:rFonts w:eastAsiaTheme="minorEastAsia"/>
        </w:rPr>
        <w:t>inancial</w:t>
      </w:r>
      <w:r w:rsidR="009A0847">
        <w:rPr>
          <w:rFonts w:eastAsiaTheme="minorEastAsia"/>
        </w:rPr>
        <w:t xml:space="preserve"> </w:t>
      </w:r>
      <w:r w:rsidR="00E51B12">
        <w:rPr>
          <w:rFonts w:eastAsiaTheme="minorEastAsia"/>
        </w:rPr>
        <w:t>c</w:t>
      </w:r>
      <w:r w:rsidR="009F00AF">
        <w:rPr>
          <w:rFonts w:eastAsiaTheme="minorEastAsia"/>
        </w:rPr>
        <w:t>risis,</w:t>
      </w:r>
      <w:r w:rsidR="00FC43F3" w:rsidRPr="00FC43F3">
        <w:rPr>
          <w:rFonts w:eastAsiaTheme="minorEastAsia"/>
        </w:rPr>
        <w:t>”</w:t>
      </w:r>
      <w:r w:rsidR="009A0847">
        <w:rPr>
          <w:rFonts w:eastAsiaTheme="minorEastAsia"/>
        </w:rPr>
        <w:t xml:space="preserve"> </w:t>
      </w:r>
      <w:r w:rsidR="00FC43F3" w:rsidRPr="009F00AF">
        <w:rPr>
          <w:rFonts w:eastAsiaTheme="minorEastAsia"/>
          <w:i/>
        </w:rPr>
        <w:t>Journal</w:t>
      </w:r>
      <w:r w:rsidR="009A0847">
        <w:rPr>
          <w:rFonts w:eastAsiaTheme="minorEastAsia"/>
          <w:i/>
        </w:rPr>
        <w:t xml:space="preserve"> </w:t>
      </w:r>
      <w:r w:rsidR="00FC43F3" w:rsidRPr="009F00AF">
        <w:rPr>
          <w:rFonts w:eastAsiaTheme="minorEastAsia"/>
          <w:i/>
        </w:rPr>
        <w:t>of</w:t>
      </w:r>
      <w:r w:rsidR="009A0847">
        <w:rPr>
          <w:rFonts w:eastAsiaTheme="minorEastAsia"/>
          <w:i/>
        </w:rPr>
        <w:t xml:space="preserve"> </w:t>
      </w:r>
      <w:r w:rsidR="00FC43F3" w:rsidRPr="009F00AF">
        <w:rPr>
          <w:rFonts w:eastAsiaTheme="minorEastAsia"/>
          <w:i/>
        </w:rPr>
        <w:t>Financial</w:t>
      </w:r>
      <w:r w:rsidR="009A0847">
        <w:rPr>
          <w:rFonts w:eastAsiaTheme="minorEastAsia"/>
          <w:i/>
        </w:rPr>
        <w:t xml:space="preserve"> </w:t>
      </w:r>
      <w:r w:rsidR="00FC43F3" w:rsidRPr="009F00AF">
        <w:rPr>
          <w:rFonts w:eastAsiaTheme="minorEastAsia"/>
          <w:i/>
        </w:rPr>
        <w:t>Economics</w:t>
      </w:r>
      <w:r w:rsidR="009F00AF">
        <w:rPr>
          <w:rFonts w:eastAsiaTheme="minorEastAsia"/>
        </w:rPr>
        <w:t>,</w:t>
      </w:r>
      <w:r w:rsidR="009A0847">
        <w:rPr>
          <w:rFonts w:eastAsiaTheme="minorEastAsia"/>
        </w:rPr>
        <w:t xml:space="preserve"> </w:t>
      </w:r>
      <w:r w:rsidR="009F00AF">
        <w:rPr>
          <w:rFonts w:eastAsiaTheme="minorEastAsia"/>
        </w:rPr>
        <w:t>forthcoming</w:t>
      </w:r>
      <w:r w:rsidR="00E51B12">
        <w:rPr>
          <w:rFonts w:eastAsiaTheme="minorEastAsia"/>
        </w:rPr>
        <w:t>.</w:t>
      </w:r>
    </w:p>
    <w:p w14:paraId="30BDF3AF" w14:textId="0E7C8668" w:rsidR="000F346E" w:rsidRPr="000F346E" w:rsidRDefault="000F346E" w:rsidP="00F86E09">
      <w:pPr>
        <w:pStyle w:val="Olivier1"/>
        <w:widowControl w:val="0"/>
        <w:spacing w:line="240" w:lineRule="auto"/>
      </w:pPr>
      <w:r>
        <w:t>Athreya</w:t>
      </w:r>
      <w:r w:rsidR="009A0847">
        <w:t xml:space="preserve"> </w:t>
      </w:r>
      <w:r>
        <w:t>T.</w:t>
      </w:r>
      <w:r w:rsidR="009A0847">
        <w:t xml:space="preserve"> </w:t>
      </w:r>
      <w:r>
        <w:t>(2004)</w:t>
      </w:r>
      <w:r w:rsidR="009A0847">
        <w:t xml:space="preserve"> </w:t>
      </w:r>
      <w:r>
        <w:t>“Shame</w:t>
      </w:r>
      <w:r w:rsidR="009A0847">
        <w:t xml:space="preserve"> </w:t>
      </w:r>
      <w:r>
        <w:t>as</w:t>
      </w:r>
      <w:r w:rsidR="009A0847">
        <w:t xml:space="preserve"> </w:t>
      </w:r>
      <w:r>
        <w:t>it</w:t>
      </w:r>
      <w:r w:rsidR="009A0847">
        <w:t xml:space="preserve"> </w:t>
      </w:r>
      <w:r>
        <w:t>ever</w:t>
      </w:r>
      <w:r w:rsidR="009A0847">
        <w:t xml:space="preserve"> </w:t>
      </w:r>
      <w:r>
        <w:t>was:</w:t>
      </w:r>
      <w:r w:rsidR="009A0847">
        <w:t xml:space="preserve"> </w:t>
      </w:r>
      <w:r>
        <w:t>Stigma</w:t>
      </w:r>
      <w:r w:rsidR="009A0847">
        <w:t xml:space="preserve"> </w:t>
      </w:r>
      <w:r>
        <w:t>and</w:t>
      </w:r>
      <w:r w:rsidR="009A0847">
        <w:t xml:space="preserve"> </w:t>
      </w:r>
      <w:r>
        <w:t>personal</w:t>
      </w:r>
      <w:r w:rsidR="009A0847">
        <w:t xml:space="preserve"> </w:t>
      </w:r>
      <w:r>
        <w:t>bankruptcy,”</w:t>
      </w:r>
      <w:r w:rsidR="009A0847">
        <w:t xml:space="preserve"> </w:t>
      </w:r>
      <w:r w:rsidR="00E51B12" w:rsidRPr="00C52B5B">
        <w:rPr>
          <w:i/>
        </w:rPr>
        <w:t>Economic</w:t>
      </w:r>
      <w:r w:rsidR="00E51B12">
        <w:rPr>
          <w:i/>
        </w:rPr>
        <w:t xml:space="preserve"> </w:t>
      </w:r>
      <w:r w:rsidR="00E51B12" w:rsidRPr="00C52B5B">
        <w:rPr>
          <w:i/>
        </w:rPr>
        <w:t>Quarterly</w:t>
      </w:r>
      <w:r>
        <w:t>,</w:t>
      </w:r>
      <w:r w:rsidR="009A0847">
        <w:t xml:space="preserve"> </w:t>
      </w:r>
      <w:r>
        <w:t>90(2).</w:t>
      </w:r>
    </w:p>
    <w:p w14:paraId="5BCAB1F2" w14:textId="1EBED1D8" w:rsidR="00574C71" w:rsidRDefault="00574C71" w:rsidP="00F86E09">
      <w:pPr>
        <w:pStyle w:val="Olivier1"/>
        <w:widowControl w:val="0"/>
        <w:spacing w:line="240" w:lineRule="auto"/>
      </w:pPr>
      <w:r>
        <w:t>Armantier</w:t>
      </w:r>
      <w:r w:rsidR="009A0847">
        <w:t xml:space="preserve"> </w:t>
      </w:r>
      <w:r>
        <w:t>O.,</w:t>
      </w:r>
      <w:r w:rsidR="009A0847">
        <w:t xml:space="preserve"> </w:t>
      </w:r>
      <w:r>
        <w:t>Ghysels</w:t>
      </w:r>
      <w:r w:rsidR="009A0847">
        <w:t xml:space="preserve"> </w:t>
      </w:r>
      <w:r>
        <w:t>E.,</w:t>
      </w:r>
      <w:r w:rsidR="009A0847">
        <w:t xml:space="preserve"> </w:t>
      </w:r>
      <w:r>
        <w:t>Sarkar</w:t>
      </w:r>
      <w:r w:rsidR="009A0847">
        <w:t xml:space="preserve"> </w:t>
      </w:r>
      <w:r>
        <w:t>A.</w:t>
      </w:r>
      <w:r w:rsidR="009A0847">
        <w:t xml:space="preserve"> </w:t>
      </w:r>
      <w:r>
        <w:t>and</w:t>
      </w:r>
      <w:r w:rsidR="009A0847">
        <w:t xml:space="preserve"> </w:t>
      </w:r>
      <w:r>
        <w:t>J.</w:t>
      </w:r>
      <w:r w:rsidR="009A0847">
        <w:t xml:space="preserve"> </w:t>
      </w:r>
      <w:r>
        <w:t>Shrader</w:t>
      </w:r>
      <w:r w:rsidR="009A0847">
        <w:t xml:space="preserve"> </w:t>
      </w:r>
      <w:r>
        <w:t>(2015)</w:t>
      </w:r>
      <w:r w:rsidR="009A0847">
        <w:t xml:space="preserve"> </w:t>
      </w:r>
      <w:r>
        <w:t>“Discount</w:t>
      </w:r>
      <w:r w:rsidR="009A0847">
        <w:t xml:space="preserve"> </w:t>
      </w:r>
      <w:r w:rsidR="002A5E1B">
        <w:t>W</w:t>
      </w:r>
      <w:r>
        <w:t>indow</w:t>
      </w:r>
      <w:r w:rsidR="009A0847">
        <w:t xml:space="preserve"> </w:t>
      </w:r>
      <w:r>
        <w:t>stigma</w:t>
      </w:r>
      <w:r w:rsidR="009A0847">
        <w:t xml:space="preserve"> </w:t>
      </w:r>
      <w:r>
        <w:t>during</w:t>
      </w:r>
      <w:r w:rsidR="009A0847">
        <w:t xml:space="preserve"> </w:t>
      </w:r>
      <w:r>
        <w:t>the</w:t>
      </w:r>
      <w:r w:rsidR="009A0847">
        <w:t xml:space="preserve"> </w:t>
      </w:r>
      <w:r>
        <w:lastRenderedPageBreak/>
        <w:t>2007-2008</w:t>
      </w:r>
      <w:r w:rsidR="009A0847">
        <w:t xml:space="preserve"> </w:t>
      </w:r>
      <w:r>
        <w:t>financial</w:t>
      </w:r>
      <w:r w:rsidR="009A0847">
        <w:t xml:space="preserve"> </w:t>
      </w:r>
      <w:r>
        <w:t>crisis,”</w:t>
      </w:r>
      <w:r w:rsidR="009A0847">
        <w:t xml:space="preserve"> </w:t>
      </w:r>
      <w:r w:rsidRPr="00574C71">
        <w:rPr>
          <w:i/>
        </w:rPr>
        <w:t>Journal</w:t>
      </w:r>
      <w:r w:rsidR="009A0847">
        <w:rPr>
          <w:i/>
        </w:rPr>
        <w:t xml:space="preserve"> </w:t>
      </w:r>
      <w:r w:rsidRPr="00574C71">
        <w:rPr>
          <w:i/>
        </w:rPr>
        <w:t>of</w:t>
      </w:r>
      <w:r w:rsidR="009A0847">
        <w:rPr>
          <w:i/>
        </w:rPr>
        <w:t xml:space="preserve"> </w:t>
      </w:r>
      <w:r w:rsidRPr="00574C71">
        <w:rPr>
          <w:i/>
        </w:rPr>
        <w:t>Financial</w:t>
      </w:r>
      <w:r w:rsidR="009A0847">
        <w:rPr>
          <w:i/>
        </w:rPr>
        <w:t xml:space="preserve"> </w:t>
      </w:r>
      <w:r w:rsidRPr="00574C71">
        <w:rPr>
          <w:i/>
        </w:rPr>
        <w:t>Economics</w:t>
      </w:r>
      <w:r>
        <w:t>,</w:t>
      </w:r>
      <w:r w:rsidR="009A0847">
        <w:t xml:space="preserve"> </w:t>
      </w:r>
      <w:r>
        <w:t>118(2),</w:t>
      </w:r>
      <w:r w:rsidR="009A0847">
        <w:t xml:space="preserve"> </w:t>
      </w:r>
      <w:r>
        <w:t>317–335.</w:t>
      </w:r>
    </w:p>
    <w:p w14:paraId="6CB7291D" w14:textId="677B3E96" w:rsidR="00574C71" w:rsidRDefault="001B3106" w:rsidP="00F86E09">
      <w:pPr>
        <w:pStyle w:val="Olivier1"/>
        <w:widowControl w:val="0"/>
        <w:spacing w:line="240" w:lineRule="auto"/>
      </w:pPr>
      <w:r>
        <w:t>Bagehot</w:t>
      </w:r>
      <w:r w:rsidR="009A0847">
        <w:t xml:space="preserve"> </w:t>
      </w:r>
      <w:r w:rsidR="00BF71B4">
        <w:t>W.</w:t>
      </w:r>
      <w:r w:rsidR="009A0847">
        <w:t xml:space="preserve"> </w:t>
      </w:r>
      <w:r w:rsidR="00BF71B4">
        <w:t>(1873)</w:t>
      </w:r>
      <w:r w:rsidR="009A0847">
        <w:t xml:space="preserve"> </w:t>
      </w:r>
      <w:r w:rsidR="00BF71B4" w:rsidRPr="00BF71B4">
        <w:rPr>
          <w:i/>
        </w:rPr>
        <w:t>Lombard</w:t>
      </w:r>
      <w:r w:rsidR="009A0847">
        <w:rPr>
          <w:i/>
        </w:rPr>
        <w:t xml:space="preserve"> </w:t>
      </w:r>
      <w:r w:rsidR="00BF71B4" w:rsidRPr="00BF71B4">
        <w:rPr>
          <w:i/>
        </w:rPr>
        <w:t>Street:</w:t>
      </w:r>
      <w:r w:rsidR="009A0847">
        <w:rPr>
          <w:i/>
        </w:rPr>
        <w:t xml:space="preserve"> </w:t>
      </w:r>
      <w:r w:rsidR="00BF71B4" w:rsidRPr="00BF71B4">
        <w:rPr>
          <w:i/>
        </w:rPr>
        <w:t>A</w:t>
      </w:r>
      <w:r w:rsidR="009A0847">
        <w:rPr>
          <w:i/>
        </w:rPr>
        <w:t xml:space="preserve"> </w:t>
      </w:r>
      <w:r w:rsidR="00BF71B4" w:rsidRPr="00BF71B4">
        <w:rPr>
          <w:i/>
        </w:rPr>
        <w:t>Description</w:t>
      </w:r>
      <w:r w:rsidR="009A0847">
        <w:rPr>
          <w:i/>
        </w:rPr>
        <w:t xml:space="preserve"> </w:t>
      </w:r>
      <w:r w:rsidR="00BF71B4" w:rsidRPr="00BF71B4">
        <w:rPr>
          <w:i/>
        </w:rPr>
        <w:t>of</w:t>
      </w:r>
      <w:r w:rsidR="009A0847">
        <w:rPr>
          <w:i/>
        </w:rPr>
        <w:t xml:space="preserve"> </w:t>
      </w:r>
      <w:r w:rsidR="00BF71B4" w:rsidRPr="00BF71B4">
        <w:rPr>
          <w:i/>
        </w:rPr>
        <w:t>the</w:t>
      </w:r>
      <w:r w:rsidR="009A0847">
        <w:rPr>
          <w:i/>
        </w:rPr>
        <w:t xml:space="preserve"> </w:t>
      </w:r>
      <w:r w:rsidR="00BF71B4" w:rsidRPr="00BF71B4">
        <w:rPr>
          <w:i/>
        </w:rPr>
        <w:t>Money</w:t>
      </w:r>
      <w:r w:rsidR="009A0847">
        <w:rPr>
          <w:i/>
        </w:rPr>
        <w:t xml:space="preserve"> </w:t>
      </w:r>
      <w:r w:rsidR="00BF71B4" w:rsidRPr="00BF71B4">
        <w:rPr>
          <w:i/>
        </w:rPr>
        <w:t>Market</w:t>
      </w:r>
      <w:r w:rsidR="00F14286">
        <w:t>,</w:t>
      </w:r>
      <w:r w:rsidR="009A0847">
        <w:t xml:space="preserve"> </w:t>
      </w:r>
      <w:r w:rsidR="00F14286">
        <w:t>Henry</w:t>
      </w:r>
      <w:r w:rsidR="009A0847">
        <w:t xml:space="preserve"> </w:t>
      </w:r>
      <w:r w:rsidR="00F14286">
        <w:t>S.</w:t>
      </w:r>
      <w:r w:rsidR="009A0847">
        <w:t xml:space="preserve"> </w:t>
      </w:r>
      <w:r w:rsidR="00F14286">
        <w:t>King;</w:t>
      </w:r>
      <w:r w:rsidR="009A0847">
        <w:t xml:space="preserve"> </w:t>
      </w:r>
      <w:r w:rsidR="00BF71B4">
        <w:t>London.</w:t>
      </w:r>
    </w:p>
    <w:p w14:paraId="7D13168C" w14:textId="125405A9" w:rsidR="0026229E" w:rsidRDefault="00AF3F40" w:rsidP="00F86E09">
      <w:pPr>
        <w:pStyle w:val="Olivier1"/>
        <w:widowControl w:val="0"/>
        <w:spacing w:line="240" w:lineRule="auto"/>
      </w:pPr>
      <w:r>
        <w:t>Bank</w:t>
      </w:r>
      <w:r w:rsidR="009A0847">
        <w:t xml:space="preserve"> </w:t>
      </w:r>
      <w:r>
        <w:t>of</w:t>
      </w:r>
      <w:r w:rsidR="009A0847">
        <w:t xml:space="preserve"> </w:t>
      </w:r>
      <w:r>
        <w:t>England</w:t>
      </w:r>
      <w:r w:rsidR="009A0847">
        <w:t xml:space="preserve"> </w:t>
      </w:r>
      <w:r>
        <w:t>(2015)</w:t>
      </w:r>
      <w:r w:rsidR="009A0847">
        <w:t xml:space="preserve"> </w:t>
      </w:r>
      <w:r w:rsidR="0026229E">
        <w:t>“The</w:t>
      </w:r>
      <w:r w:rsidR="009A0847">
        <w:t xml:space="preserve"> </w:t>
      </w:r>
      <w:r w:rsidR="0026229E">
        <w:t>Bank</w:t>
      </w:r>
      <w:r w:rsidR="009A0847">
        <w:t xml:space="preserve"> </w:t>
      </w:r>
      <w:r w:rsidR="0026229E">
        <w:t>of</w:t>
      </w:r>
      <w:r w:rsidR="009A0847">
        <w:t xml:space="preserve"> </w:t>
      </w:r>
      <w:r w:rsidR="0026229E">
        <w:t>England’s</w:t>
      </w:r>
      <w:r w:rsidR="009A0847">
        <w:t xml:space="preserve"> </w:t>
      </w:r>
      <w:r w:rsidR="0026229E">
        <w:t>Sterling</w:t>
      </w:r>
      <w:r w:rsidR="009A0847">
        <w:t xml:space="preserve"> </w:t>
      </w:r>
      <w:r w:rsidR="00A3718C">
        <w:t>m</w:t>
      </w:r>
      <w:r w:rsidR="0026229E">
        <w:t>onetary</w:t>
      </w:r>
      <w:r w:rsidR="009A0847">
        <w:t xml:space="preserve"> </w:t>
      </w:r>
      <w:r w:rsidR="00A3718C">
        <w:t>f</w:t>
      </w:r>
      <w:r w:rsidR="0026229E">
        <w:t>r</w:t>
      </w:r>
      <w:r w:rsidR="00E51B12">
        <w:t>amework.</w:t>
      </w:r>
      <w:r w:rsidR="0026229E">
        <w:t>”</w:t>
      </w:r>
      <w:r w:rsidR="009A0847">
        <w:t xml:space="preserve"> </w:t>
      </w:r>
      <w:r w:rsidR="0026229E">
        <w:t>available</w:t>
      </w:r>
      <w:r w:rsidR="009A0847">
        <w:t xml:space="preserve"> </w:t>
      </w:r>
      <w:r w:rsidR="0026229E">
        <w:t>at</w:t>
      </w:r>
      <w:r w:rsidR="009A0847">
        <w:t xml:space="preserve">  </w:t>
      </w:r>
      <w:hyperlink r:id="rId18" w:history="1">
        <w:r w:rsidR="005A1FE5" w:rsidRPr="00841F78">
          <w:rPr>
            <w:rStyle w:val="Hyperlink"/>
          </w:rPr>
          <w:t>www.bankofengland.co.uk/-/media/boe/files/markets/sterling-monetary-framework/red-book</w:t>
        </w:r>
      </w:hyperlink>
      <w:r w:rsidR="005A1FE5">
        <w:t>.</w:t>
      </w:r>
    </w:p>
    <w:p w14:paraId="445142A3" w14:textId="223196A9" w:rsidR="005A1FE5" w:rsidRDefault="001B3106" w:rsidP="00F86E09">
      <w:pPr>
        <w:pStyle w:val="Olivier1"/>
        <w:widowControl w:val="0"/>
        <w:spacing w:line="240" w:lineRule="auto"/>
        <w:rPr>
          <w:rFonts w:eastAsiaTheme="minorEastAsia"/>
        </w:rPr>
      </w:pPr>
      <w:r>
        <w:rPr>
          <w:rFonts w:eastAsiaTheme="minorEastAsia"/>
        </w:rPr>
        <w:t>Bernanke</w:t>
      </w:r>
      <w:r w:rsidR="009A0847">
        <w:rPr>
          <w:rFonts w:eastAsiaTheme="minorEastAsia"/>
        </w:rPr>
        <w:t xml:space="preserve"> </w:t>
      </w:r>
      <w:r w:rsidR="005A1FE5">
        <w:rPr>
          <w:rFonts w:eastAsiaTheme="minorEastAsia"/>
        </w:rPr>
        <w:t>B.</w:t>
      </w:r>
      <w:r w:rsidR="009A0847">
        <w:rPr>
          <w:rFonts w:eastAsiaTheme="minorEastAsia"/>
        </w:rPr>
        <w:t xml:space="preserve"> </w:t>
      </w:r>
      <w:r w:rsidR="005A1FE5">
        <w:rPr>
          <w:rFonts w:eastAsiaTheme="minorEastAsia"/>
        </w:rPr>
        <w:t>(2009)</w:t>
      </w:r>
      <w:r w:rsidR="009A0847">
        <w:rPr>
          <w:rFonts w:eastAsiaTheme="minorEastAsia"/>
        </w:rPr>
        <w:t xml:space="preserve"> </w:t>
      </w:r>
      <w:r w:rsidR="005A1FE5">
        <w:rPr>
          <w:rFonts w:eastAsiaTheme="minorEastAsia"/>
        </w:rPr>
        <w:t>“The</w:t>
      </w:r>
      <w:r w:rsidR="009A0847">
        <w:rPr>
          <w:rFonts w:eastAsiaTheme="minorEastAsia"/>
        </w:rPr>
        <w:t xml:space="preserve"> </w:t>
      </w:r>
      <w:r w:rsidR="005A1FE5">
        <w:rPr>
          <w:rFonts w:eastAsiaTheme="minorEastAsia"/>
        </w:rPr>
        <w:t>Federal</w:t>
      </w:r>
      <w:r w:rsidR="009A0847">
        <w:rPr>
          <w:rFonts w:eastAsiaTheme="minorEastAsia"/>
        </w:rPr>
        <w:t xml:space="preserve"> </w:t>
      </w:r>
      <w:r w:rsidR="005A1FE5">
        <w:rPr>
          <w:rFonts w:eastAsiaTheme="minorEastAsia"/>
        </w:rPr>
        <w:t>Reserve’s</w:t>
      </w:r>
      <w:r w:rsidR="009A0847">
        <w:rPr>
          <w:rFonts w:eastAsiaTheme="minorEastAsia"/>
        </w:rPr>
        <w:t xml:space="preserve"> </w:t>
      </w:r>
      <w:r w:rsidR="00A3718C">
        <w:rPr>
          <w:rFonts w:eastAsiaTheme="minorEastAsia"/>
        </w:rPr>
        <w:t>b</w:t>
      </w:r>
      <w:r w:rsidR="005A1FE5">
        <w:rPr>
          <w:rFonts w:eastAsiaTheme="minorEastAsia"/>
        </w:rPr>
        <w:t>alance</w:t>
      </w:r>
      <w:r w:rsidR="009A0847">
        <w:rPr>
          <w:rFonts w:eastAsiaTheme="minorEastAsia"/>
        </w:rPr>
        <w:t xml:space="preserve"> </w:t>
      </w:r>
      <w:r w:rsidR="00A3718C">
        <w:rPr>
          <w:rFonts w:eastAsiaTheme="minorEastAsia"/>
        </w:rPr>
        <w:t>s</w:t>
      </w:r>
      <w:r w:rsidR="00F14286">
        <w:rPr>
          <w:rFonts w:eastAsiaTheme="minorEastAsia"/>
        </w:rPr>
        <w:t>heet:</w:t>
      </w:r>
      <w:r w:rsidR="009A0847">
        <w:rPr>
          <w:rFonts w:eastAsiaTheme="minorEastAsia"/>
        </w:rPr>
        <w:t xml:space="preserve"> </w:t>
      </w:r>
      <w:r w:rsidR="00F14286">
        <w:rPr>
          <w:rFonts w:eastAsiaTheme="minorEastAsia"/>
        </w:rPr>
        <w:t>An</w:t>
      </w:r>
      <w:r w:rsidR="009A0847">
        <w:rPr>
          <w:rFonts w:eastAsiaTheme="minorEastAsia"/>
        </w:rPr>
        <w:t xml:space="preserve"> </w:t>
      </w:r>
      <w:r w:rsidR="00F14286">
        <w:rPr>
          <w:rFonts w:eastAsiaTheme="minorEastAsia"/>
        </w:rPr>
        <w:t>u</w:t>
      </w:r>
      <w:r w:rsidR="005A1FE5">
        <w:rPr>
          <w:rFonts w:eastAsiaTheme="minorEastAsia"/>
        </w:rPr>
        <w:t>pdate,”</w:t>
      </w:r>
      <w:r w:rsidR="009A0847">
        <w:rPr>
          <w:rFonts w:eastAsiaTheme="minorEastAsia"/>
        </w:rPr>
        <w:t xml:space="preserve"> </w:t>
      </w:r>
      <w:r w:rsidR="005A1FE5">
        <w:rPr>
          <w:rFonts w:eastAsiaTheme="minorEastAsia"/>
        </w:rPr>
        <w:t>Speech</w:t>
      </w:r>
      <w:r w:rsidR="009A0847">
        <w:rPr>
          <w:rFonts w:eastAsiaTheme="minorEastAsia"/>
        </w:rPr>
        <w:t xml:space="preserve"> </w:t>
      </w:r>
      <w:r w:rsidR="005A1FE5">
        <w:rPr>
          <w:rFonts w:eastAsiaTheme="minorEastAsia"/>
        </w:rPr>
        <w:t>given</w:t>
      </w:r>
      <w:r w:rsidR="009A0847">
        <w:rPr>
          <w:rFonts w:eastAsiaTheme="minorEastAsia"/>
        </w:rPr>
        <w:t xml:space="preserve"> </w:t>
      </w:r>
      <w:r w:rsidR="005A1FE5">
        <w:rPr>
          <w:rFonts w:eastAsiaTheme="minorEastAsia"/>
        </w:rPr>
        <w:t>at</w:t>
      </w:r>
      <w:r w:rsidR="009A0847">
        <w:rPr>
          <w:rFonts w:eastAsiaTheme="minorEastAsia"/>
        </w:rPr>
        <w:t xml:space="preserve"> </w:t>
      </w:r>
      <w:r w:rsidR="005A1FE5">
        <w:rPr>
          <w:rFonts w:eastAsiaTheme="minorEastAsia"/>
        </w:rPr>
        <w:t>the</w:t>
      </w:r>
      <w:r w:rsidR="009A0847">
        <w:rPr>
          <w:rFonts w:eastAsiaTheme="minorEastAsia"/>
        </w:rPr>
        <w:t xml:space="preserve"> </w:t>
      </w:r>
      <w:r w:rsidR="005A1FE5">
        <w:rPr>
          <w:rFonts w:eastAsiaTheme="minorEastAsia"/>
        </w:rPr>
        <w:t>Federal</w:t>
      </w:r>
      <w:r w:rsidR="009A0847">
        <w:rPr>
          <w:rFonts w:eastAsiaTheme="minorEastAsia"/>
        </w:rPr>
        <w:t xml:space="preserve"> </w:t>
      </w:r>
      <w:r w:rsidR="005A1FE5">
        <w:rPr>
          <w:rFonts w:eastAsiaTheme="minorEastAsia"/>
        </w:rPr>
        <w:t>Reserve</w:t>
      </w:r>
      <w:r w:rsidR="009A0847">
        <w:rPr>
          <w:rFonts w:eastAsiaTheme="minorEastAsia"/>
        </w:rPr>
        <w:t xml:space="preserve"> </w:t>
      </w:r>
      <w:r w:rsidR="005A1FE5">
        <w:rPr>
          <w:rFonts w:eastAsiaTheme="minorEastAsia"/>
        </w:rPr>
        <w:t>Board</w:t>
      </w:r>
      <w:r w:rsidR="009A0847">
        <w:rPr>
          <w:rFonts w:eastAsiaTheme="minorEastAsia"/>
        </w:rPr>
        <w:t xml:space="preserve"> </w:t>
      </w:r>
      <w:r w:rsidR="005A1FE5">
        <w:rPr>
          <w:rFonts w:eastAsiaTheme="minorEastAsia"/>
        </w:rPr>
        <w:t>Conference</w:t>
      </w:r>
      <w:r w:rsidR="009A0847">
        <w:rPr>
          <w:rFonts w:eastAsiaTheme="minorEastAsia"/>
        </w:rPr>
        <w:t xml:space="preserve"> </w:t>
      </w:r>
      <w:r w:rsidR="005A1FE5" w:rsidRPr="005A1FE5">
        <w:rPr>
          <w:rFonts w:eastAsiaTheme="minorEastAsia"/>
          <w:i/>
        </w:rPr>
        <w:t>Key</w:t>
      </w:r>
      <w:r w:rsidR="009A0847">
        <w:rPr>
          <w:rFonts w:eastAsiaTheme="minorEastAsia"/>
          <w:i/>
        </w:rPr>
        <w:t xml:space="preserve"> </w:t>
      </w:r>
      <w:r w:rsidR="005A1FE5" w:rsidRPr="005A1FE5">
        <w:rPr>
          <w:rFonts w:eastAsiaTheme="minorEastAsia"/>
          <w:i/>
        </w:rPr>
        <w:t>Developments</w:t>
      </w:r>
      <w:r w:rsidR="009A0847">
        <w:rPr>
          <w:rFonts w:eastAsiaTheme="minorEastAsia"/>
          <w:i/>
        </w:rPr>
        <w:t xml:space="preserve"> </w:t>
      </w:r>
      <w:r w:rsidR="005A1FE5" w:rsidRPr="005A1FE5">
        <w:rPr>
          <w:rFonts w:eastAsiaTheme="minorEastAsia"/>
          <w:i/>
        </w:rPr>
        <w:t>in</w:t>
      </w:r>
      <w:r w:rsidR="009A0847">
        <w:rPr>
          <w:rFonts w:eastAsiaTheme="minorEastAsia"/>
          <w:i/>
        </w:rPr>
        <w:t xml:space="preserve"> </w:t>
      </w:r>
      <w:r w:rsidR="005A1FE5" w:rsidRPr="005A1FE5">
        <w:rPr>
          <w:rFonts w:eastAsiaTheme="minorEastAsia"/>
          <w:i/>
        </w:rPr>
        <w:t>Monetary</w:t>
      </w:r>
      <w:r w:rsidR="009A0847">
        <w:rPr>
          <w:rFonts w:eastAsiaTheme="minorEastAsia"/>
          <w:i/>
        </w:rPr>
        <w:t xml:space="preserve"> </w:t>
      </w:r>
      <w:r w:rsidR="005A1FE5" w:rsidRPr="005A1FE5">
        <w:rPr>
          <w:rFonts w:eastAsiaTheme="minorEastAsia"/>
          <w:i/>
        </w:rPr>
        <w:t>Policy</w:t>
      </w:r>
      <w:r w:rsidR="005A1FE5">
        <w:rPr>
          <w:rFonts w:eastAsiaTheme="minorEastAsia"/>
        </w:rPr>
        <w:t>,</w:t>
      </w:r>
      <w:r w:rsidR="009A0847">
        <w:rPr>
          <w:rFonts w:eastAsiaTheme="minorEastAsia"/>
        </w:rPr>
        <w:t xml:space="preserve"> </w:t>
      </w:r>
      <w:r w:rsidR="005A1FE5">
        <w:rPr>
          <w:rFonts w:eastAsiaTheme="minorEastAsia"/>
        </w:rPr>
        <w:t>Washington,</w:t>
      </w:r>
      <w:r w:rsidR="009A0847">
        <w:rPr>
          <w:rFonts w:eastAsiaTheme="minorEastAsia"/>
        </w:rPr>
        <w:t xml:space="preserve"> </w:t>
      </w:r>
      <w:r w:rsidR="005A1FE5">
        <w:rPr>
          <w:rFonts w:eastAsiaTheme="minorEastAsia"/>
        </w:rPr>
        <w:t>D.C.</w:t>
      </w:r>
    </w:p>
    <w:p w14:paraId="33B7021D" w14:textId="6949C784" w:rsidR="005A1FE5" w:rsidRDefault="001B3106" w:rsidP="00F86E09">
      <w:pPr>
        <w:pStyle w:val="Olivier1"/>
        <w:widowControl w:val="0"/>
        <w:spacing w:line="240" w:lineRule="auto"/>
      </w:pPr>
      <w:r>
        <w:rPr>
          <w:rFonts w:eastAsiaTheme="minorEastAsia"/>
        </w:rPr>
        <w:t>Bernanke</w:t>
      </w:r>
      <w:r w:rsidR="009A0847">
        <w:rPr>
          <w:rFonts w:eastAsiaTheme="minorEastAsia"/>
        </w:rPr>
        <w:t xml:space="preserve"> </w:t>
      </w:r>
      <w:r w:rsidR="005A1FE5">
        <w:rPr>
          <w:rFonts w:eastAsiaTheme="minorEastAsia"/>
        </w:rPr>
        <w:t>B.</w:t>
      </w:r>
      <w:r w:rsidR="009A0847">
        <w:rPr>
          <w:rFonts w:eastAsiaTheme="minorEastAsia"/>
        </w:rPr>
        <w:t xml:space="preserve"> </w:t>
      </w:r>
      <w:r w:rsidR="005A1FE5">
        <w:rPr>
          <w:rFonts w:eastAsiaTheme="minorEastAsia"/>
        </w:rPr>
        <w:t>(2015</w:t>
      </w:r>
      <w:r w:rsidR="003F0939">
        <w:rPr>
          <w:rFonts w:eastAsiaTheme="minorEastAsia"/>
        </w:rPr>
        <w:t>a</w:t>
      </w:r>
      <w:r w:rsidR="005A1FE5">
        <w:rPr>
          <w:rFonts w:eastAsiaTheme="minorEastAsia"/>
        </w:rPr>
        <w:t>)</w:t>
      </w:r>
      <w:r w:rsidR="009A0847">
        <w:t xml:space="preserve"> </w:t>
      </w:r>
      <w:r w:rsidR="005A1FE5">
        <w:t>“Warren-Vitte</w:t>
      </w:r>
      <w:r w:rsidR="00F14286">
        <w:t>r</w:t>
      </w:r>
      <w:r w:rsidR="009A0847">
        <w:t xml:space="preserve"> </w:t>
      </w:r>
      <w:r w:rsidR="00F14286">
        <w:t>and</w:t>
      </w:r>
      <w:r w:rsidR="009A0847">
        <w:t xml:space="preserve"> </w:t>
      </w:r>
      <w:r w:rsidR="00F14286">
        <w:t>the</w:t>
      </w:r>
      <w:r w:rsidR="009A0847">
        <w:t xml:space="preserve"> </w:t>
      </w:r>
      <w:r w:rsidR="00F14286">
        <w:t>lender</w:t>
      </w:r>
      <w:r w:rsidR="009A0847">
        <w:t xml:space="preserve"> </w:t>
      </w:r>
      <w:r w:rsidR="00F14286">
        <w:t>of</w:t>
      </w:r>
      <w:r w:rsidR="009A0847">
        <w:t xml:space="preserve"> </w:t>
      </w:r>
      <w:r w:rsidR="00F14286">
        <w:t>last</w:t>
      </w:r>
      <w:r w:rsidR="009A0847">
        <w:t xml:space="preserve"> </w:t>
      </w:r>
      <w:r w:rsidR="00F14286">
        <w:t>resort,</w:t>
      </w:r>
      <w:r w:rsidR="005A1FE5">
        <w:t>”</w:t>
      </w:r>
      <w:r w:rsidR="009A0847">
        <w:t xml:space="preserve"> </w:t>
      </w:r>
      <w:r w:rsidR="005A1FE5">
        <w:t>Brookings</w:t>
      </w:r>
      <w:r w:rsidR="009A0847">
        <w:t xml:space="preserve"> </w:t>
      </w:r>
      <w:r w:rsidR="005A1FE5">
        <w:t>Institution.</w:t>
      </w:r>
    </w:p>
    <w:p w14:paraId="730FCEA6" w14:textId="6DEB8991" w:rsidR="003F0939" w:rsidRDefault="001B3106" w:rsidP="00F86E09">
      <w:pPr>
        <w:widowControl w:val="0"/>
        <w:spacing w:after="80"/>
      </w:pPr>
      <w:r>
        <w:rPr>
          <w:rFonts w:eastAsiaTheme="minorEastAsia"/>
        </w:rPr>
        <w:t>Bernanke</w:t>
      </w:r>
      <w:r w:rsidR="009A0847">
        <w:rPr>
          <w:rFonts w:eastAsiaTheme="minorEastAsia"/>
        </w:rPr>
        <w:t xml:space="preserve"> </w:t>
      </w:r>
      <w:r w:rsidR="003F0939">
        <w:rPr>
          <w:rFonts w:eastAsiaTheme="minorEastAsia"/>
        </w:rPr>
        <w:t>B.</w:t>
      </w:r>
      <w:r w:rsidR="009A0847">
        <w:rPr>
          <w:rFonts w:eastAsiaTheme="minorEastAsia"/>
        </w:rPr>
        <w:t xml:space="preserve"> </w:t>
      </w:r>
      <w:r w:rsidR="003F0939">
        <w:t>(2015b)</w:t>
      </w:r>
      <w:r w:rsidR="009A0847">
        <w:t xml:space="preserve"> </w:t>
      </w:r>
      <w:r w:rsidR="003F0939" w:rsidRPr="00E3136D">
        <w:rPr>
          <w:i/>
        </w:rPr>
        <w:t>The</w:t>
      </w:r>
      <w:r w:rsidR="009A0847" w:rsidRPr="00E3136D">
        <w:rPr>
          <w:i/>
        </w:rPr>
        <w:t xml:space="preserve"> </w:t>
      </w:r>
      <w:r w:rsidR="003F0939" w:rsidRPr="00E3136D">
        <w:rPr>
          <w:i/>
        </w:rPr>
        <w:t>Courage</w:t>
      </w:r>
      <w:r w:rsidR="009A0847" w:rsidRPr="00E3136D">
        <w:rPr>
          <w:i/>
        </w:rPr>
        <w:t xml:space="preserve"> </w:t>
      </w:r>
      <w:r w:rsidR="003F0939" w:rsidRPr="00E3136D">
        <w:rPr>
          <w:i/>
        </w:rPr>
        <w:t>to</w:t>
      </w:r>
      <w:r w:rsidR="009A0847" w:rsidRPr="00E3136D">
        <w:rPr>
          <w:i/>
        </w:rPr>
        <w:t xml:space="preserve"> </w:t>
      </w:r>
      <w:r w:rsidR="003F0939" w:rsidRPr="00E3136D">
        <w:rPr>
          <w:i/>
        </w:rPr>
        <w:t>Act:</w:t>
      </w:r>
      <w:r w:rsidR="009A0847" w:rsidRPr="00E3136D">
        <w:rPr>
          <w:i/>
        </w:rPr>
        <w:t xml:space="preserve"> </w:t>
      </w:r>
      <w:r w:rsidR="003F0939" w:rsidRPr="00E3136D">
        <w:rPr>
          <w:i/>
        </w:rPr>
        <w:t>A</w:t>
      </w:r>
      <w:r w:rsidR="009A0847" w:rsidRPr="00E3136D">
        <w:rPr>
          <w:i/>
        </w:rPr>
        <w:t xml:space="preserve"> </w:t>
      </w:r>
      <w:r w:rsidR="003F0939" w:rsidRPr="00E3136D">
        <w:rPr>
          <w:i/>
        </w:rPr>
        <w:t>Memoir</w:t>
      </w:r>
      <w:r w:rsidR="009A0847" w:rsidRPr="00E3136D">
        <w:rPr>
          <w:i/>
        </w:rPr>
        <w:t xml:space="preserve"> </w:t>
      </w:r>
      <w:r w:rsidR="003F0939" w:rsidRPr="00E3136D">
        <w:rPr>
          <w:i/>
        </w:rPr>
        <w:t>of</w:t>
      </w:r>
      <w:r w:rsidR="009A0847" w:rsidRPr="00E3136D">
        <w:rPr>
          <w:i/>
        </w:rPr>
        <w:t xml:space="preserve"> </w:t>
      </w:r>
      <w:r w:rsidR="003F0939" w:rsidRPr="00E3136D">
        <w:rPr>
          <w:i/>
        </w:rPr>
        <w:t>a</w:t>
      </w:r>
      <w:r w:rsidR="009A0847" w:rsidRPr="00E3136D">
        <w:rPr>
          <w:i/>
        </w:rPr>
        <w:t xml:space="preserve"> </w:t>
      </w:r>
      <w:r w:rsidR="003F0939" w:rsidRPr="00E3136D">
        <w:rPr>
          <w:i/>
        </w:rPr>
        <w:t>Crisis</w:t>
      </w:r>
      <w:r w:rsidR="009A0847" w:rsidRPr="00E3136D">
        <w:rPr>
          <w:i/>
        </w:rPr>
        <w:t xml:space="preserve"> </w:t>
      </w:r>
      <w:r w:rsidR="003F0939" w:rsidRPr="00E3136D">
        <w:rPr>
          <w:i/>
        </w:rPr>
        <w:t>and</w:t>
      </w:r>
      <w:r w:rsidR="009A0847" w:rsidRPr="00E3136D">
        <w:rPr>
          <w:i/>
        </w:rPr>
        <w:t xml:space="preserve"> </w:t>
      </w:r>
      <w:r w:rsidR="003F0939" w:rsidRPr="00E3136D">
        <w:rPr>
          <w:i/>
        </w:rPr>
        <w:t>Its</w:t>
      </w:r>
      <w:r w:rsidR="009A0847" w:rsidRPr="00E3136D">
        <w:rPr>
          <w:i/>
        </w:rPr>
        <w:t xml:space="preserve"> </w:t>
      </w:r>
      <w:r w:rsidR="003F0939" w:rsidRPr="00E3136D">
        <w:rPr>
          <w:i/>
        </w:rPr>
        <w:t>Aftermath</w:t>
      </w:r>
      <w:r w:rsidR="003F0939">
        <w:t>,</w:t>
      </w:r>
      <w:r w:rsidR="009A0847">
        <w:t xml:space="preserve"> </w:t>
      </w:r>
      <w:r w:rsidR="003F0939">
        <w:t>New</w:t>
      </w:r>
      <w:r w:rsidR="009A0847">
        <w:t xml:space="preserve"> </w:t>
      </w:r>
      <w:r w:rsidR="003F0939">
        <w:t>York:</w:t>
      </w:r>
      <w:r w:rsidR="009A0847">
        <w:t xml:space="preserve"> </w:t>
      </w:r>
      <w:r w:rsidR="003F0939">
        <w:t>Norton.</w:t>
      </w:r>
    </w:p>
    <w:p w14:paraId="417EAAD3" w14:textId="000962CF" w:rsidR="00074C6B" w:rsidRPr="00C52B5B" w:rsidRDefault="00074C6B" w:rsidP="00F86E09">
      <w:pPr>
        <w:pStyle w:val="Olivier1"/>
        <w:widowControl w:val="0"/>
        <w:spacing w:line="240" w:lineRule="auto"/>
      </w:pPr>
      <w:r w:rsidRPr="00074C6B">
        <w:rPr>
          <w:rFonts w:eastAsiaTheme="minorEastAsia"/>
        </w:rPr>
        <w:t>Bernanke</w:t>
      </w:r>
      <w:r w:rsidR="009A0847">
        <w:rPr>
          <w:rFonts w:eastAsiaTheme="minorEastAsia"/>
        </w:rPr>
        <w:t xml:space="preserve"> </w:t>
      </w:r>
      <w:r w:rsidRPr="00074C6B">
        <w:rPr>
          <w:rFonts w:eastAsiaTheme="minorEastAsia"/>
        </w:rPr>
        <w:t>B.</w:t>
      </w:r>
      <w:r w:rsidR="009A0847">
        <w:rPr>
          <w:rFonts w:eastAsiaTheme="minorEastAsia"/>
        </w:rPr>
        <w:t xml:space="preserve"> </w:t>
      </w:r>
      <w:r w:rsidRPr="00074C6B">
        <w:rPr>
          <w:rFonts w:eastAsiaTheme="minorEastAsia"/>
        </w:rPr>
        <w:t>(2016)</w:t>
      </w:r>
      <w:r w:rsidR="009A0847">
        <w:t xml:space="preserve"> </w:t>
      </w:r>
      <w:r w:rsidRPr="00074C6B">
        <w:t>“</w:t>
      </w:r>
      <w:r w:rsidRPr="00074C6B">
        <w:rPr>
          <w:rFonts w:eastAsiaTheme="minorEastAsia"/>
        </w:rPr>
        <w:t>Should</w:t>
      </w:r>
      <w:r w:rsidR="009A0847">
        <w:rPr>
          <w:rFonts w:eastAsiaTheme="minorEastAsia"/>
        </w:rPr>
        <w:t xml:space="preserve"> </w:t>
      </w:r>
      <w:r w:rsidRPr="00074C6B">
        <w:rPr>
          <w:rFonts w:eastAsiaTheme="minorEastAsia"/>
        </w:rPr>
        <w:t>the</w:t>
      </w:r>
      <w:r w:rsidR="009A0847">
        <w:rPr>
          <w:rFonts w:eastAsiaTheme="minorEastAsia"/>
        </w:rPr>
        <w:t xml:space="preserve"> </w:t>
      </w:r>
      <w:r w:rsidRPr="00074C6B">
        <w:rPr>
          <w:rFonts w:eastAsiaTheme="minorEastAsia"/>
        </w:rPr>
        <w:t>Fed</w:t>
      </w:r>
      <w:r w:rsidR="009A0847">
        <w:rPr>
          <w:rFonts w:eastAsiaTheme="minorEastAsia"/>
        </w:rPr>
        <w:t xml:space="preserve"> </w:t>
      </w:r>
      <w:r w:rsidRPr="00074C6B">
        <w:rPr>
          <w:rFonts w:eastAsiaTheme="minorEastAsia"/>
        </w:rPr>
        <w:t>keep</w:t>
      </w:r>
      <w:r w:rsidR="009A0847">
        <w:rPr>
          <w:rFonts w:eastAsiaTheme="minorEastAsia"/>
        </w:rPr>
        <w:t xml:space="preserve"> </w:t>
      </w:r>
      <w:r w:rsidRPr="00074C6B">
        <w:rPr>
          <w:rFonts w:eastAsiaTheme="minorEastAsia"/>
        </w:rPr>
        <w:t>its</w:t>
      </w:r>
      <w:r w:rsidR="009A0847">
        <w:rPr>
          <w:rFonts w:eastAsiaTheme="minorEastAsia"/>
        </w:rPr>
        <w:t xml:space="preserve"> </w:t>
      </w:r>
      <w:r w:rsidRPr="00074C6B">
        <w:rPr>
          <w:rFonts w:eastAsiaTheme="minorEastAsia"/>
        </w:rPr>
        <w:t>balance</w:t>
      </w:r>
      <w:r w:rsidR="009A0847">
        <w:rPr>
          <w:rFonts w:eastAsiaTheme="minorEastAsia"/>
        </w:rPr>
        <w:t xml:space="preserve"> </w:t>
      </w:r>
      <w:r w:rsidRPr="00074C6B">
        <w:rPr>
          <w:rFonts w:eastAsiaTheme="minorEastAsia"/>
        </w:rPr>
        <w:t>sheet</w:t>
      </w:r>
      <w:r w:rsidR="009A0847">
        <w:rPr>
          <w:rFonts w:eastAsiaTheme="minorEastAsia"/>
        </w:rPr>
        <w:t xml:space="preserve"> </w:t>
      </w:r>
      <w:r w:rsidRPr="00074C6B">
        <w:rPr>
          <w:rFonts w:eastAsiaTheme="minorEastAsia"/>
        </w:rPr>
        <w:t>large?</w:t>
      </w:r>
      <w:r w:rsidRPr="00074C6B">
        <w:t>”</w:t>
      </w:r>
      <w:r w:rsidR="009A0847">
        <w:t xml:space="preserve"> </w:t>
      </w:r>
      <w:r w:rsidRPr="00074C6B">
        <w:t>Brookings</w:t>
      </w:r>
      <w:r w:rsidR="009A0847">
        <w:t xml:space="preserve"> </w:t>
      </w:r>
      <w:r w:rsidRPr="00074C6B">
        <w:t>Institution.</w:t>
      </w:r>
    </w:p>
    <w:p w14:paraId="62255CF0" w14:textId="77A40F04" w:rsidR="00C52B5B" w:rsidRDefault="00C52B5B" w:rsidP="00F86E09">
      <w:pPr>
        <w:pStyle w:val="Olivier1"/>
        <w:widowControl w:val="0"/>
        <w:spacing w:line="240" w:lineRule="auto"/>
      </w:pPr>
      <w:r>
        <w:t>Bordo</w:t>
      </w:r>
      <w:r w:rsidR="009A0847">
        <w:t xml:space="preserve"> </w:t>
      </w:r>
      <w:r w:rsidRPr="00C52B5B">
        <w:t>M</w:t>
      </w:r>
      <w:r>
        <w:t>.</w:t>
      </w:r>
      <w:r w:rsidR="009A0847">
        <w:t xml:space="preserve"> </w:t>
      </w:r>
      <w:r>
        <w:t>(2014)</w:t>
      </w:r>
      <w:r w:rsidR="009A0847">
        <w:t xml:space="preserve"> </w:t>
      </w:r>
      <w:r>
        <w:t>“</w:t>
      </w:r>
      <w:r w:rsidRPr="00C52B5B">
        <w:rPr>
          <w:color w:val="000000" w:themeColor="text1"/>
        </w:rPr>
        <w:t>Rules</w:t>
      </w:r>
      <w:r w:rsidR="009A0847">
        <w:rPr>
          <w:color w:val="000000" w:themeColor="text1"/>
        </w:rPr>
        <w:t xml:space="preserve"> </w:t>
      </w:r>
      <w:r w:rsidRPr="00C52B5B">
        <w:rPr>
          <w:color w:val="000000" w:themeColor="text1"/>
        </w:rPr>
        <w:t>for</w:t>
      </w:r>
      <w:r w:rsidR="009A0847">
        <w:rPr>
          <w:color w:val="000000" w:themeColor="text1"/>
        </w:rPr>
        <w:t xml:space="preserve"> </w:t>
      </w:r>
      <w:r w:rsidRPr="00C52B5B">
        <w:rPr>
          <w:color w:val="000000" w:themeColor="text1"/>
        </w:rPr>
        <w:t>a</w:t>
      </w:r>
      <w:r w:rsidR="009A0847">
        <w:rPr>
          <w:color w:val="000000" w:themeColor="text1"/>
        </w:rPr>
        <w:t xml:space="preserve"> </w:t>
      </w:r>
      <w:r w:rsidRPr="00C52B5B">
        <w:rPr>
          <w:color w:val="000000" w:themeColor="text1"/>
        </w:rPr>
        <w:t>lender</w:t>
      </w:r>
      <w:r w:rsidR="009A0847">
        <w:rPr>
          <w:color w:val="000000" w:themeColor="text1"/>
        </w:rPr>
        <w:t xml:space="preserve"> </w:t>
      </w:r>
      <w:r w:rsidRPr="00C52B5B">
        <w:rPr>
          <w:color w:val="000000" w:themeColor="text1"/>
        </w:rPr>
        <w:t>of</w:t>
      </w:r>
      <w:r w:rsidR="009A0847">
        <w:rPr>
          <w:color w:val="000000" w:themeColor="text1"/>
        </w:rPr>
        <w:t xml:space="preserve"> </w:t>
      </w:r>
      <w:r w:rsidRPr="00C52B5B">
        <w:rPr>
          <w:color w:val="000000" w:themeColor="text1"/>
        </w:rPr>
        <w:t>last</w:t>
      </w:r>
      <w:r w:rsidR="009A0847">
        <w:rPr>
          <w:color w:val="000000" w:themeColor="text1"/>
        </w:rPr>
        <w:t xml:space="preserve"> </w:t>
      </w:r>
      <w:r w:rsidRPr="00C52B5B">
        <w:rPr>
          <w:color w:val="000000" w:themeColor="text1"/>
        </w:rPr>
        <w:t>resort:</w:t>
      </w:r>
      <w:r w:rsidR="009A0847">
        <w:rPr>
          <w:color w:val="000000" w:themeColor="text1"/>
        </w:rPr>
        <w:t xml:space="preserve"> </w:t>
      </w:r>
      <w:r w:rsidRPr="00C52B5B">
        <w:rPr>
          <w:color w:val="000000" w:themeColor="text1"/>
        </w:rPr>
        <w:t>An</w:t>
      </w:r>
      <w:r w:rsidR="009A0847">
        <w:rPr>
          <w:color w:val="000000" w:themeColor="text1"/>
        </w:rPr>
        <w:t xml:space="preserve"> </w:t>
      </w:r>
      <w:r w:rsidRPr="00C52B5B">
        <w:rPr>
          <w:color w:val="000000" w:themeColor="text1"/>
        </w:rPr>
        <w:t>historical</w:t>
      </w:r>
      <w:r w:rsidR="009A0847">
        <w:rPr>
          <w:color w:val="000000" w:themeColor="text1"/>
        </w:rPr>
        <w:t xml:space="preserve"> </w:t>
      </w:r>
      <w:r w:rsidRPr="00C52B5B">
        <w:rPr>
          <w:color w:val="000000" w:themeColor="text1"/>
        </w:rPr>
        <w:t>perspective</w:t>
      </w:r>
      <w:r>
        <w:rPr>
          <w:color w:val="000000" w:themeColor="text1"/>
        </w:rPr>
        <w:t>,”</w:t>
      </w:r>
      <w:r w:rsidR="009A0847">
        <w:rPr>
          <w:color w:val="000000" w:themeColor="text1"/>
        </w:rPr>
        <w:t xml:space="preserve"> </w:t>
      </w:r>
      <w:r w:rsidRPr="00A3718C">
        <w:rPr>
          <w:i/>
          <w:color w:val="000000" w:themeColor="text1"/>
        </w:rPr>
        <w:t>Journal</w:t>
      </w:r>
      <w:r w:rsidR="009A0847">
        <w:rPr>
          <w:i/>
          <w:color w:val="000000" w:themeColor="text1"/>
        </w:rPr>
        <w:t xml:space="preserve"> </w:t>
      </w:r>
      <w:r w:rsidRPr="00A3718C">
        <w:rPr>
          <w:i/>
          <w:color w:val="000000" w:themeColor="text1"/>
        </w:rPr>
        <w:t>of</w:t>
      </w:r>
      <w:r w:rsidR="009A0847">
        <w:rPr>
          <w:i/>
          <w:color w:val="000000" w:themeColor="text1"/>
        </w:rPr>
        <w:t xml:space="preserve"> </w:t>
      </w:r>
      <w:r w:rsidRPr="00A3718C">
        <w:rPr>
          <w:i/>
          <w:color w:val="000000" w:themeColor="text1"/>
        </w:rPr>
        <w:t>Economic</w:t>
      </w:r>
      <w:r w:rsidR="009A0847">
        <w:rPr>
          <w:i/>
          <w:color w:val="000000" w:themeColor="text1"/>
        </w:rPr>
        <w:t xml:space="preserve"> </w:t>
      </w:r>
      <w:r w:rsidRPr="00A3718C">
        <w:rPr>
          <w:i/>
          <w:color w:val="000000" w:themeColor="text1"/>
        </w:rPr>
        <w:t>Dynamics</w:t>
      </w:r>
      <w:r w:rsidR="009A0847">
        <w:rPr>
          <w:i/>
          <w:color w:val="000000" w:themeColor="text1"/>
        </w:rPr>
        <w:t xml:space="preserve"> </w:t>
      </w:r>
      <w:r w:rsidRPr="00A3718C">
        <w:rPr>
          <w:i/>
          <w:color w:val="000000" w:themeColor="text1"/>
        </w:rPr>
        <w:t>and</w:t>
      </w:r>
      <w:r w:rsidR="009A0847">
        <w:rPr>
          <w:i/>
          <w:color w:val="000000" w:themeColor="text1"/>
        </w:rPr>
        <w:t xml:space="preserve"> </w:t>
      </w:r>
      <w:r w:rsidRPr="00A3718C">
        <w:rPr>
          <w:i/>
          <w:color w:val="000000" w:themeColor="text1"/>
        </w:rPr>
        <w:t>Control</w:t>
      </w:r>
      <w:r w:rsidRPr="00C52B5B">
        <w:t>,</w:t>
      </w:r>
      <w:r w:rsidR="009A0847">
        <w:t xml:space="preserve"> </w:t>
      </w:r>
      <w:r w:rsidR="00E51B12">
        <w:t>49</w:t>
      </w:r>
      <w:r w:rsidRPr="00C52B5B">
        <w:t>,</w:t>
      </w:r>
      <w:r w:rsidR="009A0847">
        <w:t xml:space="preserve"> </w:t>
      </w:r>
      <w:r w:rsidRPr="00C52B5B">
        <w:t>126-134.</w:t>
      </w:r>
    </w:p>
    <w:p w14:paraId="29ACFCBA" w14:textId="4BF85920" w:rsidR="001C0402" w:rsidRPr="001C0402" w:rsidRDefault="001C0402" w:rsidP="00F86E09">
      <w:pPr>
        <w:pStyle w:val="Olivier1"/>
        <w:widowControl w:val="0"/>
        <w:spacing w:line="240" w:lineRule="auto"/>
      </w:pPr>
      <w:r>
        <w:t>Brunnermeier</w:t>
      </w:r>
      <w:r w:rsidR="009A0847">
        <w:t xml:space="preserve"> </w:t>
      </w:r>
      <w:r w:rsidRPr="001C0402">
        <w:t>M.</w:t>
      </w:r>
      <w:r w:rsidR="009A0847">
        <w:t xml:space="preserve"> </w:t>
      </w:r>
      <w:r>
        <w:t>(</w:t>
      </w:r>
      <w:r w:rsidRPr="001C0402">
        <w:t>2009</w:t>
      </w:r>
      <w:r w:rsidR="00BF71B4">
        <w:t>)</w:t>
      </w:r>
      <w:r w:rsidR="009A0847">
        <w:t xml:space="preserve"> </w:t>
      </w:r>
      <w:r w:rsidRPr="001C0402">
        <w:t>“Deciphering</w:t>
      </w:r>
      <w:r w:rsidR="009A0847">
        <w:t xml:space="preserve"> </w:t>
      </w:r>
      <w:r w:rsidRPr="001C0402">
        <w:t>the</w:t>
      </w:r>
      <w:r w:rsidR="009A0847">
        <w:t xml:space="preserve"> </w:t>
      </w:r>
      <w:r w:rsidR="00A3718C">
        <w:t>l</w:t>
      </w:r>
      <w:r w:rsidRPr="001C0402">
        <w:t>iqu</w:t>
      </w:r>
      <w:r>
        <w:t>idity</w:t>
      </w:r>
      <w:r w:rsidR="009A0847">
        <w:t xml:space="preserve"> </w:t>
      </w:r>
      <w:r>
        <w:t>and</w:t>
      </w:r>
      <w:r w:rsidR="009A0847">
        <w:t xml:space="preserve"> </w:t>
      </w:r>
      <w:r w:rsidR="00A3718C">
        <w:t>c</w:t>
      </w:r>
      <w:r>
        <w:t>redit</w:t>
      </w:r>
      <w:r w:rsidR="009A0847">
        <w:t xml:space="preserve"> </w:t>
      </w:r>
      <w:r w:rsidR="00A3718C">
        <w:t>c</w:t>
      </w:r>
      <w:r>
        <w:t>runch</w:t>
      </w:r>
      <w:r w:rsidR="009A0847">
        <w:t xml:space="preserve"> </w:t>
      </w:r>
      <w:r>
        <w:t>2007–08,</w:t>
      </w:r>
      <w:r w:rsidRPr="001C0402">
        <w:t>”</w:t>
      </w:r>
      <w:r w:rsidR="009A0847">
        <w:t xml:space="preserve"> </w:t>
      </w:r>
      <w:r w:rsidRPr="00A3718C">
        <w:rPr>
          <w:i/>
        </w:rPr>
        <w:t>Journal</w:t>
      </w:r>
      <w:r w:rsidR="009A0847">
        <w:rPr>
          <w:i/>
        </w:rPr>
        <w:t xml:space="preserve"> </w:t>
      </w:r>
      <w:r w:rsidRPr="00A3718C">
        <w:rPr>
          <w:i/>
        </w:rPr>
        <w:t>of</w:t>
      </w:r>
      <w:r w:rsidR="009A0847">
        <w:rPr>
          <w:i/>
        </w:rPr>
        <w:t xml:space="preserve"> </w:t>
      </w:r>
      <w:r w:rsidRPr="00A3718C">
        <w:rPr>
          <w:i/>
        </w:rPr>
        <w:t>Economic</w:t>
      </w:r>
      <w:r w:rsidR="009A0847">
        <w:rPr>
          <w:i/>
        </w:rPr>
        <w:t xml:space="preserve"> </w:t>
      </w:r>
      <w:r w:rsidRPr="00A3718C">
        <w:rPr>
          <w:i/>
        </w:rPr>
        <w:t>Perspectives</w:t>
      </w:r>
      <w:r w:rsidRPr="001C0402">
        <w:t>,</w:t>
      </w:r>
      <w:r w:rsidR="009A0847">
        <w:t xml:space="preserve"> </w:t>
      </w:r>
      <w:r w:rsidR="00E51B12">
        <w:t>23(1),</w:t>
      </w:r>
      <w:r w:rsidR="009A0847">
        <w:t xml:space="preserve"> </w:t>
      </w:r>
      <w:r w:rsidRPr="001C0402">
        <w:t>77–100.</w:t>
      </w:r>
    </w:p>
    <w:p w14:paraId="5BBA19FD" w14:textId="78BB01D9" w:rsidR="00615D84" w:rsidRDefault="001C0402" w:rsidP="00F86E09">
      <w:pPr>
        <w:pStyle w:val="Olivier1"/>
        <w:widowControl w:val="0"/>
        <w:spacing w:line="240" w:lineRule="auto"/>
      </w:pPr>
      <w:r w:rsidRPr="001C0402">
        <w:t>Caballero</w:t>
      </w:r>
      <w:r w:rsidR="009A0847">
        <w:t xml:space="preserve"> </w:t>
      </w:r>
      <w:r w:rsidR="001B3106">
        <w:t>R.</w:t>
      </w:r>
      <w:r w:rsidR="009A0847">
        <w:t xml:space="preserve"> </w:t>
      </w:r>
      <w:r w:rsidR="00A3718C">
        <w:t>and</w:t>
      </w:r>
      <w:r w:rsidR="009A0847">
        <w:t xml:space="preserve"> </w:t>
      </w:r>
      <w:r w:rsidR="00A3718C">
        <w:t>A.</w:t>
      </w:r>
      <w:r w:rsidR="009A0847">
        <w:t xml:space="preserve"> </w:t>
      </w:r>
      <w:r w:rsidR="00A3718C">
        <w:t>Simsek</w:t>
      </w:r>
      <w:r w:rsidR="009A0847">
        <w:t xml:space="preserve"> </w:t>
      </w:r>
      <w:r w:rsidR="00A3718C">
        <w:t>(2013)</w:t>
      </w:r>
      <w:r w:rsidR="009A0847">
        <w:t xml:space="preserve"> </w:t>
      </w:r>
      <w:r w:rsidR="00A3718C">
        <w:t>“Fire</w:t>
      </w:r>
      <w:r w:rsidR="009A0847">
        <w:t xml:space="preserve"> </w:t>
      </w:r>
      <w:r w:rsidR="00A3718C">
        <w:t>sales</w:t>
      </w:r>
      <w:r w:rsidR="009A0847">
        <w:t xml:space="preserve"> </w:t>
      </w:r>
      <w:r w:rsidR="00A3718C">
        <w:t>in</w:t>
      </w:r>
      <w:r w:rsidR="009A0847">
        <w:t xml:space="preserve"> </w:t>
      </w:r>
      <w:r w:rsidR="00A3718C">
        <w:t>a</w:t>
      </w:r>
      <w:r w:rsidR="009A0847">
        <w:t xml:space="preserve"> </w:t>
      </w:r>
      <w:r w:rsidR="00A3718C">
        <w:t>model</w:t>
      </w:r>
      <w:r w:rsidR="009A0847">
        <w:t xml:space="preserve"> </w:t>
      </w:r>
      <w:r w:rsidR="00A3718C">
        <w:t>of</w:t>
      </w:r>
      <w:r w:rsidR="009A0847">
        <w:t xml:space="preserve"> </w:t>
      </w:r>
      <w:r w:rsidR="00A3718C">
        <w:t>complexity,</w:t>
      </w:r>
      <w:r w:rsidRPr="001C0402">
        <w:t>”</w:t>
      </w:r>
      <w:r w:rsidR="009A0847">
        <w:t xml:space="preserve"> </w:t>
      </w:r>
      <w:r w:rsidRPr="00A3718C">
        <w:rPr>
          <w:i/>
        </w:rPr>
        <w:t>Journal</w:t>
      </w:r>
      <w:r w:rsidR="009A0847">
        <w:rPr>
          <w:i/>
        </w:rPr>
        <w:t xml:space="preserve"> </w:t>
      </w:r>
      <w:r w:rsidRPr="00A3718C">
        <w:rPr>
          <w:i/>
        </w:rPr>
        <w:t>of</w:t>
      </w:r>
      <w:r w:rsidR="009A0847">
        <w:rPr>
          <w:i/>
        </w:rPr>
        <w:t xml:space="preserve"> </w:t>
      </w:r>
      <w:r w:rsidRPr="00A3718C">
        <w:rPr>
          <w:i/>
        </w:rPr>
        <w:t>Finance</w:t>
      </w:r>
      <w:r w:rsidR="00A3718C">
        <w:t>,</w:t>
      </w:r>
      <w:r w:rsidR="009A0847">
        <w:t xml:space="preserve"> </w:t>
      </w:r>
      <w:r w:rsidR="00A3718C">
        <w:t>68(6),</w:t>
      </w:r>
      <w:r w:rsidR="009A0847">
        <w:t xml:space="preserve"> </w:t>
      </w:r>
      <w:r w:rsidRPr="001C0402">
        <w:t>2549–87.</w:t>
      </w:r>
    </w:p>
    <w:p w14:paraId="329ABB7B" w14:textId="62E7E569" w:rsidR="005A1FE5" w:rsidRDefault="005A1FE5" w:rsidP="00F86E09">
      <w:pPr>
        <w:pStyle w:val="Olivier1"/>
        <w:widowControl w:val="0"/>
        <w:spacing w:line="240" w:lineRule="auto"/>
      </w:pPr>
      <w:r>
        <w:t>Calomaris</w:t>
      </w:r>
      <w:r w:rsidR="009A0847">
        <w:t xml:space="preserve"> </w:t>
      </w:r>
      <w:r>
        <w:t>C.,</w:t>
      </w:r>
      <w:r w:rsidR="009A0847">
        <w:t xml:space="preserve"> </w:t>
      </w:r>
      <w:r>
        <w:t>Holtz-Eakin</w:t>
      </w:r>
      <w:r w:rsidR="009A0847">
        <w:t xml:space="preserve"> </w:t>
      </w:r>
      <w:r>
        <w:t>D.,</w:t>
      </w:r>
      <w:r w:rsidR="009A0847">
        <w:t xml:space="preserve"> </w:t>
      </w:r>
      <w:r>
        <w:t>Hubbard</w:t>
      </w:r>
      <w:r w:rsidR="009A0847">
        <w:t xml:space="preserve"> </w:t>
      </w:r>
      <w:r>
        <w:t>R.,</w:t>
      </w:r>
      <w:r w:rsidR="009A0847">
        <w:t xml:space="preserve"> </w:t>
      </w:r>
      <w:r>
        <w:t>Meltzer</w:t>
      </w:r>
      <w:r w:rsidR="009A0847">
        <w:t xml:space="preserve"> </w:t>
      </w:r>
      <w:r>
        <w:t>A.</w:t>
      </w:r>
      <w:r w:rsidR="009A0847">
        <w:t xml:space="preserve"> </w:t>
      </w:r>
      <w:r>
        <w:t>and</w:t>
      </w:r>
      <w:r w:rsidR="009A0847">
        <w:t xml:space="preserve"> </w:t>
      </w:r>
      <w:r>
        <w:t>H.</w:t>
      </w:r>
      <w:r w:rsidR="009A0847">
        <w:t xml:space="preserve"> </w:t>
      </w:r>
      <w:r w:rsidR="00A3718C">
        <w:t>Scott</w:t>
      </w:r>
      <w:r w:rsidR="009A0847">
        <w:t xml:space="preserve"> </w:t>
      </w:r>
      <w:r>
        <w:t>(2017)</w:t>
      </w:r>
      <w:r w:rsidR="009A0847">
        <w:t xml:space="preserve"> </w:t>
      </w:r>
      <w:r>
        <w:t>“Establishing</w:t>
      </w:r>
      <w:r w:rsidR="009A0847">
        <w:t xml:space="preserve"> </w:t>
      </w:r>
      <w:r>
        <w:t>credible</w:t>
      </w:r>
      <w:r w:rsidR="009A0847">
        <w:t xml:space="preserve"> </w:t>
      </w:r>
      <w:r>
        <w:t>rules</w:t>
      </w:r>
      <w:r w:rsidR="009A0847">
        <w:t xml:space="preserve"> </w:t>
      </w:r>
      <w:r>
        <w:t>for</w:t>
      </w:r>
      <w:r w:rsidR="009A0847">
        <w:t xml:space="preserve"> </w:t>
      </w:r>
      <w:r w:rsidR="00A3718C">
        <w:t>F</w:t>
      </w:r>
      <w:r>
        <w:t>ed</w:t>
      </w:r>
      <w:r w:rsidR="009A0847">
        <w:t xml:space="preserve"> </w:t>
      </w:r>
      <w:r>
        <w:t>emergency</w:t>
      </w:r>
      <w:r w:rsidR="009A0847">
        <w:t xml:space="preserve"> </w:t>
      </w:r>
      <w:r>
        <w:t>lending,”</w:t>
      </w:r>
      <w:r w:rsidR="009A0847">
        <w:t xml:space="preserve"> </w:t>
      </w:r>
      <w:r w:rsidRPr="005A1FE5">
        <w:rPr>
          <w:i/>
        </w:rPr>
        <w:t>Journal</w:t>
      </w:r>
      <w:r w:rsidR="009A0847">
        <w:rPr>
          <w:i/>
        </w:rPr>
        <w:t xml:space="preserve"> </w:t>
      </w:r>
      <w:r w:rsidRPr="005A1FE5">
        <w:rPr>
          <w:i/>
        </w:rPr>
        <w:t>of</w:t>
      </w:r>
      <w:r w:rsidR="009A0847">
        <w:rPr>
          <w:i/>
        </w:rPr>
        <w:t xml:space="preserve"> </w:t>
      </w:r>
      <w:r w:rsidRPr="005A1FE5">
        <w:rPr>
          <w:i/>
        </w:rPr>
        <w:t>Financial</w:t>
      </w:r>
      <w:r w:rsidR="009A0847">
        <w:rPr>
          <w:i/>
        </w:rPr>
        <w:t xml:space="preserve"> </w:t>
      </w:r>
      <w:r w:rsidRPr="005A1FE5">
        <w:rPr>
          <w:i/>
        </w:rPr>
        <w:t>Economic</w:t>
      </w:r>
      <w:r w:rsidR="009A0847">
        <w:rPr>
          <w:i/>
        </w:rPr>
        <w:t xml:space="preserve"> </w:t>
      </w:r>
      <w:r w:rsidRPr="005A1FE5">
        <w:rPr>
          <w:i/>
        </w:rPr>
        <w:t>Policy</w:t>
      </w:r>
      <w:r>
        <w:t>,</w:t>
      </w:r>
      <w:r w:rsidR="009A0847">
        <w:t xml:space="preserve"> </w:t>
      </w:r>
      <w:r>
        <w:t>forthcoming.</w:t>
      </w:r>
    </w:p>
    <w:p w14:paraId="201F6613" w14:textId="5692BD41" w:rsidR="00792E66" w:rsidRPr="00792E66" w:rsidRDefault="001B3106" w:rsidP="00F86E09">
      <w:pPr>
        <w:pStyle w:val="Olivier1"/>
        <w:widowControl w:val="0"/>
        <w:spacing w:line="240" w:lineRule="auto"/>
        <w:rPr>
          <w:color w:val="000000" w:themeColor="text1"/>
        </w:rPr>
      </w:pPr>
      <w:r>
        <w:rPr>
          <w:rFonts w:eastAsiaTheme="minorEastAsia"/>
        </w:rPr>
        <w:t>Carlson</w:t>
      </w:r>
      <w:r w:rsidR="009A0847">
        <w:rPr>
          <w:rFonts w:eastAsiaTheme="minorEastAsia"/>
        </w:rPr>
        <w:t xml:space="preserve"> </w:t>
      </w:r>
      <w:r w:rsidR="00792E66">
        <w:rPr>
          <w:rFonts w:eastAsiaTheme="minorEastAsia"/>
        </w:rPr>
        <w:t>M.</w:t>
      </w:r>
      <w:r w:rsidR="009A0847">
        <w:rPr>
          <w:rFonts w:eastAsiaTheme="minorEastAsia"/>
        </w:rPr>
        <w:t xml:space="preserve"> </w:t>
      </w:r>
      <w:r w:rsidR="00792E66">
        <w:rPr>
          <w:rFonts w:eastAsiaTheme="minorEastAsia"/>
        </w:rPr>
        <w:t>and</w:t>
      </w:r>
      <w:r w:rsidR="009A0847">
        <w:rPr>
          <w:rFonts w:eastAsiaTheme="minorEastAsia"/>
        </w:rPr>
        <w:t xml:space="preserve"> </w:t>
      </w:r>
      <w:r w:rsidR="00792E66">
        <w:rPr>
          <w:rFonts w:eastAsiaTheme="minorEastAsia"/>
        </w:rPr>
        <w:t>J.</w:t>
      </w:r>
      <w:r w:rsidR="009A0847">
        <w:rPr>
          <w:rFonts w:eastAsiaTheme="minorEastAsia"/>
        </w:rPr>
        <w:t xml:space="preserve"> </w:t>
      </w:r>
      <w:r w:rsidR="00792E66">
        <w:rPr>
          <w:rFonts w:eastAsiaTheme="minorEastAsia"/>
        </w:rPr>
        <w:t>Rose</w:t>
      </w:r>
      <w:r w:rsidR="009A0847">
        <w:rPr>
          <w:rFonts w:eastAsiaTheme="minorEastAsia"/>
        </w:rPr>
        <w:t xml:space="preserve"> </w:t>
      </w:r>
      <w:r w:rsidR="00792E66">
        <w:rPr>
          <w:rFonts w:eastAsiaTheme="minorEastAsia"/>
        </w:rPr>
        <w:t>(2017)</w:t>
      </w:r>
      <w:r w:rsidR="009A0847">
        <w:rPr>
          <w:rFonts w:eastAsiaTheme="minorEastAsia"/>
        </w:rPr>
        <w:t xml:space="preserve"> </w:t>
      </w:r>
      <w:r w:rsidR="00792E66">
        <w:rPr>
          <w:rFonts w:eastAsiaTheme="minorEastAsia"/>
        </w:rPr>
        <w:t>“Stigma</w:t>
      </w:r>
      <w:r w:rsidR="009A0847">
        <w:rPr>
          <w:rFonts w:eastAsiaTheme="minorEastAsia"/>
        </w:rPr>
        <w:t xml:space="preserve"> </w:t>
      </w:r>
      <w:r w:rsidR="00792E66">
        <w:rPr>
          <w:rFonts w:eastAsiaTheme="minorEastAsia"/>
        </w:rPr>
        <w:t>and</w:t>
      </w:r>
      <w:r w:rsidR="009A0847">
        <w:rPr>
          <w:rFonts w:eastAsiaTheme="minorEastAsia"/>
        </w:rPr>
        <w:t xml:space="preserve"> </w:t>
      </w:r>
      <w:r w:rsidR="00792E66">
        <w:rPr>
          <w:rFonts w:eastAsiaTheme="minorEastAsia"/>
        </w:rPr>
        <w:t>the</w:t>
      </w:r>
      <w:r w:rsidR="009A0847">
        <w:rPr>
          <w:rFonts w:eastAsiaTheme="minorEastAsia"/>
        </w:rPr>
        <w:t xml:space="preserve"> </w:t>
      </w:r>
      <w:r w:rsidR="00792E66">
        <w:rPr>
          <w:rFonts w:eastAsiaTheme="minorEastAsia"/>
        </w:rPr>
        <w:t>discount</w:t>
      </w:r>
      <w:r w:rsidR="009A0847">
        <w:rPr>
          <w:rFonts w:eastAsiaTheme="minorEastAsia"/>
        </w:rPr>
        <w:t xml:space="preserve"> </w:t>
      </w:r>
      <w:r w:rsidR="00792E66">
        <w:rPr>
          <w:rFonts w:eastAsiaTheme="minorEastAsia"/>
        </w:rPr>
        <w:t>window,”</w:t>
      </w:r>
      <w:r w:rsidR="009A0847">
        <w:rPr>
          <w:rFonts w:eastAsiaTheme="minorEastAsia"/>
        </w:rPr>
        <w:t xml:space="preserve"> </w:t>
      </w:r>
      <w:r w:rsidR="00792E66" w:rsidRPr="00792E66">
        <w:rPr>
          <w:rFonts w:eastAsiaTheme="minorEastAsia"/>
          <w:i/>
        </w:rPr>
        <w:t>FEDS</w:t>
      </w:r>
      <w:r w:rsidR="009A0847">
        <w:rPr>
          <w:rFonts w:eastAsiaTheme="minorEastAsia"/>
          <w:i/>
        </w:rPr>
        <w:t xml:space="preserve"> </w:t>
      </w:r>
      <w:r w:rsidR="00792E66" w:rsidRPr="00792E66">
        <w:rPr>
          <w:rFonts w:eastAsiaTheme="minorEastAsia"/>
          <w:i/>
        </w:rPr>
        <w:t>Notes</w:t>
      </w:r>
      <w:r w:rsidR="00792E66">
        <w:rPr>
          <w:rFonts w:eastAsiaTheme="minorEastAsia"/>
        </w:rPr>
        <w:t>,</w:t>
      </w:r>
      <w:r w:rsidR="009A0847">
        <w:rPr>
          <w:rFonts w:eastAsiaTheme="minorEastAsia"/>
        </w:rPr>
        <w:t xml:space="preserve"> </w:t>
      </w:r>
      <w:r w:rsidR="00792E66">
        <w:rPr>
          <w:rFonts w:eastAsiaTheme="minorEastAsia"/>
        </w:rPr>
        <w:t>Board</w:t>
      </w:r>
      <w:r w:rsidR="009A0847">
        <w:rPr>
          <w:rFonts w:eastAsiaTheme="minorEastAsia"/>
        </w:rPr>
        <w:t xml:space="preserve"> </w:t>
      </w:r>
      <w:r w:rsidR="00792E66">
        <w:rPr>
          <w:rFonts w:eastAsiaTheme="minorEastAsia"/>
        </w:rPr>
        <w:t>of</w:t>
      </w:r>
      <w:r w:rsidR="009A0847">
        <w:rPr>
          <w:rFonts w:eastAsiaTheme="minorEastAsia"/>
        </w:rPr>
        <w:t xml:space="preserve"> </w:t>
      </w:r>
      <w:r w:rsidR="00792E66">
        <w:rPr>
          <w:rFonts w:eastAsiaTheme="minorEastAsia"/>
        </w:rPr>
        <w:t>Governors</w:t>
      </w:r>
      <w:r w:rsidR="009A0847">
        <w:rPr>
          <w:rFonts w:eastAsiaTheme="minorEastAsia"/>
        </w:rPr>
        <w:t xml:space="preserve"> </w:t>
      </w:r>
      <w:r w:rsidR="00792E66">
        <w:rPr>
          <w:rFonts w:eastAsiaTheme="minorEastAsia"/>
        </w:rPr>
        <w:t>of</w:t>
      </w:r>
      <w:r w:rsidR="009A0847">
        <w:rPr>
          <w:rFonts w:eastAsiaTheme="minorEastAsia"/>
        </w:rPr>
        <w:t xml:space="preserve"> </w:t>
      </w:r>
      <w:r w:rsidR="00792E66">
        <w:rPr>
          <w:rFonts w:eastAsiaTheme="minorEastAsia"/>
        </w:rPr>
        <w:t>the</w:t>
      </w:r>
      <w:r w:rsidR="009A0847">
        <w:rPr>
          <w:rFonts w:eastAsiaTheme="minorEastAsia"/>
        </w:rPr>
        <w:t xml:space="preserve"> </w:t>
      </w:r>
      <w:r w:rsidR="00792E66">
        <w:rPr>
          <w:rFonts w:eastAsiaTheme="minorEastAsia"/>
        </w:rPr>
        <w:t>Federal</w:t>
      </w:r>
      <w:r w:rsidR="009A0847">
        <w:rPr>
          <w:rFonts w:eastAsiaTheme="minorEastAsia"/>
        </w:rPr>
        <w:t xml:space="preserve"> </w:t>
      </w:r>
      <w:r w:rsidR="00792E66">
        <w:rPr>
          <w:rFonts w:eastAsiaTheme="minorEastAsia"/>
        </w:rPr>
        <w:t>Reserve</w:t>
      </w:r>
      <w:r w:rsidR="009A0847">
        <w:rPr>
          <w:rFonts w:eastAsiaTheme="minorEastAsia"/>
        </w:rPr>
        <w:t xml:space="preserve"> </w:t>
      </w:r>
      <w:r w:rsidR="00792E66">
        <w:rPr>
          <w:rFonts w:eastAsiaTheme="minorEastAsia"/>
        </w:rPr>
        <w:t>System.</w:t>
      </w:r>
    </w:p>
    <w:p w14:paraId="3334618F" w14:textId="1984FEA6" w:rsidR="00E22987" w:rsidRDefault="00A3718C" w:rsidP="00F86E09">
      <w:pPr>
        <w:pStyle w:val="Olivier1"/>
        <w:widowControl w:val="0"/>
        <w:spacing w:line="240" w:lineRule="auto"/>
        <w:rPr>
          <w:rFonts w:eastAsiaTheme="minorEastAsia"/>
        </w:rPr>
      </w:pPr>
      <w:r>
        <w:rPr>
          <w:rFonts w:eastAsiaTheme="minorEastAsia"/>
        </w:rPr>
        <w:t>Che</w:t>
      </w:r>
      <w:r w:rsidR="009A0847">
        <w:rPr>
          <w:rFonts w:eastAsiaTheme="minorEastAsia"/>
        </w:rPr>
        <w:t xml:space="preserve"> </w:t>
      </w:r>
      <w:r w:rsidR="00E22987">
        <w:rPr>
          <w:rFonts w:eastAsiaTheme="minorEastAsia"/>
        </w:rPr>
        <w:t>Y-K.,</w:t>
      </w:r>
      <w:r w:rsidR="009A0847">
        <w:rPr>
          <w:rFonts w:eastAsiaTheme="minorEastAsia"/>
        </w:rPr>
        <w:t xml:space="preserve"> </w:t>
      </w:r>
      <w:r w:rsidR="00E22987">
        <w:rPr>
          <w:rFonts w:eastAsiaTheme="minorEastAsia"/>
        </w:rPr>
        <w:t>Choe</w:t>
      </w:r>
      <w:r w:rsidR="009A0847">
        <w:rPr>
          <w:rFonts w:eastAsiaTheme="minorEastAsia"/>
        </w:rPr>
        <w:t xml:space="preserve"> </w:t>
      </w:r>
      <w:r w:rsidR="00E22987">
        <w:rPr>
          <w:rFonts w:eastAsiaTheme="minorEastAsia"/>
        </w:rPr>
        <w:t>C.</w:t>
      </w:r>
      <w:r w:rsidR="009A0847">
        <w:rPr>
          <w:rFonts w:eastAsiaTheme="minorEastAsia"/>
        </w:rPr>
        <w:t xml:space="preserve"> </w:t>
      </w:r>
      <w:r w:rsidR="00E22987">
        <w:rPr>
          <w:rFonts w:eastAsiaTheme="minorEastAsia"/>
        </w:rPr>
        <w:t>and</w:t>
      </w:r>
      <w:r w:rsidR="009A0847">
        <w:rPr>
          <w:rFonts w:eastAsiaTheme="minorEastAsia"/>
        </w:rPr>
        <w:t xml:space="preserve"> </w:t>
      </w:r>
      <w:r w:rsidR="00E22987">
        <w:rPr>
          <w:rFonts w:eastAsiaTheme="minorEastAsia"/>
        </w:rPr>
        <w:t>K.</w:t>
      </w:r>
      <w:r w:rsidR="009A0847">
        <w:rPr>
          <w:rFonts w:eastAsiaTheme="minorEastAsia"/>
        </w:rPr>
        <w:t xml:space="preserve"> </w:t>
      </w:r>
      <w:r w:rsidR="00E22987">
        <w:rPr>
          <w:rFonts w:eastAsiaTheme="minorEastAsia"/>
        </w:rPr>
        <w:t>Rhee</w:t>
      </w:r>
      <w:r w:rsidR="009A0847">
        <w:rPr>
          <w:rFonts w:eastAsiaTheme="minorEastAsia"/>
        </w:rPr>
        <w:t xml:space="preserve"> </w:t>
      </w:r>
      <w:r w:rsidR="00E22987">
        <w:rPr>
          <w:rFonts w:eastAsiaTheme="minorEastAsia"/>
        </w:rPr>
        <w:t>(201</w:t>
      </w:r>
      <w:r w:rsidR="009B7D2D">
        <w:rPr>
          <w:rFonts w:eastAsiaTheme="minorEastAsia"/>
        </w:rPr>
        <w:t>8</w:t>
      </w:r>
      <w:r w:rsidR="00E22987">
        <w:rPr>
          <w:rFonts w:eastAsiaTheme="minorEastAsia"/>
        </w:rPr>
        <w:t>)</w:t>
      </w:r>
      <w:r w:rsidR="009A0847">
        <w:rPr>
          <w:rFonts w:eastAsiaTheme="minorEastAsia"/>
        </w:rPr>
        <w:t xml:space="preserve"> </w:t>
      </w:r>
      <w:r w:rsidR="00E22987">
        <w:rPr>
          <w:rFonts w:eastAsiaTheme="minorEastAsia"/>
        </w:rPr>
        <w:t>“Bailout</w:t>
      </w:r>
      <w:r w:rsidR="009A0847">
        <w:rPr>
          <w:rFonts w:eastAsiaTheme="minorEastAsia"/>
        </w:rPr>
        <w:t xml:space="preserve"> </w:t>
      </w:r>
      <w:r w:rsidR="00E22987">
        <w:rPr>
          <w:rFonts w:eastAsiaTheme="minorEastAsia"/>
        </w:rPr>
        <w:t>stigma,”</w:t>
      </w:r>
      <w:r w:rsidR="009A0847">
        <w:rPr>
          <w:rFonts w:eastAsiaTheme="minorEastAsia"/>
        </w:rPr>
        <w:t xml:space="preserve"> </w:t>
      </w:r>
      <w:r w:rsidR="005B34B2">
        <w:rPr>
          <w:rFonts w:eastAsiaTheme="minorEastAsia"/>
        </w:rPr>
        <w:t>manuscript</w:t>
      </w:r>
      <w:r w:rsidR="002A5E1B">
        <w:rPr>
          <w:rFonts w:eastAsiaTheme="minorEastAsia"/>
        </w:rPr>
        <w:t>,</w:t>
      </w:r>
      <w:r w:rsidR="009A0847">
        <w:rPr>
          <w:rFonts w:eastAsiaTheme="minorEastAsia"/>
        </w:rPr>
        <w:t xml:space="preserve"> </w:t>
      </w:r>
      <w:r w:rsidR="00E22987">
        <w:rPr>
          <w:rFonts w:eastAsiaTheme="minorEastAsia"/>
        </w:rPr>
        <w:t>Columbia</w:t>
      </w:r>
      <w:r w:rsidR="009A0847">
        <w:rPr>
          <w:rFonts w:eastAsiaTheme="minorEastAsia"/>
        </w:rPr>
        <w:t xml:space="preserve"> </w:t>
      </w:r>
      <w:r w:rsidR="005B34B2">
        <w:rPr>
          <w:rFonts w:eastAsiaTheme="minorEastAsia"/>
        </w:rPr>
        <w:t>University</w:t>
      </w:r>
      <w:r w:rsidR="00E22987">
        <w:rPr>
          <w:rFonts w:eastAsiaTheme="minorEastAsia"/>
        </w:rPr>
        <w:t>.</w:t>
      </w:r>
    </w:p>
    <w:p w14:paraId="2B538B7F" w14:textId="73DCA309" w:rsidR="00B745D9" w:rsidRDefault="00B745D9" w:rsidP="00F86E09">
      <w:pPr>
        <w:pStyle w:val="Olivier1"/>
        <w:widowControl w:val="0"/>
        <w:spacing w:line="240" w:lineRule="auto"/>
      </w:pPr>
      <w:r>
        <w:rPr>
          <w:shd w:val="clear" w:color="auto" w:fill="FFFFFF"/>
        </w:rPr>
        <w:t>Crosetto</w:t>
      </w:r>
      <w:r w:rsidR="009A0847">
        <w:rPr>
          <w:shd w:val="clear" w:color="auto" w:fill="FFFFFF"/>
        </w:rPr>
        <w:t xml:space="preserve"> </w:t>
      </w:r>
      <w:r>
        <w:rPr>
          <w:shd w:val="clear" w:color="auto" w:fill="FFFFFF"/>
        </w:rPr>
        <w:t>P.</w:t>
      </w:r>
      <w:r w:rsidR="009A0847">
        <w:rPr>
          <w:shd w:val="clear" w:color="auto" w:fill="FFFFFF"/>
        </w:rPr>
        <w:t xml:space="preserve"> </w:t>
      </w:r>
      <w:r>
        <w:rPr>
          <w:shd w:val="clear" w:color="auto" w:fill="FFFFFF"/>
        </w:rPr>
        <w:t>and</w:t>
      </w:r>
      <w:r w:rsidR="009A0847">
        <w:rPr>
          <w:shd w:val="clear" w:color="auto" w:fill="FFFFFF"/>
        </w:rPr>
        <w:t xml:space="preserve"> </w:t>
      </w:r>
      <w:r>
        <w:rPr>
          <w:shd w:val="clear" w:color="auto" w:fill="FFFFFF"/>
        </w:rPr>
        <w:t>A.</w:t>
      </w:r>
      <w:r w:rsidR="009A0847">
        <w:rPr>
          <w:shd w:val="clear" w:color="auto" w:fill="FFFFFF"/>
        </w:rPr>
        <w:t xml:space="preserve"> </w:t>
      </w:r>
      <w:r>
        <w:rPr>
          <w:shd w:val="clear" w:color="auto" w:fill="FFFFFF"/>
        </w:rPr>
        <w:t>Filippin</w:t>
      </w:r>
      <w:r w:rsidR="009A0847">
        <w:rPr>
          <w:shd w:val="clear" w:color="auto" w:fill="FFFFFF"/>
        </w:rPr>
        <w:t xml:space="preserve"> </w:t>
      </w:r>
      <w:r>
        <w:rPr>
          <w:shd w:val="clear" w:color="auto" w:fill="FFFFFF"/>
        </w:rPr>
        <w:t>(2013)</w:t>
      </w:r>
      <w:r w:rsidR="009A0847">
        <w:rPr>
          <w:shd w:val="clear" w:color="auto" w:fill="FFFFFF"/>
        </w:rPr>
        <w:t xml:space="preserve"> </w:t>
      </w:r>
      <w:r>
        <w:rPr>
          <w:shd w:val="clear" w:color="auto" w:fill="FFFFFF"/>
        </w:rPr>
        <w:t>“The</w:t>
      </w:r>
      <w:r w:rsidR="009A0847">
        <w:rPr>
          <w:shd w:val="clear" w:color="auto" w:fill="FFFFFF"/>
        </w:rPr>
        <w:t xml:space="preserve"> </w:t>
      </w:r>
      <w:r>
        <w:rPr>
          <w:shd w:val="clear" w:color="auto" w:fill="FFFFFF"/>
        </w:rPr>
        <w:t>"bomb"</w:t>
      </w:r>
      <w:r w:rsidR="009A0847">
        <w:rPr>
          <w:shd w:val="clear" w:color="auto" w:fill="FFFFFF"/>
        </w:rPr>
        <w:t xml:space="preserve"> </w:t>
      </w:r>
      <w:r>
        <w:rPr>
          <w:shd w:val="clear" w:color="auto" w:fill="FFFFFF"/>
        </w:rPr>
        <w:t>risk</w:t>
      </w:r>
      <w:r w:rsidR="009A0847">
        <w:rPr>
          <w:shd w:val="clear" w:color="auto" w:fill="FFFFFF"/>
        </w:rPr>
        <w:t xml:space="preserve"> </w:t>
      </w:r>
      <w:r>
        <w:rPr>
          <w:shd w:val="clear" w:color="auto" w:fill="FFFFFF"/>
        </w:rPr>
        <w:t>elicitation</w:t>
      </w:r>
      <w:r w:rsidR="009A0847">
        <w:rPr>
          <w:shd w:val="clear" w:color="auto" w:fill="FFFFFF"/>
        </w:rPr>
        <w:t xml:space="preserve"> </w:t>
      </w:r>
      <w:r>
        <w:rPr>
          <w:shd w:val="clear" w:color="auto" w:fill="FFFFFF"/>
        </w:rPr>
        <w:t>task,”</w:t>
      </w:r>
      <w:r w:rsidR="009A0847">
        <w:rPr>
          <w:shd w:val="clear" w:color="auto" w:fill="FFFFFF"/>
        </w:rPr>
        <w:t xml:space="preserve"> </w:t>
      </w:r>
      <w:r>
        <w:rPr>
          <w:i/>
          <w:iCs/>
          <w:shd w:val="clear" w:color="auto" w:fill="FFFFFF"/>
        </w:rPr>
        <w:t>Journal</w:t>
      </w:r>
      <w:r w:rsidR="009A0847">
        <w:rPr>
          <w:i/>
          <w:iCs/>
          <w:shd w:val="clear" w:color="auto" w:fill="FFFFFF"/>
        </w:rPr>
        <w:t xml:space="preserve"> </w:t>
      </w:r>
      <w:r>
        <w:rPr>
          <w:i/>
          <w:iCs/>
          <w:shd w:val="clear" w:color="auto" w:fill="FFFFFF"/>
        </w:rPr>
        <w:t>of</w:t>
      </w:r>
      <w:r w:rsidR="009A0847">
        <w:rPr>
          <w:i/>
          <w:iCs/>
          <w:shd w:val="clear" w:color="auto" w:fill="FFFFFF"/>
        </w:rPr>
        <w:t xml:space="preserve"> </w:t>
      </w:r>
      <w:r>
        <w:rPr>
          <w:i/>
          <w:iCs/>
          <w:shd w:val="clear" w:color="auto" w:fill="FFFFFF"/>
        </w:rPr>
        <w:t>Risk</w:t>
      </w:r>
      <w:r w:rsidR="009A0847">
        <w:rPr>
          <w:i/>
          <w:iCs/>
          <w:shd w:val="clear" w:color="auto" w:fill="FFFFFF"/>
        </w:rPr>
        <w:t xml:space="preserve"> </w:t>
      </w:r>
      <w:r>
        <w:rPr>
          <w:i/>
          <w:iCs/>
          <w:shd w:val="clear" w:color="auto" w:fill="FFFFFF"/>
        </w:rPr>
        <w:t>and</w:t>
      </w:r>
      <w:r w:rsidR="009A0847">
        <w:rPr>
          <w:i/>
          <w:iCs/>
          <w:shd w:val="clear" w:color="auto" w:fill="FFFFFF"/>
        </w:rPr>
        <w:t xml:space="preserve"> </w:t>
      </w:r>
      <w:r>
        <w:rPr>
          <w:i/>
          <w:iCs/>
          <w:shd w:val="clear" w:color="auto" w:fill="FFFFFF"/>
        </w:rPr>
        <w:t>Uncertainty,</w:t>
      </w:r>
      <w:r w:rsidR="009A0847">
        <w:rPr>
          <w:shd w:val="clear" w:color="auto" w:fill="FFFFFF"/>
        </w:rPr>
        <w:t xml:space="preserve"> </w:t>
      </w:r>
      <w:r w:rsidRPr="00E51B12">
        <w:rPr>
          <w:iCs/>
          <w:shd w:val="clear" w:color="auto" w:fill="FFFFFF"/>
        </w:rPr>
        <w:t>47</w:t>
      </w:r>
      <w:r w:rsidRPr="00E51B12">
        <w:rPr>
          <w:shd w:val="clear" w:color="auto" w:fill="FFFFFF"/>
        </w:rPr>
        <w:t>(1),</w:t>
      </w:r>
      <w:r w:rsidR="009A0847">
        <w:rPr>
          <w:shd w:val="clear" w:color="auto" w:fill="FFFFFF"/>
        </w:rPr>
        <w:t xml:space="preserve"> </w:t>
      </w:r>
      <w:r>
        <w:rPr>
          <w:shd w:val="clear" w:color="auto" w:fill="FFFFFF"/>
        </w:rPr>
        <w:t>31-65.</w:t>
      </w:r>
    </w:p>
    <w:p w14:paraId="2C6D0C52" w14:textId="1D332636" w:rsidR="0026229E" w:rsidRPr="0026229E" w:rsidRDefault="0026229E" w:rsidP="00F86E09">
      <w:pPr>
        <w:pStyle w:val="Olivier1"/>
        <w:widowControl w:val="0"/>
        <w:spacing w:line="240" w:lineRule="auto"/>
        <w:rPr>
          <w:shd w:val="clear" w:color="auto" w:fill="FFFFFF"/>
        </w:rPr>
      </w:pPr>
      <w:r>
        <w:rPr>
          <w:shd w:val="clear" w:color="auto" w:fill="FFFFFF"/>
        </w:rPr>
        <w:t>Domanski</w:t>
      </w:r>
      <w:r w:rsidR="009A0847">
        <w:rPr>
          <w:shd w:val="clear" w:color="auto" w:fill="FFFFFF"/>
        </w:rPr>
        <w:t xml:space="preserve"> </w:t>
      </w:r>
      <w:r>
        <w:rPr>
          <w:shd w:val="clear" w:color="auto" w:fill="FFFFFF"/>
        </w:rPr>
        <w:t>D.</w:t>
      </w:r>
      <w:r w:rsidR="009A0847">
        <w:rPr>
          <w:shd w:val="clear" w:color="auto" w:fill="FFFFFF"/>
        </w:rPr>
        <w:t xml:space="preserve"> </w:t>
      </w:r>
      <w:r>
        <w:rPr>
          <w:shd w:val="clear" w:color="auto" w:fill="FFFFFF"/>
        </w:rPr>
        <w:t>and</w:t>
      </w:r>
      <w:r w:rsidR="009A0847">
        <w:rPr>
          <w:shd w:val="clear" w:color="auto" w:fill="FFFFFF"/>
        </w:rPr>
        <w:t xml:space="preserve"> </w:t>
      </w:r>
      <w:r>
        <w:rPr>
          <w:shd w:val="clear" w:color="auto" w:fill="FFFFFF"/>
        </w:rPr>
        <w:t>V.</w:t>
      </w:r>
      <w:r w:rsidR="009A0847">
        <w:rPr>
          <w:shd w:val="clear" w:color="auto" w:fill="FFFFFF"/>
        </w:rPr>
        <w:t xml:space="preserve"> </w:t>
      </w:r>
      <w:r>
        <w:rPr>
          <w:shd w:val="clear" w:color="auto" w:fill="FFFFFF"/>
        </w:rPr>
        <w:t>Sushko</w:t>
      </w:r>
      <w:r w:rsidR="009A0847">
        <w:rPr>
          <w:shd w:val="clear" w:color="auto" w:fill="FFFFFF"/>
        </w:rPr>
        <w:t xml:space="preserve"> </w:t>
      </w:r>
      <w:r>
        <w:rPr>
          <w:shd w:val="clear" w:color="auto" w:fill="FFFFFF"/>
        </w:rPr>
        <w:t>(2014)</w:t>
      </w:r>
      <w:r w:rsidR="009A0847">
        <w:rPr>
          <w:shd w:val="clear" w:color="auto" w:fill="FFFFFF"/>
        </w:rPr>
        <w:t xml:space="preserve"> </w:t>
      </w:r>
      <w:r>
        <w:rPr>
          <w:shd w:val="clear" w:color="auto" w:fill="FFFFFF"/>
        </w:rPr>
        <w:t>“Rethinking</w:t>
      </w:r>
      <w:r w:rsidR="009A0847">
        <w:rPr>
          <w:shd w:val="clear" w:color="auto" w:fill="FFFFFF"/>
        </w:rPr>
        <w:t xml:space="preserve"> </w:t>
      </w:r>
      <w:r>
        <w:rPr>
          <w:shd w:val="clear" w:color="auto" w:fill="FFFFFF"/>
        </w:rPr>
        <w:t>the</w:t>
      </w:r>
      <w:r w:rsidR="009A0847">
        <w:rPr>
          <w:shd w:val="clear" w:color="auto" w:fill="FFFFFF"/>
        </w:rPr>
        <w:t xml:space="preserve"> </w:t>
      </w:r>
      <w:r>
        <w:rPr>
          <w:shd w:val="clear" w:color="auto" w:fill="FFFFFF"/>
        </w:rPr>
        <w:t>lender</w:t>
      </w:r>
      <w:r w:rsidR="009A0847">
        <w:rPr>
          <w:shd w:val="clear" w:color="auto" w:fill="FFFFFF"/>
        </w:rPr>
        <w:t xml:space="preserve"> </w:t>
      </w:r>
      <w:r>
        <w:rPr>
          <w:shd w:val="clear" w:color="auto" w:fill="FFFFFF"/>
        </w:rPr>
        <w:t>of</w:t>
      </w:r>
      <w:r w:rsidR="009A0847">
        <w:rPr>
          <w:shd w:val="clear" w:color="auto" w:fill="FFFFFF"/>
        </w:rPr>
        <w:t xml:space="preserve"> </w:t>
      </w:r>
      <w:r>
        <w:rPr>
          <w:shd w:val="clear" w:color="auto" w:fill="FFFFFF"/>
        </w:rPr>
        <w:t>last</w:t>
      </w:r>
      <w:r w:rsidR="009A0847">
        <w:rPr>
          <w:shd w:val="clear" w:color="auto" w:fill="FFFFFF"/>
        </w:rPr>
        <w:t xml:space="preserve"> </w:t>
      </w:r>
      <w:r>
        <w:rPr>
          <w:shd w:val="clear" w:color="auto" w:fill="FFFFFF"/>
        </w:rPr>
        <w:t>resort:</w:t>
      </w:r>
      <w:r w:rsidR="009A0847">
        <w:rPr>
          <w:shd w:val="clear" w:color="auto" w:fill="FFFFFF"/>
        </w:rPr>
        <w:t xml:space="preserve"> </w:t>
      </w:r>
      <w:r>
        <w:rPr>
          <w:shd w:val="clear" w:color="auto" w:fill="FFFFFF"/>
        </w:rPr>
        <w:t>workshop</w:t>
      </w:r>
      <w:r w:rsidR="009A0847">
        <w:rPr>
          <w:shd w:val="clear" w:color="auto" w:fill="FFFFFF"/>
        </w:rPr>
        <w:t xml:space="preserve"> </w:t>
      </w:r>
      <w:r>
        <w:rPr>
          <w:shd w:val="clear" w:color="auto" w:fill="FFFFFF"/>
        </w:rPr>
        <w:t>summary,”</w:t>
      </w:r>
      <w:r w:rsidR="009A0847">
        <w:rPr>
          <w:shd w:val="clear" w:color="auto" w:fill="FFFFFF"/>
        </w:rPr>
        <w:t xml:space="preserve"> </w:t>
      </w:r>
      <w:r>
        <w:rPr>
          <w:shd w:val="clear" w:color="auto" w:fill="FFFFFF"/>
        </w:rPr>
        <w:t>in</w:t>
      </w:r>
      <w:r w:rsidR="009A0847">
        <w:rPr>
          <w:shd w:val="clear" w:color="auto" w:fill="FFFFFF"/>
        </w:rPr>
        <w:t xml:space="preserve"> </w:t>
      </w:r>
      <w:r w:rsidRPr="0026229E">
        <w:rPr>
          <w:i/>
          <w:shd w:val="clear" w:color="auto" w:fill="FFFFFF"/>
        </w:rPr>
        <w:t>Re-thinking</w:t>
      </w:r>
      <w:r w:rsidR="009A0847">
        <w:rPr>
          <w:i/>
          <w:shd w:val="clear" w:color="auto" w:fill="FFFFFF"/>
        </w:rPr>
        <w:t xml:space="preserve"> </w:t>
      </w:r>
      <w:r w:rsidRPr="0026229E">
        <w:rPr>
          <w:i/>
          <w:shd w:val="clear" w:color="auto" w:fill="FFFFFF"/>
        </w:rPr>
        <w:t>the</w:t>
      </w:r>
      <w:r w:rsidR="009A0847">
        <w:rPr>
          <w:i/>
          <w:shd w:val="clear" w:color="auto" w:fill="FFFFFF"/>
        </w:rPr>
        <w:t xml:space="preserve"> </w:t>
      </w:r>
      <w:r w:rsidRPr="0026229E">
        <w:rPr>
          <w:i/>
          <w:shd w:val="clear" w:color="auto" w:fill="FFFFFF"/>
        </w:rPr>
        <w:t>lender</w:t>
      </w:r>
      <w:r w:rsidR="009A0847">
        <w:rPr>
          <w:i/>
          <w:shd w:val="clear" w:color="auto" w:fill="FFFFFF"/>
        </w:rPr>
        <w:t xml:space="preserve"> </w:t>
      </w:r>
      <w:r w:rsidRPr="0026229E">
        <w:rPr>
          <w:i/>
          <w:shd w:val="clear" w:color="auto" w:fill="FFFFFF"/>
        </w:rPr>
        <w:t>of</w:t>
      </w:r>
      <w:r w:rsidR="009A0847">
        <w:rPr>
          <w:i/>
          <w:shd w:val="clear" w:color="auto" w:fill="FFFFFF"/>
        </w:rPr>
        <w:t xml:space="preserve"> </w:t>
      </w:r>
      <w:r w:rsidRPr="0026229E">
        <w:rPr>
          <w:i/>
          <w:shd w:val="clear" w:color="auto" w:fill="FFFFFF"/>
        </w:rPr>
        <w:t>last</w:t>
      </w:r>
      <w:r w:rsidR="009A0847">
        <w:rPr>
          <w:i/>
          <w:shd w:val="clear" w:color="auto" w:fill="FFFFFF"/>
        </w:rPr>
        <w:t xml:space="preserve"> </w:t>
      </w:r>
      <w:r w:rsidRPr="0026229E">
        <w:rPr>
          <w:i/>
          <w:shd w:val="clear" w:color="auto" w:fill="FFFFFF"/>
        </w:rPr>
        <w:t>resort</w:t>
      </w:r>
      <w:r>
        <w:rPr>
          <w:shd w:val="clear" w:color="auto" w:fill="FFFFFF"/>
        </w:rPr>
        <w:t>,</w:t>
      </w:r>
      <w:r w:rsidR="009A0847">
        <w:rPr>
          <w:shd w:val="clear" w:color="auto" w:fill="FFFFFF"/>
        </w:rPr>
        <w:t xml:space="preserve"> </w:t>
      </w:r>
      <w:r>
        <w:rPr>
          <w:shd w:val="clear" w:color="auto" w:fill="FFFFFF"/>
        </w:rPr>
        <w:t>Bank</w:t>
      </w:r>
      <w:r w:rsidR="009A0847">
        <w:rPr>
          <w:shd w:val="clear" w:color="auto" w:fill="FFFFFF"/>
        </w:rPr>
        <w:t xml:space="preserve"> </w:t>
      </w:r>
      <w:r>
        <w:rPr>
          <w:shd w:val="clear" w:color="auto" w:fill="FFFFFF"/>
        </w:rPr>
        <w:t>for</w:t>
      </w:r>
      <w:r w:rsidR="009A0847">
        <w:rPr>
          <w:shd w:val="clear" w:color="auto" w:fill="FFFFFF"/>
        </w:rPr>
        <w:t xml:space="preserve"> </w:t>
      </w:r>
      <w:r>
        <w:rPr>
          <w:shd w:val="clear" w:color="auto" w:fill="FFFFFF"/>
        </w:rPr>
        <w:t>International</w:t>
      </w:r>
      <w:r w:rsidR="009A0847">
        <w:rPr>
          <w:shd w:val="clear" w:color="auto" w:fill="FFFFFF"/>
        </w:rPr>
        <w:t xml:space="preserve"> </w:t>
      </w:r>
      <w:r>
        <w:rPr>
          <w:shd w:val="clear" w:color="auto" w:fill="FFFFFF"/>
        </w:rPr>
        <w:t>Settlements</w:t>
      </w:r>
      <w:r w:rsidR="009A0847">
        <w:rPr>
          <w:shd w:val="clear" w:color="auto" w:fill="FFFFFF"/>
        </w:rPr>
        <w:t xml:space="preserve"> </w:t>
      </w:r>
      <w:r>
        <w:rPr>
          <w:shd w:val="clear" w:color="auto" w:fill="FFFFFF"/>
        </w:rPr>
        <w:t>eds.,</w:t>
      </w:r>
      <w:r w:rsidR="009A0847">
        <w:rPr>
          <w:shd w:val="clear" w:color="auto" w:fill="FFFFFF"/>
        </w:rPr>
        <w:t xml:space="preserve"> </w:t>
      </w:r>
      <w:r>
        <w:rPr>
          <w:shd w:val="clear" w:color="auto" w:fill="FFFFFF"/>
        </w:rPr>
        <w:t>79,</w:t>
      </w:r>
      <w:r w:rsidR="009A0847">
        <w:rPr>
          <w:shd w:val="clear" w:color="auto" w:fill="FFFFFF"/>
        </w:rPr>
        <w:t xml:space="preserve"> </w:t>
      </w:r>
      <w:r>
        <w:rPr>
          <w:shd w:val="clear" w:color="auto" w:fill="FFFFFF"/>
        </w:rPr>
        <w:t>1-9.</w:t>
      </w:r>
    </w:p>
    <w:p w14:paraId="15B02CDE" w14:textId="22A6E3D6" w:rsidR="0026229E" w:rsidRDefault="001B3106" w:rsidP="00F86E09">
      <w:pPr>
        <w:pStyle w:val="Olivier1"/>
        <w:widowControl w:val="0"/>
        <w:spacing w:line="240" w:lineRule="auto"/>
      </w:pPr>
      <w:r>
        <w:rPr>
          <w:rFonts w:eastAsiaTheme="minorEastAsia"/>
        </w:rPr>
        <w:t>Duke</w:t>
      </w:r>
      <w:r w:rsidR="009A0847">
        <w:rPr>
          <w:rFonts w:eastAsiaTheme="minorEastAsia"/>
        </w:rPr>
        <w:t xml:space="preserve"> </w:t>
      </w:r>
      <w:r w:rsidR="0026229E">
        <w:rPr>
          <w:rFonts w:eastAsiaTheme="minorEastAsia"/>
        </w:rPr>
        <w:t>E.</w:t>
      </w:r>
      <w:r w:rsidR="009A0847">
        <w:rPr>
          <w:rFonts w:eastAsiaTheme="minorEastAsia"/>
        </w:rPr>
        <w:t xml:space="preserve"> </w:t>
      </w:r>
      <w:r w:rsidR="0026229E">
        <w:rPr>
          <w:rFonts w:eastAsiaTheme="minorEastAsia"/>
        </w:rPr>
        <w:t>(2010)</w:t>
      </w:r>
      <w:r w:rsidR="009A0847">
        <w:rPr>
          <w:rFonts w:eastAsiaTheme="minorEastAsia"/>
        </w:rPr>
        <w:t xml:space="preserve"> </w:t>
      </w:r>
      <w:r w:rsidR="0026229E">
        <w:rPr>
          <w:rFonts w:eastAsiaTheme="minorEastAsia"/>
        </w:rPr>
        <w:t>“Unusual</w:t>
      </w:r>
      <w:r w:rsidR="009A0847">
        <w:rPr>
          <w:rFonts w:eastAsiaTheme="minorEastAsia"/>
        </w:rPr>
        <w:t xml:space="preserve"> </w:t>
      </w:r>
      <w:r w:rsidR="0026229E">
        <w:rPr>
          <w:rFonts w:eastAsiaTheme="minorEastAsia"/>
        </w:rPr>
        <w:t>and</w:t>
      </w:r>
      <w:r w:rsidR="009A0847">
        <w:rPr>
          <w:rFonts w:eastAsiaTheme="minorEastAsia"/>
        </w:rPr>
        <w:t xml:space="preserve"> </w:t>
      </w:r>
      <w:r w:rsidR="00A3718C">
        <w:rPr>
          <w:rFonts w:eastAsiaTheme="minorEastAsia"/>
        </w:rPr>
        <w:t>e</w:t>
      </w:r>
      <w:r w:rsidR="0026229E">
        <w:rPr>
          <w:rFonts w:eastAsiaTheme="minorEastAsia"/>
        </w:rPr>
        <w:t>xigent:</w:t>
      </w:r>
      <w:r w:rsidR="009A0847">
        <w:rPr>
          <w:rFonts w:eastAsiaTheme="minorEastAsia"/>
        </w:rPr>
        <w:t xml:space="preserve"> </w:t>
      </w:r>
      <w:r w:rsidR="0026229E">
        <w:rPr>
          <w:rFonts w:eastAsiaTheme="minorEastAsia"/>
        </w:rPr>
        <w:t>My</w:t>
      </w:r>
      <w:r w:rsidR="009A0847">
        <w:rPr>
          <w:rFonts w:eastAsiaTheme="minorEastAsia"/>
        </w:rPr>
        <w:t xml:space="preserve"> </w:t>
      </w:r>
      <w:r w:rsidR="00A3718C">
        <w:rPr>
          <w:rFonts w:eastAsiaTheme="minorEastAsia"/>
        </w:rPr>
        <w:t>f</w:t>
      </w:r>
      <w:r w:rsidR="0026229E">
        <w:rPr>
          <w:rFonts w:eastAsiaTheme="minorEastAsia"/>
        </w:rPr>
        <w:t>irst</w:t>
      </w:r>
      <w:r w:rsidR="009A0847">
        <w:rPr>
          <w:rFonts w:eastAsiaTheme="minorEastAsia"/>
        </w:rPr>
        <w:t xml:space="preserve"> </w:t>
      </w:r>
      <w:r w:rsidR="00A3718C">
        <w:rPr>
          <w:rFonts w:eastAsiaTheme="minorEastAsia"/>
        </w:rPr>
        <w:t>y</w:t>
      </w:r>
      <w:r w:rsidR="0026229E">
        <w:rPr>
          <w:rFonts w:eastAsiaTheme="minorEastAsia"/>
        </w:rPr>
        <w:t>ear</w:t>
      </w:r>
      <w:r w:rsidR="009A0847">
        <w:rPr>
          <w:rFonts w:eastAsiaTheme="minorEastAsia"/>
        </w:rPr>
        <w:t xml:space="preserve"> </w:t>
      </w:r>
      <w:r w:rsidR="0026229E">
        <w:rPr>
          <w:rFonts w:eastAsiaTheme="minorEastAsia"/>
        </w:rPr>
        <w:t>at</w:t>
      </w:r>
      <w:r w:rsidR="009A0847">
        <w:rPr>
          <w:rFonts w:eastAsiaTheme="minorEastAsia"/>
        </w:rPr>
        <w:t xml:space="preserve"> </w:t>
      </w:r>
      <w:r w:rsidR="0026229E">
        <w:rPr>
          <w:rFonts w:eastAsiaTheme="minorEastAsia"/>
        </w:rPr>
        <w:t>the</w:t>
      </w:r>
      <w:r w:rsidR="009A0847">
        <w:rPr>
          <w:rFonts w:eastAsiaTheme="minorEastAsia"/>
        </w:rPr>
        <w:t xml:space="preserve"> </w:t>
      </w:r>
      <w:r w:rsidR="0026229E">
        <w:rPr>
          <w:rFonts w:eastAsiaTheme="minorEastAsia"/>
        </w:rPr>
        <w:t>Fed,”</w:t>
      </w:r>
      <w:r w:rsidR="009A0847">
        <w:rPr>
          <w:rFonts w:eastAsiaTheme="minorEastAsia"/>
        </w:rPr>
        <w:t xml:space="preserve"> </w:t>
      </w:r>
      <w:r w:rsidR="00A3718C">
        <w:rPr>
          <w:rFonts w:eastAsiaTheme="minorEastAsia"/>
        </w:rPr>
        <w:t>r</w:t>
      </w:r>
      <w:r w:rsidR="0026229E">
        <w:rPr>
          <w:rFonts w:eastAsiaTheme="minorEastAsia"/>
        </w:rPr>
        <w:t>emarks</w:t>
      </w:r>
      <w:r w:rsidR="009A0847">
        <w:rPr>
          <w:rFonts w:eastAsiaTheme="minorEastAsia"/>
        </w:rPr>
        <w:t xml:space="preserve"> </w:t>
      </w:r>
      <w:r w:rsidR="0026229E">
        <w:rPr>
          <w:rFonts w:eastAsiaTheme="minorEastAsia"/>
        </w:rPr>
        <w:t>made</w:t>
      </w:r>
      <w:r w:rsidR="009A0847">
        <w:rPr>
          <w:rFonts w:eastAsiaTheme="minorEastAsia"/>
        </w:rPr>
        <w:t xml:space="preserve"> </w:t>
      </w:r>
      <w:r w:rsidR="0026229E">
        <w:rPr>
          <w:rFonts w:eastAsiaTheme="minorEastAsia"/>
        </w:rPr>
        <w:t>at</w:t>
      </w:r>
      <w:r w:rsidR="009A0847">
        <w:rPr>
          <w:rFonts w:eastAsiaTheme="minorEastAsia"/>
        </w:rPr>
        <w:t xml:space="preserve"> </w:t>
      </w:r>
      <w:r w:rsidR="0026229E">
        <w:rPr>
          <w:rFonts w:eastAsiaTheme="minorEastAsia"/>
        </w:rPr>
        <w:t>the</w:t>
      </w:r>
      <w:r w:rsidR="009A0847">
        <w:rPr>
          <w:rFonts w:eastAsiaTheme="minorEastAsia"/>
        </w:rPr>
        <w:t xml:space="preserve"> </w:t>
      </w:r>
      <w:r w:rsidR="0026229E" w:rsidRPr="00A3718C">
        <w:rPr>
          <w:rFonts w:eastAsiaTheme="minorEastAsia"/>
          <w:i/>
        </w:rPr>
        <w:t>Economics</w:t>
      </w:r>
      <w:r w:rsidR="009A0847">
        <w:rPr>
          <w:rFonts w:eastAsiaTheme="minorEastAsia"/>
          <w:i/>
        </w:rPr>
        <w:t xml:space="preserve"> </w:t>
      </w:r>
      <w:r w:rsidR="0026229E" w:rsidRPr="00A3718C">
        <w:rPr>
          <w:rFonts w:eastAsiaTheme="minorEastAsia"/>
          <w:i/>
        </w:rPr>
        <w:t>Club</w:t>
      </w:r>
      <w:r w:rsidR="009A0847">
        <w:rPr>
          <w:rFonts w:eastAsiaTheme="minorEastAsia"/>
          <w:i/>
        </w:rPr>
        <w:t xml:space="preserve"> </w:t>
      </w:r>
      <w:r w:rsidR="0026229E" w:rsidRPr="00A3718C">
        <w:rPr>
          <w:rFonts w:eastAsiaTheme="minorEastAsia"/>
          <w:i/>
        </w:rPr>
        <w:t>of</w:t>
      </w:r>
      <w:r w:rsidR="009A0847">
        <w:rPr>
          <w:rFonts w:eastAsiaTheme="minorEastAsia"/>
          <w:i/>
        </w:rPr>
        <w:t xml:space="preserve"> </w:t>
      </w:r>
      <w:r w:rsidR="0026229E" w:rsidRPr="00A3718C">
        <w:rPr>
          <w:rFonts w:eastAsiaTheme="minorEastAsia"/>
          <w:i/>
        </w:rPr>
        <w:t>Hampton</w:t>
      </w:r>
      <w:r w:rsidR="009A0847">
        <w:rPr>
          <w:rFonts w:eastAsiaTheme="minorEastAsia"/>
          <w:i/>
        </w:rPr>
        <w:t xml:space="preserve"> </w:t>
      </w:r>
      <w:r w:rsidR="0026229E" w:rsidRPr="00A3718C">
        <w:rPr>
          <w:rFonts w:eastAsiaTheme="minorEastAsia"/>
          <w:i/>
        </w:rPr>
        <w:t>Roads</w:t>
      </w:r>
      <w:r w:rsidR="0026229E">
        <w:rPr>
          <w:rFonts w:eastAsiaTheme="minorEastAsia"/>
        </w:rPr>
        <w:t>,</w:t>
      </w:r>
      <w:r w:rsidR="009A0847">
        <w:rPr>
          <w:rFonts w:eastAsiaTheme="minorEastAsia"/>
        </w:rPr>
        <w:t xml:space="preserve"> </w:t>
      </w:r>
      <w:r w:rsidR="0026229E">
        <w:rPr>
          <w:rFonts w:eastAsiaTheme="minorEastAsia"/>
        </w:rPr>
        <w:t>Norfolk,</w:t>
      </w:r>
      <w:r w:rsidR="009A0847">
        <w:rPr>
          <w:rFonts w:eastAsiaTheme="minorEastAsia"/>
        </w:rPr>
        <w:t xml:space="preserve"> </w:t>
      </w:r>
      <w:r w:rsidR="0026229E">
        <w:rPr>
          <w:rFonts w:eastAsiaTheme="minorEastAsia"/>
        </w:rPr>
        <w:t>Virginia.</w:t>
      </w:r>
    </w:p>
    <w:p w14:paraId="633DB1A5" w14:textId="69002555" w:rsidR="00D64EC1" w:rsidRDefault="00D64EC1" w:rsidP="00F86E09">
      <w:pPr>
        <w:pStyle w:val="Olivier1"/>
        <w:widowControl w:val="0"/>
        <w:spacing w:line="240" w:lineRule="auto"/>
      </w:pPr>
      <w:r w:rsidRPr="00D64EC1">
        <w:t>Ennis</w:t>
      </w:r>
      <w:r w:rsidR="009A0847">
        <w:t xml:space="preserve"> </w:t>
      </w:r>
      <w:r w:rsidR="00C52B5B">
        <w:t>H.</w:t>
      </w:r>
      <w:r w:rsidR="009A0847">
        <w:t xml:space="preserve"> </w:t>
      </w:r>
      <w:r w:rsidR="00C52B5B">
        <w:t>(2016)</w:t>
      </w:r>
      <w:r w:rsidR="009A0847">
        <w:t xml:space="preserve"> </w:t>
      </w:r>
      <w:r w:rsidR="00C52B5B">
        <w:t>“</w:t>
      </w:r>
      <w:r w:rsidR="00C52B5B" w:rsidRPr="00D64EC1">
        <w:t>Models</w:t>
      </w:r>
      <w:r w:rsidR="009A0847">
        <w:t xml:space="preserve"> </w:t>
      </w:r>
      <w:r w:rsidR="00C52B5B" w:rsidRPr="00D64EC1">
        <w:t>of</w:t>
      </w:r>
      <w:r w:rsidR="009A0847">
        <w:t xml:space="preserve"> </w:t>
      </w:r>
      <w:r w:rsidR="00C52B5B" w:rsidRPr="00D64EC1">
        <w:t>Discount</w:t>
      </w:r>
      <w:r w:rsidR="009A0847">
        <w:t xml:space="preserve"> </w:t>
      </w:r>
      <w:r w:rsidR="00C52B5B" w:rsidRPr="00D64EC1">
        <w:t>Window</w:t>
      </w:r>
      <w:r w:rsidR="009A0847">
        <w:t xml:space="preserve"> </w:t>
      </w:r>
      <w:r w:rsidR="00A3718C">
        <w:t>l</w:t>
      </w:r>
      <w:r w:rsidR="00C52B5B" w:rsidRPr="00D64EC1">
        <w:t>ending:</w:t>
      </w:r>
      <w:r w:rsidR="009A0847">
        <w:t xml:space="preserve"> </w:t>
      </w:r>
      <w:r w:rsidR="00C52B5B" w:rsidRPr="00D64EC1">
        <w:t>A</w:t>
      </w:r>
      <w:r w:rsidR="009A0847">
        <w:t xml:space="preserve"> </w:t>
      </w:r>
      <w:r w:rsidR="00A3718C">
        <w:t>r</w:t>
      </w:r>
      <w:r w:rsidR="00C52B5B" w:rsidRPr="00D64EC1">
        <w:t>eview</w:t>
      </w:r>
      <w:r w:rsidR="00C52B5B">
        <w:t>,”</w:t>
      </w:r>
      <w:r w:rsidR="009A0847">
        <w:t xml:space="preserve"> </w:t>
      </w:r>
      <w:r w:rsidR="00C52B5B" w:rsidRPr="00C52B5B">
        <w:rPr>
          <w:i/>
        </w:rPr>
        <w:t>Economic</w:t>
      </w:r>
      <w:r w:rsidR="009A0847">
        <w:rPr>
          <w:i/>
        </w:rPr>
        <w:t xml:space="preserve"> </w:t>
      </w:r>
      <w:r w:rsidR="00C52B5B" w:rsidRPr="00C52B5B">
        <w:rPr>
          <w:i/>
        </w:rPr>
        <w:t>Quarterly</w:t>
      </w:r>
      <w:r w:rsidR="00C52B5B">
        <w:t>,</w:t>
      </w:r>
      <w:r w:rsidR="009A0847">
        <w:t xml:space="preserve"> </w:t>
      </w:r>
      <w:r w:rsidR="00C52B5B">
        <w:t>1</w:t>
      </w:r>
      <w:r w:rsidR="00C52B5B" w:rsidRPr="00D64EC1">
        <w:t>02</w:t>
      </w:r>
      <w:r w:rsidR="00E51B12">
        <w:t>(1)</w:t>
      </w:r>
      <w:r w:rsidR="00C52B5B">
        <w:t>.</w:t>
      </w:r>
    </w:p>
    <w:p w14:paraId="1BA1BD19" w14:textId="53E56EEA" w:rsidR="00E22987" w:rsidRPr="00C52B5B" w:rsidRDefault="00E22987" w:rsidP="00F86E09">
      <w:pPr>
        <w:pStyle w:val="Olivier1"/>
        <w:widowControl w:val="0"/>
        <w:spacing w:line="240" w:lineRule="auto"/>
      </w:pPr>
      <w:r w:rsidRPr="00D64EC1">
        <w:t>Ennis</w:t>
      </w:r>
      <w:r w:rsidR="009A0847">
        <w:t xml:space="preserve"> </w:t>
      </w:r>
      <w:r>
        <w:t>H.</w:t>
      </w:r>
      <w:r w:rsidR="009A0847">
        <w:t xml:space="preserve"> </w:t>
      </w:r>
      <w:r>
        <w:t>(2017)</w:t>
      </w:r>
      <w:r w:rsidR="009A0847">
        <w:t xml:space="preserve"> </w:t>
      </w:r>
      <w:r>
        <w:t>“Interventions</w:t>
      </w:r>
      <w:r w:rsidR="009A0847">
        <w:t xml:space="preserve"> </w:t>
      </w:r>
      <w:r>
        <w:t>in</w:t>
      </w:r>
      <w:r w:rsidR="009A0847">
        <w:t xml:space="preserve"> </w:t>
      </w:r>
      <w:r>
        <w:t>markets</w:t>
      </w:r>
      <w:r w:rsidR="009A0847">
        <w:t xml:space="preserve"> </w:t>
      </w:r>
      <w:r>
        <w:t>with</w:t>
      </w:r>
      <w:r w:rsidR="009A0847">
        <w:t xml:space="preserve"> </w:t>
      </w:r>
      <w:r>
        <w:t>adverse</w:t>
      </w:r>
      <w:r w:rsidR="009A0847">
        <w:t xml:space="preserve"> </w:t>
      </w:r>
      <w:r>
        <w:t>selection:</w:t>
      </w:r>
      <w:r w:rsidR="009A0847">
        <w:t xml:space="preserve"> </w:t>
      </w:r>
      <w:r>
        <w:t>Implications</w:t>
      </w:r>
      <w:r w:rsidR="009A0847">
        <w:t xml:space="preserve"> </w:t>
      </w:r>
      <w:r>
        <w:t>for</w:t>
      </w:r>
      <w:r w:rsidR="009A0847">
        <w:t xml:space="preserve"> </w:t>
      </w:r>
      <w:r>
        <w:t>discount</w:t>
      </w:r>
      <w:r w:rsidR="009A0847">
        <w:t xml:space="preserve"> </w:t>
      </w:r>
      <w:r>
        <w:t>window</w:t>
      </w:r>
      <w:r w:rsidR="009A0847">
        <w:t xml:space="preserve"> </w:t>
      </w:r>
      <w:r>
        <w:t>stigma</w:t>
      </w:r>
      <w:r w:rsidR="00F14286">
        <w:t>,”</w:t>
      </w:r>
      <w:r w:rsidR="009A0847">
        <w:rPr>
          <w:rFonts w:ascii="Cambria Math" w:hAnsi="Cambria Math" w:cs="Cambria Math"/>
        </w:rPr>
        <w:t xml:space="preserve"> </w:t>
      </w:r>
      <w:r w:rsidRPr="00E22987">
        <w:t>FRB</w:t>
      </w:r>
      <w:r w:rsidR="009A0847">
        <w:t xml:space="preserve"> </w:t>
      </w:r>
      <w:r w:rsidRPr="00E22987">
        <w:t>Richmond</w:t>
      </w:r>
      <w:r w:rsidR="009A0847">
        <w:t xml:space="preserve"> </w:t>
      </w:r>
      <w:r w:rsidRPr="00E22987">
        <w:t>Working</w:t>
      </w:r>
      <w:r w:rsidR="009A0847">
        <w:t xml:space="preserve"> </w:t>
      </w:r>
      <w:r w:rsidRPr="00E22987">
        <w:t>Paper</w:t>
      </w:r>
      <w:r w:rsidR="009A0847">
        <w:t xml:space="preserve"> </w:t>
      </w:r>
      <w:r w:rsidRPr="00E22987">
        <w:t>No.</w:t>
      </w:r>
      <w:r w:rsidR="009A0847">
        <w:t xml:space="preserve"> </w:t>
      </w:r>
      <w:r w:rsidRPr="00E22987">
        <w:t>17-1.</w:t>
      </w:r>
      <w:r w:rsidR="009A0847">
        <w:t xml:space="preserve"> </w:t>
      </w:r>
    </w:p>
    <w:p w14:paraId="43BE58CD" w14:textId="002A875A" w:rsidR="00615D84" w:rsidRDefault="00615D84" w:rsidP="00F86E09">
      <w:pPr>
        <w:pStyle w:val="Olivier1"/>
        <w:widowControl w:val="0"/>
        <w:spacing w:line="240" w:lineRule="auto"/>
      </w:pPr>
      <w:r w:rsidRPr="001C0402">
        <w:t>Ennis</w:t>
      </w:r>
      <w:r w:rsidR="009A0847">
        <w:t xml:space="preserve"> </w:t>
      </w:r>
      <w:r w:rsidRPr="001C0402">
        <w:t>H.</w:t>
      </w:r>
      <w:r w:rsidR="009A0847">
        <w:t xml:space="preserve"> </w:t>
      </w:r>
      <w:r w:rsidRPr="001C0402">
        <w:t>and</w:t>
      </w:r>
      <w:r w:rsidR="009A0847">
        <w:t xml:space="preserve"> </w:t>
      </w:r>
      <w:r w:rsidRPr="001C0402">
        <w:t>J.</w:t>
      </w:r>
      <w:r w:rsidR="009A0847">
        <w:t xml:space="preserve"> </w:t>
      </w:r>
      <w:r w:rsidRPr="001C0402">
        <w:t>Weinberg</w:t>
      </w:r>
      <w:r w:rsidR="009A0847">
        <w:t xml:space="preserve"> </w:t>
      </w:r>
      <w:r w:rsidRPr="001C0402">
        <w:t>(2013)</w:t>
      </w:r>
      <w:r w:rsidR="009A0847">
        <w:t xml:space="preserve"> </w:t>
      </w:r>
      <w:r w:rsidRPr="001C0402">
        <w:t>“Over-the-counter</w:t>
      </w:r>
      <w:r w:rsidR="009A0847">
        <w:t xml:space="preserve"> </w:t>
      </w:r>
      <w:r w:rsidRPr="001C0402">
        <w:t>loans,</w:t>
      </w:r>
      <w:r w:rsidR="009A0847">
        <w:t xml:space="preserve"> </w:t>
      </w:r>
      <w:r w:rsidRPr="001C0402">
        <w:t>adverse</w:t>
      </w:r>
      <w:r w:rsidR="009A0847">
        <w:t xml:space="preserve"> </w:t>
      </w:r>
      <w:r w:rsidRPr="001C0402">
        <w:t>selection,</w:t>
      </w:r>
      <w:r w:rsidR="009A0847">
        <w:t xml:space="preserve"> </w:t>
      </w:r>
      <w:r w:rsidRPr="001C0402">
        <w:t>and</w:t>
      </w:r>
      <w:r w:rsidR="009A0847">
        <w:t xml:space="preserve"> </w:t>
      </w:r>
      <w:r w:rsidRPr="001C0402">
        <w:t>stigma</w:t>
      </w:r>
      <w:r w:rsidR="009A0847">
        <w:t xml:space="preserve"> </w:t>
      </w:r>
      <w:r w:rsidRPr="001C0402">
        <w:t>in</w:t>
      </w:r>
      <w:r w:rsidR="009A0847">
        <w:t xml:space="preserve"> </w:t>
      </w:r>
      <w:r w:rsidRPr="001C0402">
        <w:t>the</w:t>
      </w:r>
      <w:r w:rsidR="009A0847">
        <w:t xml:space="preserve"> </w:t>
      </w:r>
      <w:r w:rsidRPr="001C0402">
        <w:t>interbank</w:t>
      </w:r>
      <w:r w:rsidR="009A0847">
        <w:t xml:space="preserve"> </w:t>
      </w:r>
      <w:r w:rsidRPr="001C0402">
        <w:t>market,”</w:t>
      </w:r>
      <w:r w:rsidR="009A0847">
        <w:t xml:space="preserve"> </w:t>
      </w:r>
      <w:r w:rsidRPr="00A3718C">
        <w:rPr>
          <w:i/>
        </w:rPr>
        <w:t>Review</w:t>
      </w:r>
      <w:r w:rsidR="009A0847">
        <w:rPr>
          <w:i/>
        </w:rPr>
        <w:t xml:space="preserve"> </w:t>
      </w:r>
      <w:r w:rsidRPr="00A3718C">
        <w:rPr>
          <w:i/>
        </w:rPr>
        <w:t>of</w:t>
      </w:r>
      <w:r w:rsidR="009A0847">
        <w:rPr>
          <w:i/>
        </w:rPr>
        <w:t xml:space="preserve"> </w:t>
      </w:r>
      <w:r w:rsidRPr="00A3718C">
        <w:rPr>
          <w:i/>
        </w:rPr>
        <w:t>Economic</w:t>
      </w:r>
      <w:r w:rsidR="009A0847">
        <w:rPr>
          <w:i/>
        </w:rPr>
        <w:t xml:space="preserve"> </w:t>
      </w:r>
      <w:r w:rsidRPr="00A3718C">
        <w:rPr>
          <w:i/>
        </w:rPr>
        <w:t>Dynamics</w:t>
      </w:r>
      <w:r w:rsidRPr="001C0402">
        <w:t>,</w:t>
      </w:r>
      <w:r w:rsidR="009A0847">
        <w:t xml:space="preserve"> </w:t>
      </w:r>
      <w:r w:rsidRPr="001C0402">
        <w:t>16(4),</w:t>
      </w:r>
      <w:r w:rsidR="009A0847">
        <w:t xml:space="preserve"> </w:t>
      </w:r>
      <w:r w:rsidRPr="001C0402">
        <w:t>601–616.</w:t>
      </w:r>
    </w:p>
    <w:p w14:paraId="789061B9" w14:textId="48AEC2D5" w:rsidR="00C019BB" w:rsidRDefault="001B3106" w:rsidP="00F86E09">
      <w:pPr>
        <w:pStyle w:val="Olivier1"/>
        <w:widowControl w:val="0"/>
        <w:spacing w:line="240" w:lineRule="auto"/>
      </w:pPr>
      <w:r>
        <w:t>Fisher</w:t>
      </w:r>
      <w:r w:rsidR="009A0847">
        <w:t xml:space="preserve"> </w:t>
      </w:r>
      <w:r w:rsidR="00C019BB">
        <w:t>S.</w:t>
      </w:r>
      <w:r w:rsidR="009A0847">
        <w:t xml:space="preserve"> </w:t>
      </w:r>
      <w:r w:rsidR="00C019BB">
        <w:t>(2016)</w:t>
      </w:r>
      <w:r w:rsidR="009A0847">
        <w:t xml:space="preserve"> </w:t>
      </w:r>
      <w:r w:rsidR="00C019BB">
        <w:t>“</w:t>
      </w:r>
      <w:r w:rsidR="00A3718C">
        <w:t>The</w:t>
      </w:r>
      <w:r w:rsidR="009A0847">
        <w:t xml:space="preserve"> </w:t>
      </w:r>
      <w:r w:rsidR="00A3718C">
        <w:t>lender</w:t>
      </w:r>
      <w:r w:rsidR="009A0847">
        <w:t xml:space="preserve"> </w:t>
      </w:r>
      <w:r w:rsidR="00A3718C">
        <w:t>of</w:t>
      </w:r>
      <w:r w:rsidR="009A0847">
        <w:t xml:space="preserve"> </w:t>
      </w:r>
      <w:r w:rsidR="00A3718C">
        <w:t>last</w:t>
      </w:r>
      <w:r w:rsidR="009A0847">
        <w:t xml:space="preserve"> </w:t>
      </w:r>
      <w:r w:rsidR="00A3718C">
        <w:t>resort</w:t>
      </w:r>
      <w:r w:rsidR="009A0847">
        <w:t xml:space="preserve"> </w:t>
      </w:r>
      <w:r w:rsidR="00A3718C">
        <w:t>f</w:t>
      </w:r>
      <w:r w:rsidR="00C019BB" w:rsidRPr="00C019BB">
        <w:t>unction</w:t>
      </w:r>
      <w:r w:rsidR="009A0847">
        <w:t xml:space="preserve"> </w:t>
      </w:r>
      <w:r w:rsidR="00C019BB" w:rsidRPr="00C019BB">
        <w:t>in</w:t>
      </w:r>
      <w:r w:rsidR="009A0847">
        <w:t xml:space="preserve"> </w:t>
      </w:r>
      <w:r w:rsidR="00C019BB" w:rsidRPr="00C019BB">
        <w:t>the</w:t>
      </w:r>
      <w:r w:rsidR="009A0847">
        <w:t xml:space="preserve"> </w:t>
      </w:r>
      <w:r w:rsidR="00C019BB" w:rsidRPr="00C019BB">
        <w:t>United</w:t>
      </w:r>
      <w:r w:rsidR="009A0847">
        <w:t xml:space="preserve"> </w:t>
      </w:r>
      <w:r w:rsidR="00C019BB" w:rsidRPr="00C019BB">
        <w:t>States</w:t>
      </w:r>
      <w:r w:rsidR="00C019BB">
        <w:t>,”</w:t>
      </w:r>
      <w:r w:rsidR="009A0847">
        <w:t xml:space="preserve"> </w:t>
      </w:r>
      <w:r w:rsidR="00C019BB">
        <w:t>speech</w:t>
      </w:r>
      <w:r w:rsidR="009A0847">
        <w:t xml:space="preserve"> </w:t>
      </w:r>
      <w:r w:rsidR="00C019BB">
        <w:t>given</w:t>
      </w:r>
      <w:r w:rsidR="009A0847">
        <w:t xml:space="preserve"> </w:t>
      </w:r>
      <w:r w:rsidR="00C019BB">
        <w:t>at</w:t>
      </w:r>
      <w:r w:rsidR="009A0847">
        <w:t xml:space="preserve"> </w:t>
      </w:r>
      <w:r w:rsidR="00C019BB">
        <w:t>“</w:t>
      </w:r>
      <w:r w:rsidR="00C019BB" w:rsidRPr="00C019BB">
        <w:t>The</w:t>
      </w:r>
      <w:r w:rsidR="009A0847">
        <w:t xml:space="preserve"> </w:t>
      </w:r>
      <w:r w:rsidR="00C019BB" w:rsidRPr="00C019BB">
        <w:t>Lender</w:t>
      </w:r>
      <w:r w:rsidR="009A0847">
        <w:t xml:space="preserve"> </w:t>
      </w:r>
      <w:r w:rsidR="00C019BB" w:rsidRPr="00C019BB">
        <w:t>of</w:t>
      </w:r>
      <w:r w:rsidR="009A0847">
        <w:t xml:space="preserve"> </w:t>
      </w:r>
      <w:r w:rsidR="00C019BB" w:rsidRPr="00C019BB">
        <w:t>Last</w:t>
      </w:r>
      <w:r w:rsidR="009A0847">
        <w:t xml:space="preserve"> </w:t>
      </w:r>
      <w:r w:rsidR="00C019BB" w:rsidRPr="00C019BB">
        <w:t>Resort:</w:t>
      </w:r>
      <w:r w:rsidR="009A0847">
        <w:t xml:space="preserve"> </w:t>
      </w:r>
      <w:r w:rsidR="00C019BB">
        <w:t>An</w:t>
      </w:r>
      <w:r w:rsidR="009A0847">
        <w:t xml:space="preserve"> </w:t>
      </w:r>
      <w:r w:rsidR="00C019BB">
        <w:t>International</w:t>
      </w:r>
      <w:r w:rsidR="009A0847">
        <w:t xml:space="preserve"> </w:t>
      </w:r>
      <w:r w:rsidR="00C019BB">
        <w:t>Perspective”</w:t>
      </w:r>
      <w:r w:rsidR="009A0847">
        <w:t xml:space="preserve"> </w:t>
      </w:r>
      <w:r w:rsidR="00C019BB" w:rsidRPr="00C019BB">
        <w:t>conference</w:t>
      </w:r>
      <w:r w:rsidR="00A3718C">
        <w:t>,</w:t>
      </w:r>
      <w:r w:rsidR="009A0847">
        <w:t xml:space="preserve"> </w:t>
      </w:r>
      <w:r w:rsidR="00A3718C">
        <w:t>Washington,</w:t>
      </w:r>
      <w:r w:rsidR="009A0847">
        <w:t xml:space="preserve"> </w:t>
      </w:r>
      <w:r w:rsidR="00E51B12">
        <w:t>D.C.</w:t>
      </w:r>
    </w:p>
    <w:p w14:paraId="181B495D" w14:textId="0EAB93D3" w:rsidR="00D64EC1" w:rsidRPr="00C52B5B" w:rsidRDefault="00D64EC1" w:rsidP="00F86E09">
      <w:pPr>
        <w:pStyle w:val="Olivier1"/>
        <w:widowControl w:val="0"/>
        <w:spacing w:line="240" w:lineRule="auto"/>
      </w:pPr>
      <w:r>
        <w:t>Freixas</w:t>
      </w:r>
      <w:r w:rsidR="009A0847">
        <w:t xml:space="preserve"> </w:t>
      </w:r>
      <w:r w:rsidRPr="00D64EC1">
        <w:t>X</w:t>
      </w:r>
      <w:r>
        <w:t>.</w:t>
      </w:r>
      <w:r w:rsidRPr="00D64EC1">
        <w:t>,</w:t>
      </w:r>
      <w:r w:rsidR="009A0847">
        <w:t xml:space="preserve"> </w:t>
      </w:r>
      <w:r w:rsidRPr="00D64EC1">
        <w:t>Rochet</w:t>
      </w:r>
      <w:r w:rsidR="009A0847">
        <w:t xml:space="preserve"> </w:t>
      </w:r>
      <w:r w:rsidRPr="00D64EC1">
        <w:t>J-C</w:t>
      </w:r>
      <w:r w:rsidR="00A3718C">
        <w:t>.</w:t>
      </w:r>
      <w:r w:rsidR="009A0847">
        <w:t xml:space="preserve"> </w:t>
      </w:r>
      <w:r w:rsidRPr="00D64EC1">
        <w:t>and</w:t>
      </w:r>
      <w:r w:rsidR="009A0847">
        <w:t xml:space="preserve"> </w:t>
      </w:r>
      <w:r w:rsidRPr="00D64EC1">
        <w:t>B</w:t>
      </w:r>
      <w:r>
        <w:t>.</w:t>
      </w:r>
      <w:r w:rsidR="009A0847">
        <w:t xml:space="preserve"> </w:t>
      </w:r>
      <w:r>
        <w:t>Parigi</w:t>
      </w:r>
      <w:r w:rsidR="009A0847">
        <w:t xml:space="preserve"> </w:t>
      </w:r>
      <w:r>
        <w:t>(2004)</w:t>
      </w:r>
      <w:r w:rsidR="009A0847">
        <w:t xml:space="preserve"> </w:t>
      </w:r>
      <w:r w:rsidRPr="00D64EC1">
        <w:t>“The</w:t>
      </w:r>
      <w:r w:rsidR="009A0847">
        <w:t xml:space="preserve"> </w:t>
      </w:r>
      <w:r w:rsidRPr="00D64EC1">
        <w:t>lender</w:t>
      </w:r>
      <w:r w:rsidR="009A0847">
        <w:t xml:space="preserve"> </w:t>
      </w:r>
      <w:r w:rsidRPr="00D64EC1">
        <w:t>of</w:t>
      </w:r>
      <w:r w:rsidR="009A0847">
        <w:t xml:space="preserve"> </w:t>
      </w:r>
      <w:r w:rsidRPr="00D64EC1">
        <w:t>last</w:t>
      </w:r>
      <w:r w:rsidR="009A0847">
        <w:t xml:space="preserve"> </w:t>
      </w:r>
      <w:r w:rsidRPr="00D64EC1">
        <w:t>resort:</w:t>
      </w:r>
      <w:r w:rsidR="009A0847">
        <w:t xml:space="preserve"> </w:t>
      </w:r>
      <w:r w:rsidRPr="00D64EC1">
        <w:t>a</w:t>
      </w:r>
      <w:r w:rsidR="009A0847">
        <w:t xml:space="preserve"> </w:t>
      </w:r>
      <w:r w:rsidRPr="00D64EC1">
        <w:t>twenty-first</w:t>
      </w:r>
      <w:r w:rsidR="009A0847">
        <w:t xml:space="preserve"> </w:t>
      </w:r>
      <w:r w:rsidRPr="00D64EC1">
        <w:t>century</w:t>
      </w:r>
      <w:r w:rsidR="009A0847">
        <w:t xml:space="preserve"> </w:t>
      </w:r>
      <w:r w:rsidRPr="00D64EC1">
        <w:t>approach</w:t>
      </w:r>
      <w:r>
        <w:t>,</w:t>
      </w:r>
      <w:r w:rsidRPr="00D64EC1">
        <w:t>”</w:t>
      </w:r>
      <w:r w:rsidR="009A0847">
        <w:t xml:space="preserve"> </w:t>
      </w:r>
      <w:r w:rsidRPr="00D64EC1">
        <w:rPr>
          <w:i/>
        </w:rPr>
        <w:t>Journal</w:t>
      </w:r>
      <w:r w:rsidR="009A0847">
        <w:rPr>
          <w:i/>
        </w:rPr>
        <w:t xml:space="preserve"> </w:t>
      </w:r>
      <w:r w:rsidRPr="00D64EC1">
        <w:rPr>
          <w:i/>
        </w:rPr>
        <w:t>of</w:t>
      </w:r>
      <w:r w:rsidR="009A0847">
        <w:rPr>
          <w:i/>
        </w:rPr>
        <w:t xml:space="preserve"> </w:t>
      </w:r>
      <w:r w:rsidRPr="00D64EC1">
        <w:rPr>
          <w:i/>
        </w:rPr>
        <w:t>the</w:t>
      </w:r>
      <w:r w:rsidR="009A0847">
        <w:rPr>
          <w:i/>
        </w:rPr>
        <w:t xml:space="preserve"> </w:t>
      </w:r>
      <w:r w:rsidRPr="00D64EC1">
        <w:rPr>
          <w:i/>
        </w:rPr>
        <w:t>European</w:t>
      </w:r>
      <w:r w:rsidR="009A0847">
        <w:rPr>
          <w:i/>
        </w:rPr>
        <w:t xml:space="preserve"> </w:t>
      </w:r>
      <w:r w:rsidRPr="00D64EC1">
        <w:rPr>
          <w:i/>
        </w:rPr>
        <w:t>Economic</w:t>
      </w:r>
      <w:r w:rsidR="009A0847">
        <w:rPr>
          <w:i/>
        </w:rPr>
        <w:t xml:space="preserve"> </w:t>
      </w:r>
      <w:r w:rsidRPr="00D64EC1">
        <w:rPr>
          <w:i/>
        </w:rPr>
        <w:t>Association</w:t>
      </w:r>
      <w:r w:rsidRPr="00D64EC1">
        <w:t>,</w:t>
      </w:r>
      <w:r w:rsidR="009A0847">
        <w:t xml:space="preserve"> </w:t>
      </w:r>
      <w:r w:rsidRPr="00D64EC1">
        <w:t>2</w:t>
      </w:r>
      <w:r>
        <w:t>(</w:t>
      </w:r>
      <w:r w:rsidRPr="00D64EC1">
        <w:t>6</w:t>
      </w:r>
      <w:r>
        <w:t>),</w:t>
      </w:r>
      <w:r w:rsidR="009A0847">
        <w:t xml:space="preserve"> </w:t>
      </w:r>
      <w:r w:rsidRPr="00D64EC1">
        <w:t>1085–115.</w:t>
      </w:r>
    </w:p>
    <w:p w14:paraId="33A44391" w14:textId="4CF6A918" w:rsidR="00D64EC1" w:rsidRDefault="001C0402" w:rsidP="00F86E09">
      <w:pPr>
        <w:pStyle w:val="Olivier1"/>
        <w:widowControl w:val="0"/>
        <w:spacing w:line="240" w:lineRule="auto"/>
      </w:pPr>
      <w:r>
        <w:t>Gale</w:t>
      </w:r>
      <w:r w:rsidR="009A0847">
        <w:t xml:space="preserve"> </w:t>
      </w:r>
      <w:r>
        <w:t>D.</w:t>
      </w:r>
      <w:r w:rsidR="009A0847">
        <w:t xml:space="preserve"> </w:t>
      </w:r>
      <w:r>
        <w:t>and</w:t>
      </w:r>
      <w:r w:rsidR="009A0847">
        <w:t xml:space="preserve"> </w:t>
      </w:r>
      <w:r>
        <w:t>T.</w:t>
      </w:r>
      <w:r w:rsidR="009A0847">
        <w:t xml:space="preserve"> </w:t>
      </w:r>
      <w:r w:rsidRPr="001C0402">
        <w:t>Yorulmazer</w:t>
      </w:r>
      <w:r w:rsidR="009A0847">
        <w:t xml:space="preserve"> </w:t>
      </w:r>
      <w:r>
        <w:t>(2013)</w:t>
      </w:r>
      <w:r w:rsidR="009A0847">
        <w:t xml:space="preserve"> </w:t>
      </w:r>
      <w:r>
        <w:t>“Liquidity</w:t>
      </w:r>
      <w:r w:rsidR="009A0847">
        <w:t xml:space="preserve"> </w:t>
      </w:r>
      <w:r>
        <w:t>hoarding,”</w:t>
      </w:r>
      <w:r w:rsidR="009A0847">
        <w:t xml:space="preserve"> </w:t>
      </w:r>
      <w:r w:rsidRPr="001C0402">
        <w:rPr>
          <w:i/>
        </w:rPr>
        <w:t>Theoretical</w:t>
      </w:r>
      <w:r w:rsidR="009A0847">
        <w:rPr>
          <w:i/>
        </w:rPr>
        <w:t xml:space="preserve"> </w:t>
      </w:r>
      <w:r w:rsidRPr="001C0402">
        <w:rPr>
          <w:i/>
        </w:rPr>
        <w:t>Economics</w:t>
      </w:r>
      <w:r w:rsidRPr="001C0402">
        <w:t>,</w:t>
      </w:r>
      <w:r w:rsidR="009A0847">
        <w:t xml:space="preserve"> </w:t>
      </w:r>
      <w:r w:rsidRPr="001C0402">
        <w:t>8(2),</w:t>
      </w:r>
      <w:r w:rsidR="009A0847">
        <w:t xml:space="preserve"> </w:t>
      </w:r>
      <w:r w:rsidRPr="001C0402">
        <w:t>291-324.</w:t>
      </w:r>
      <w:r w:rsidR="009A0847">
        <w:t xml:space="preserve"> </w:t>
      </w:r>
    </w:p>
    <w:p w14:paraId="60D87EAE" w14:textId="3871A68E" w:rsidR="00C019BB" w:rsidRDefault="00C019BB" w:rsidP="00F86E09">
      <w:pPr>
        <w:pStyle w:val="Olivier1"/>
        <w:widowControl w:val="0"/>
        <w:spacing w:line="240" w:lineRule="auto"/>
      </w:pPr>
      <w:r>
        <w:t>G</w:t>
      </w:r>
      <w:r w:rsidR="001B3106">
        <w:t>eithner</w:t>
      </w:r>
      <w:r w:rsidR="009A0847">
        <w:t xml:space="preserve"> </w:t>
      </w:r>
      <w:r w:rsidR="00A3718C">
        <w:t>T.</w:t>
      </w:r>
      <w:r w:rsidR="009A0847">
        <w:t xml:space="preserve"> </w:t>
      </w:r>
      <w:r w:rsidR="00A3718C">
        <w:t>(2014)</w:t>
      </w:r>
      <w:r w:rsidR="009A0847">
        <w:t xml:space="preserve"> </w:t>
      </w:r>
      <w:r w:rsidRPr="00A3718C">
        <w:rPr>
          <w:i/>
        </w:rPr>
        <w:t>Stress</w:t>
      </w:r>
      <w:r w:rsidR="009A0847">
        <w:rPr>
          <w:i/>
        </w:rPr>
        <w:t xml:space="preserve"> </w:t>
      </w:r>
      <w:r w:rsidRPr="00A3718C">
        <w:rPr>
          <w:i/>
        </w:rPr>
        <w:t>Test:</w:t>
      </w:r>
      <w:r w:rsidR="009A0847">
        <w:rPr>
          <w:i/>
        </w:rPr>
        <w:t xml:space="preserve"> </w:t>
      </w:r>
      <w:r w:rsidRPr="00A3718C">
        <w:rPr>
          <w:i/>
        </w:rPr>
        <w:t>Reflections</w:t>
      </w:r>
      <w:r w:rsidR="009A0847">
        <w:rPr>
          <w:i/>
        </w:rPr>
        <w:t xml:space="preserve"> </w:t>
      </w:r>
      <w:r w:rsidRPr="00A3718C">
        <w:rPr>
          <w:i/>
        </w:rPr>
        <w:t>on</w:t>
      </w:r>
      <w:r w:rsidR="009A0847">
        <w:rPr>
          <w:i/>
        </w:rPr>
        <w:t xml:space="preserve"> </w:t>
      </w:r>
      <w:r w:rsidRPr="00A3718C">
        <w:rPr>
          <w:i/>
        </w:rPr>
        <w:t>Financial</w:t>
      </w:r>
      <w:r w:rsidR="009A0847">
        <w:rPr>
          <w:i/>
        </w:rPr>
        <w:t xml:space="preserve"> </w:t>
      </w:r>
      <w:r w:rsidRPr="00A3718C">
        <w:rPr>
          <w:i/>
        </w:rPr>
        <w:t>Crises</w:t>
      </w:r>
      <w:r>
        <w:t>,</w:t>
      </w:r>
      <w:r w:rsidR="009A0847">
        <w:t xml:space="preserve"> </w:t>
      </w:r>
      <w:r>
        <w:t>Random</w:t>
      </w:r>
      <w:r w:rsidR="009A0847">
        <w:t xml:space="preserve"> </w:t>
      </w:r>
      <w:r>
        <w:t>House,</w:t>
      </w:r>
      <w:r w:rsidR="009A0847">
        <w:t xml:space="preserve"> </w:t>
      </w:r>
      <w:r>
        <w:t>New</w:t>
      </w:r>
      <w:r w:rsidR="009A0847">
        <w:t xml:space="preserve"> </w:t>
      </w:r>
      <w:r>
        <w:t>York.</w:t>
      </w:r>
    </w:p>
    <w:p w14:paraId="6CEA6E25" w14:textId="18126403" w:rsidR="00C019BB" w:rsidRPr="00A3718C" w:rsidRDefault="00A3718C" w:rsidP="00F86E09">
      <w:pPr>
        <w:pStyle w:val="Olivier1"/>
        <w:widowControl w:val="0"/>
        <w:spacing w:line="240" w:lineRule="auto"/>
        <w:rPr>
          <w:color w:val="000000" w:themeColor="text1"/>
        </w:rPr>
      </w:pPr>
      <w:r>
        <w:rPr>
          <w:color w:val="000000" w:themeColor="text1"/>
        </w:rPr>
        <w:t>Gorton</w:t>
      </w:r>
      <w:r w:rsidR="009A0847">
        <w:rPr>
          <w:color w:val="000000" w:themeColor="text1"/>
        </w:rPr>
        <w:t xml:space="preserve"> </w:t>
      </w:r>
      <w:r>
        <w:rPr>
          <w:color w:val="000000" w:themeColor="text1"/>
        </w:rPr>
        <w:t>G.</w:t>
      </w:r>
      <w:r w:rsidR="009A0847">
        <w:rPr>
          <w:color w:val="000000" w:themeColor="text1"/>
        </w:rPr>
        <w:t xml:space="preserve"> </w:t>
      </w:r>
      <w:r w:rsidR="00C019BB" w:rsidRPr="00A3718C">
        <w:rPr>
          <w:color w:val="000000" w:themeColor="text1"/>
        </w:rPr>
        <w:t>and</w:t>
      </w:r>
      <w:r w:rsidR="009A0847">
        <w:rPr>
          <w:color w:val="000000" w:themeColor="text1"/>
        </w:rPr>
        <w:t xml:space="preserve"> </w:t>
      </w:r>
      <w:r w:rsidR="00C019BB" w:rsidRPr="00A3718C">
        <w:rPr>
          <w:color w:val="000000" w:themeColor="text1"/>
        </w:rPr>
        <w:t>A</w:t>
      </w:r>
      <w:r>
        <w:rPr>
          <w:color w:val="000000" w:themeColor="text1"/>
        </w:rPr>
        <w:t>.</w:t>
      </w:r>
      <w:r w:rsidR="009A0847">
        <w:rPr>
          <w:color w:val="000000" w:themeColor="text1"/>
        </w:rPr>
        <w:t xml:space="preserve"> </w:t>
      </w:r>
      <w:r>
        <w:rPr>
          <w:color w:val="000000" w:themeColor="text1"/>
        </w:rPr>
        <w:t>Metrick</w:t>
      </w:r>
      <w:r w:rsidR="009A0847">
        <w:rPr>
          <w:color w:val="000000" w:themeColor="text1"/>
        </w:rPr>
        <w:t xml:space="preserve"> </w:t>
      </w:r>
      <w:r>
        <w:rPr>
          <w:color w:val="000000" w:themeColor="text1"/>
        </w:rPr>
        <w:t>(</w:t>
      </w:r>
      <w:r w:rsidR="00C019BB" w:rsidRPr="00A3718C">
        <w:rPr>
          <w:color w:val="000000" w:themeColor="text1"/>
        </w:rPr>
        <w:t>2013</w:t>
      </w:r>
      <w:r>
        <w:rPr>
          <w:color w:val="000000" w:themeColor="text1"/>
        </w:rPr>
        <w:t>)</w:t>
      </w:r>
      <w:r w:rsidR="009A0847">
        <w:rPr>
          <w:color w:val="000000" w:themeColor="text1"/>
        </w:rPr>
        <w:t xml:space="preserve"> </w:t>
      </w:r>
      <w:r>
        <w:rPr>
          <w:color w:val="000000" w:themeColor="text1"/>
        </w:rPr>
        <w:t>“</w:t>
      </w:r>
      <w:r w:rsidR="00C019BB" w:rsidRPr="00A3718C">
        <w:rPr>
          <w:color w:val="000000" w:themeColor="text1"/>
        </w:rPr>
        <w:t>The</w:t>
      </w:r>
      <w:r w:rsidR="009A0847">
        <w:rPr>
          <w:color w:val="000000" w:themeColor="text1"/>
        </w:rPr>
        <w:t xml:space="preserve"> </w:t>
      </w:r>
      <w:r>
        <w:rPr>
          <w:color w:val="000000" w:themeColor="text1"/>
        </w:rPr>
        <w:t>F</w:t>
      </w:r>
      <w:r w:rsidR="00C019BB" w:rsidRPr="00A3718C">
        <w:rPr>
          <w:color w:val="000000" w:themeColor="text1"/>
        </w:rPr>
        <w:t>ederal</w:t>
      </w:r>
      <w:r w:rsidR="009A0847">
        <w:rPr>
          <w:color w:val="000000" w:themeColor="text1"/>
        </w:rPr>
        <w:t xml:space="preserve"> </w:t>
      </w:r>
      <w:r>
        <w:rPr>
          <w:color w:val="000000" w:themeColor="text1"/>
        </w:rPr>
        <w:t>R</w:t>
      </w:r>
      <w:r w:rsidR="00C019BB" w:rsidRPr="00A3718C">
        <w:rPr>
          <w:color w:val="000000" w:themeColor="text1"/>
        </w:rPr>
        <w:t>eserve</w:t>
      </w:r>
      <w:r w:rsidR="009A0847">
        <w:rPr>
          <w:color w:val="000000" w:themeColor="text1"/>
        </w:rPr>
        <w:t xml:space="preserve"> </w:t>
      </w:r>
      <w:r w:rsidR="00C019BB" w:rsidRPr="00A3718C">
        <w:rPr>
          <w:color w:val="000000" w:themeColor="text1"/>
        </w:rPr>
        <w:t>and</w:t>
      </w:r>
      <w:r w:rsidR="009A0847">
        <w:rPr>
          <w:color w:val="000000" w:themeColor="text1"/>
        </w:rPr>
        <w:t xml:space="preserve"> </w:t>
      </w:r>
      <w:r w:rsidR="00C019BB" w:rsidRPr="00A3718C">
        <w:rPr>
          <w:color w:val="000000" w:themeColor="text1"/>
        </w:rPr>
        <w:t>panic</w:t>
      </w:r>
      <w:r w:rsidR="009A0847">
        <w:rPr>
          <w:color w:val="000000" w:themeColor="text1"/>
        </w:rPr>
        <w:t xml:space="preserve"> </w:t>
      </w:r>
      <w:r w:rsidR="00C019BB" w:rsidRPr="00A3718C">
        <w:rPr>
          <w:color w:val="000000" w:themeColor="text1"/>
        </w:rPr>
        <w:t>prevention:</w:t>
      </w:r>
      <w:r w:rsidR="009A0847">
        <w:rPr>
          <w:color w:val="000000" w:themeColor="text1"/>
        </w:rPr>
        <w:t xml:space="preserve"> </w:t>
      </w:r>
      <w:r w:rsidR="00C019BB" w:rsidRPr="00A3718C">
        <w:rPr>
          <w:color w:val="000000" w:themeColor="text1"/>
        </w:rPr>
        <w:t>The</w:t>
      </w:r>
      <w:r w:rsidR="009A0847">
        <w:rPr>
          <w:color w:val="000000" w:themeColor="text1"/>
        </w:rPr>
        <w:t xml:space="preserve"> </w:t>
      </w:r>
      <w:r w:rsidR="00C019BB" w:rsidRPr="00A3718C">
        <w:rPr>
          <w:color w:val="000000" w:themeColor="text1"/>
        </w:rPr>
        <w:t>roles</w:t>
      </w:r>
      <w:r w:rsidR="009A0847">
        <w:rPr>
          <w:color w:val="000000" w:themeColor="text1"/>
        </w:rPr>
        <w:t xml:space="preserve"> </w:t>
      </w:r>
      <w:r w:rsidR="00C019BB" w:rsidRPr="00A3718C">
        <w:rPr>
          <w:color w:val="000000" w:themeColor="text1"/>
        </w:rPr>
        <w:t>of</w:t>
      </w:r>
      <w:r w:rsidR="009A0847">
        <w:rPr>
          <w:color w:val="000000" w:themeColor="text1"/>
        </w:rPr>
        <w:t xml:space="preserve"> </w:t>
      </w:r>
      <w:r w:rsidR="00C019BB" w:rsidRPr="00A3718C">
        <w:rPr>
          <w:color w:val="000000" w:themeColor="text1"/>
        </w:rPr>
        <w:t>financial</w:t>
      </w:r>
      <w:r w:rsidR="009A0847">
        <w:rPr>
          <w:color w:val="000000" w:themeColor="text1"/>
        </w:rPr>
        <w:t xml:space="preserve"> </w:t>
      </w:r>
      <w:r w:rsidR="00C019BB" w:rsidRPr="00A3718C">
        <w:rPr>
          <w:color w:val="000000" w:themeColor="text1"/>
        </w:rPr>
        <w:t>regul</w:t>
      </w:r>
      <w:r w:rsidR="00FD648E">
        <w:rPr>
          <w:color w:val="000000" w:themeColor="text1"/>
        </w:rPr>
        <w:t>ation</w:t>
      </w:r>
      <w:r w:rsidR="009A0847">
        <w:rPr>
          <w:color w:val="000000" w:themeColor="text1"/>
        </w:rPr>
        <w:t xml:space="preserve"> </w:t>
      </w:r>
      <w:r w:rsidR="00FD648E">
        <w:rPr>
          <w:color w:val="000000" w:themeColor="text1"/>
        </w:rPr>
        <w:t>and</w:t>
      </w:r>
      <w:r w:rsidR="009A0847">
        <w:rPr>
          <w:color w:val="000000" w:themeColor="text1"/>
        </w:rPr>
        <w:t xml:space="preserve"> </w:t>
      </w:r>
      <w:r w:rsidR="00FD648E">
        <w:rPr>
          <w:color w:val="000000" w:themeColor="text1"/>
        </w:rPr>
        <w:t>lender</w:t>
      </w:r>
      <w:r w:rsidR="009A0847">
        <w:rPr>
          <w:color w:val="000000" w:themeColor="text1"/>
        </w:rPr>
        <w:t xml:space="preserve"> </w:t>
      </w:r>
      <w:r w:rsidR="00FD648E">
        <w:rPr>
          <w:color w:val="000000" w:themeColor="text1"/>
        </w:rPr>
        <w:t>of</w:t>
      </w:r>
      <w:r w:rsidR="009A0847">
        <w:rPr>
          <w:color w:val="000000" w:themeColor="text1"/>
        </w:rPr>
        <w:t xml:space="preserve"> </w:t>
      </w:r>
      <w:r w:rsidR="00FD648E">
        <w:rPr>
          <w:color w:val="000000" w:themeColor="text1"/>
        </w:rPr>
        <w:t>last</w:t>
      </w:r>
      <w:r w:rsidR="009A0847">
        <w:rPr>
          <w:color w:val="000000" w:themeColor="text1"/>
        </w:rPr>
        <w:t xml:space="preserve"> </w:t>
      </w:r>
      <w:r w:rsidR="00FD648E">
        <w:rPr>
          <w:color w:val="000000" w:themeColor="text1"/>
        </w:rPr>
        <w:t>resort</w:t>
      </w:r>
      <w:r w:rsidR="00FD648E">
        <w:t>,”</w:t>
      </w:r>
      <w:r w:rsidR="009A0847">
        <w:rPr>
          <w:color w:val="000000" w:themeColor="text1"/>
        </w:rPr>
        <w:t xml:space="preserve"> </w:t>
      </w:r>
      <w:r w:rsidR="00C019BB" w:rsidRPr="00A3718C">
        <w:rPr>
          <w:i/>
          <w:color w:val="000000" w:themeColor="text1"/>
        </w:rPr>
        <w:t>The</w:t>
      </w:r>
      <w:r w:rsidR="009A0847">
        <w:rPr>
          <w:i/>
          <w:color w:val="000000" w:themeColor="text1"/>
        </w:rPr>
        <w:t xml:space="preserve"> </w:t>
      </w:r>
      <w:r w:rsidR="00C019BB" w:rsidRPr="00A3718C">
        <w:rPr>
          <w:i/>
          <w:color w:val="000000" w:themeColor="text1"/>
        </w:rPr>
        <w:t>Journal</w:t>
      </w:r>
      <w:r w:rsidR="009A0847">
        <w:rPr>
          <w:i/>
          <w:color w:val="000000" w:themeColor="text1"/>
        </w:rPr>
        <w:t xml:space="preserve"> </w:t>
      </w:r>
      <w:r w:rsidR="00C019BB" w:rsidRPr="00A3718C">
        <w:rPr>
          <w:i/>
          <w:color w:val="000000" w:themeColor="text1"/>
        </w:rPr>
        <w:t>of</w:t>
      </w:r>
      <w:r w:rsidR="009A0847">
        <w:rPr>
          <w:i/>
          <w:color w:val="000000" w:themeColor="text1"/>
        </w:rPr>
        <w:t xml:space="preserve"> </w:t>
      </w:r>
      <w:r w:rsidR="00C019BB" w:rsidRPr="00A3718C">
        <w:rPr>
          <w:i/>
          <w:color w:val="000000" w:themeColor="text1"/>
        </w:rPr>
        <w:t>Economic</w:t>
      </w:r>
      <w:r w:rsidR="009A0847">
        <w:rPr>
          <w:i/>
          <w:color w:val="000000" w:themeColor="text1"/>
        </w:rPr>
        <w:t xml:space="preserve"> </w:t>
      </w:r>
      <w:r w:rsidR="00C019BB" w:rsidRPr="00A3718C">
        <w:rPr>
          <w:i/>
          <w:color w:val="000000" w:themeColor="text1"/>
        </w:rPr>
        <w:t>Perspective</w:t>
      </w:r>
      <w:r>
        <w:rPr>
          <w:i/>
          <w:color w:val="000000" w:themeColor="text1"/>
        </w:rPr>
        <w:t>s,</w:t>
      </w:r>
      <w:r w:rsidR="009A0847">
        <w:rPr>
          <w:i/>
          <w:color w:val="000000" w:themeColor="text1"/>
        </w:rPr>
        <w:t xml:space="preserve"> </w:t>
      </w:r>
      <w:r w:rsidR="00C019BB" w:rsidRPr="00A3718C">
        <w:rPr>
          <w:color w:val="000000" w:themeColor="text1"/>
        </w:rPr>
        <w:t>27,</w:t>
      </w:r>
      <w:r w:rsidR="009A0847">
        <w:rPr>
          <w:color w:val="000000" w:themeColor="text1"/>
        </w:rPr>
        <w:t xml:space="preserve"> </w:t>
      </w:r>
      <w:r w:rsidR="00C019BB" w:rsidRPr="00A3718C">
        <w:rPr>
          <w:color w:val="000000" w:themeColor="text1"/>
        </w:rPr>
        <w:t>45–64</w:t>
      </w:r>
      <w:r>
        <w:rPr>
          <w:color w:val="000000" w:themeColor="text1"/>
        </w:rPr>
        <w:t>.</w:t>
      </w:r>
    </w:p>
    <w:p w14:paraId="21E2D0CD" w14:textId="4E2E786D" w:rsidR="00AE1249" w:rsidRDefault="00E22987" w:rsidP="00F86E09">
      <w:pPr>
        <w:pStyle w:val="Olivier1"/>
        <w:widowControl w:val="0"/>
        <w:spacing w:line="240" w:lineRule="auto"/>
      </w:pPr>
      <w:r>
        <w:lastRenderedPageBreak/>
        <w:t>Gorton</w:t>
      </w:r>
      <w:r w:rsidR="009A0847">
        <w:t xml:space="preserve"> </w:t>
      </w:r>
      <w:r>
        <w:t>G.</w:t>
      </w:r>
      <w:r w:rsidR="009A0847">
        <w:t xml:space="preserve"> </w:t>
      </w:r>
      <w:r>
        <w:t>a</w:t>
      </w:r>
      <w:r w:rsidR="00FD648E">
        <w:t>nd</w:t>
      </w:r>
      <w:r w:rsidR="009A0847">
        <w:t xml:space="preserve"> </w:t>
      </w:r>
      <w:r w:rsidR="00FD648E">
        <w:t>G.</w:t>
      </w:r>
      <w:r w:rsidR="009A0847">
        <w:t xml:space="preserve"> </w:t>
      </w:r>
      <w:r w:rsidR="00FD648E">
        <w:t>Ordonez</w:t>
      </w:r>
      <w:r w:rsidR="009A0847">
        <w:t xml:space="preserve"> </w:t>
      </w:r>
      <w:r w:rsidR="00FD648E">
        <w:t>(2016)</w:t>
      </w:r>
      <w:r w:rsidR="009A0847">
        <w:t xml:space="preserve"> </w:t>
      </w:r>
      <w:r w:rsidR="00FD648E">
        <w:t>“Fighting</w:t>
      </w:r>
      <w:r w:rsidR="009A0847">
        <w:t xml:space="preserve"> </w:t>
      </w:r>
      <w:r w:rsidR="00FD648E">
        <w:t>c</w:t>
      </w:r>
      <w:r>
        <w:t>rises,”</w:t>
      </w:r>
      <w:r w:rsidR="009A0847">
        <w:t xml:space="preserve"> </w:t>
      </w:r>
      <w:r>
        <w:t>NBER</w:t>
      </w:r>
      <w:r w:rsidR="009A0847">
        <w:t xml:space="preserve"> </w:t>
      </w:r>
      <w:r>
        <w:t>Working</w:t>
      </w:r>
      <w:r w:rsidR="009A0847">
        <w:t xml:space="preserve"> </w:t>
      </w:r>
      <w:r>
        <w:t>Paper</w:t>
      </w:r>
      <w:r w:rsidR="009A0847">
        <w:t xml:space="preserve"> </w:t>
      </w:r>
      <w:r>
        <w:t>No.</w:t>
      </w:r>
      <w:r w:rsidR="009A0847">
        <w:t xml:space="preserve"> </w:t>
      </w:r>
      <w:r>
        <w:t>22787.</w:t>
      </w:r>
    </w:p>
    <w:p w14:paraId="4D256510" w14:textId="53122E12" w:rsidR="008B4DE4" w:rsidRDefault="001B3106" w:rsidP="00F86E09">
      <w:pPr>
        <w:pStyle w:val="Olivier1"/>
        <w:widowControl w:val="0"/>
        <w:spacing w:line="240" w:lineRule="auto"/>
        <w:rPr>
          <w:shd w:val="clear" w:color="auto" w:fill="FFFFFF"/>
        </w:rPr>
      </w:pPr>
      <w:r>
        <w:rPr>
          <w:rFonts w:eastAsiaTheme="minorEastAsia"/>
        </w:rPr>
        <w:t>Hauser</w:t>
      </w:r>
      <w:r w:rsidR="009A0847">
        <w:rPr>
          <w:rFonts w:eastAsiaTheme="minorEastAsia"/>
        </w:rPr>
        <w:t xml:space="preserve"> </w:t>
      </w:r>
      <w:r w:rsidR="008B4DE4">
        <w:rPr>
          <w:rFonts w:eastAsiaTheme="minorEastAsia"/>
        </w:rPr>
        <w:t>A.</w:t>
      </w:r>
      <w:r w:rsidR="009A0847">
        <w:rPr>
          <w:rFonts w:eastAsiaTheme="minorEastAsia"/>
        </w:rPr>
        <w:t xml:space="preserve"> </w:t>
      </w:r>
      <w:r w:rsidR="008B4DE4">
        <w:rPr>
          <w:rFonts w:eastAsiaTheme="minorEastAsia"/>
        </w:rPr>
        <w:t>(2014)</w:t>
      </w:r>
      <w:r w:rsidR="009A0847">
        <w:rPr>
          <w:rFonts w:eastAsiaTheme="minorEastAsia"/>
        </w:rPr>
        <w:t xml:space="preserve"> </w:t>
      </w:r>
      <w:r w:rsidR="008B4DE4">
        <w:rPr>
          <w:rFonts w:eastAsiaTheme="minorEastAsia"/>
        </w:rPr>
        <w:t>“Lender</w:t>
      </w:r>
      <w:r w:rsidR="009A0847">
        <w:rPr>
          <w:rFonts w:eastAsiaTheme="minorEastAsia"/>
        </w:rPr>
        <w:t xml:space="preserve"> </w:t>
      </w:r>
      <w:r w:rsidR="008B4DE4">
        <w:rPr>
          <w:rFonts w:eastAsiaTheme="minorEastAsia"/>
        </w:rPr>
        <w:t>of</w:t>
      </w:r>
      <w:r w:rsidR="009A0847">
        <w:rPr>
          <w:rFonts w:eastAsiaTheme="minorEastAsia"/>
        </w:rPr>
        <w:t xml:space="preserve"> </w:t>
      </w:r>
      <w:r w:rsidR="008B4DE4">
        <w:rPr>
          <w:rFonts w:eastAsiaTheme="minorEastAsia"/>
        </w:rPr>
        <w:t>last</w:t>
      </w:r>
      <w:r w:rsidR="009A0847">
        <w:rPr>
          <w:rFonts w:eastAsiaTheme="minorEastAsia"/>
        </w:rPr>
        <w:t xml:space="preserve"> </w:t>
      </w:r>
      <w:r w:rsidR="008B4DE4">
        <w:rPr>
          <w:rFonts w:eastAsiaTheme="minorEastAsia"/>
        </w:rPr>
        <w:t>resort</w:t>
      </w:r>
      <w:r w:rsidR="009A0847">
        <w:rPr>
          <w:rFonts w:eastAsiaTheme="minorEastAsia"/>
        </w:rPr>
        <w:t xml:space="preserve"> </w:t>
      </w:r>
      <w:r w:rsidR="008B4DE4">
        <w:rPr>
          <w:rFonts w:eastAsiaTheme="minorEastAsia"/>
        </w:rPr>
        <w:t>operations</w:t>
      </w:r>
      <w:r w:rsidR="009A0847">
        <w:rPr>
          <w:rFonts w:eastAsiaTheme="minorEastAsia"/>
        </w:rPr>
        <w:t xml:space="preserve"> </w:t>
      </w:r>
      <w:r w:rsidR="008B4DE4">
        <w:rPr>
          <w:rFonts w:eastAsiaTheme="minorEastAsia"/>
        </w:rPr>
        <w:t>during</w:t>
      </w:r>
      <w:r w:rsidR="009A0847">
        <w:rPr>
          <w:rFonts w:eastAsiaTheme="minorEastAsia"/>
        </w:rPr>
        <w:t xml:space="preserve"> </w:t>
      </w:r>
      <w:r w:rsidR="008B4DE4">
        <w:rPr>
          <w:rFonts w:eastAsiaTheme="minorEastAsia"/>
        </w:rPr>
        <w:t>the</w:t>
      </w:r>
      <w:r w:rsidR="009A0847">
        <w:rPr>
          <w:rFonts w:eastAsiaTheme="minorEastAsia"/>
        </w:rPr>
        <w:t xml:space="preserve"> </w:t>
      </w:r>
      <w:r w:rsidR="008B4DE4">
        <w:rPr>
          <w:rFonts w:eastAsiaTheme="minorEastAsia"/>
        </w:rPr>
        <w:t>financial</w:t>
      </w:r>
      <w:r w:rsidR="009A0847">
        <w:rPr>
          <w:rFonts w:eastAsiaTheme="minorEastAsia"/>
        </w:rPr>
        <w:t xml:space="preserve"> </w:t>
      </w:r>
      <w:r w:rsidR="008B4DE4">
        <w:rPr>
          <w:rFonts w:eastAsiaTheme="minorEastAsia"/>
        </w:rPr>
        <w:t>crisis:</w:t>
      </w:r>
      <w:r w:rsidR="009A0847">
        <w:rPr>
          <w:rFonts w:eastAsiaTheme="minorEastAsia"/>
        </w:rPr>
        <w:t xml:space="preserve"> </w:t>
      </w:r>
      <w:r w:rsidR="00464079">
        <w:rPr>
          <w:rFonts w:eastAsiaTheme="minorEastAsia"/>
        </w:rPr>
        <w:t>S</w:t>
      </w:r>
      <w:r w:rsidR="008B4DE4">
        <w:rPr>
          <w:rFonts w:eastAsiaTheme="minorEastAsia"/>
        </w:rPr>
        <w:t>even</w:t>
      </w:r>
      <w:r w:rsidR="009A0847">
        <w:rPr>
          <w:rFonts w:eastAsiaTheme="minorEastAsia"/>
        </w:rPr>
        <w:t xml:space="preserve"> </w:t>
      </w:r>
      <w:r w:rsidR="008B4DE4">
        <w:rPr>
          <w:rFonts w:eastAsiaTheme="minorEastAsia"/>
        </w:rPr>
        <w:t>practical</w:t>
      </w:r>
      <w:r w:rsidR="009A0847">
        <w:rPr>
          <w:rFonts w:eastAsiaTheme="minorEastAsia"/>
        </w:rPr>
        <w:t xml:space="preserve"> </w:t>
      </w:r>
      <w:r w:rsidR="008B4DE4">
        <w:rPr>
          <w:rFonts w:eastAsiaTheme="minorEastAsia"/>
        </w:rPr>
        <w:t>lessons</w:t>
      </w:r>
      <w:r w:rsidR="009A0847">
        <w:rPr>
          <w:rFonts w:eastAsiaTheme="minorEastAsia"/>
        </w:rPr>
        <w:t xml:space="preserve"> </w:t>
      </w:r>
      <w:r w:rsidR="008B4DE4">
        <w:rPr>
          <w:rFonts w:eastAsiaTheme="minorEastAsia"/>
        </w:rPr>
        <w:t>from</w:t>
      </w:r>
      <w:r w:rsidR="009A0847">
        <w:rPr>
          <w:rFonts w:eastAsiaTheme="minorEastAsia"/>
        </w:rPr>
        <w:t xml:space="preserve"> </w:t>
      </w:r>
      <w:r w:rsidR="008B4DE4">
        <w:rPr>
          <w:rFonts w:eastAsiaTheme="minorEastAsia"/>
        </w:rPr>
        <w:t>the</w:t>
      </w:r>
      <w:r w:rsidR="009A0847">
        <w:rPr>
          <w:rFonts w:eastAsiaTheme="minorEastAsia"/>
        </w:rPr>
        <w:t xml:space="preserve"> </w:t>
      </w:r>
      <w:r w:rsidR="008B4DE4">
        <w:rPr>
          <w:rFonts w:eastAsiaTheme="minorEastAsia"/>
        </w:rPr>
        <w:t>United</w:t>
      </w:r>
      <w:r w:rsidR="009A0847">
        <w:rPr>
          <w:rFonts w:eastAsiaTheme="minorEastAsia"/>
        </w:rPr>
        <w:t xml:space="preserve"> </w:t>
      </w:r>
      <w:r w:rsidR="008B4DE4">
        <w:rPr>
          <w:rFonts w:eastAsiaTheme="minorEastAsia"/>
        </w:rPr>
        <w:t>Kingdom,”</w:t>
      </w:r>
      <w:r w:rsidR="009A0847">
        <w:rPr>
          <w:rFonts w:eastAsiaTheme="minorEastAsia"/>
        </w:rPr>
        <w:t xml:space="preserve"> </w:t>
      </w:r>
      <w:r w:rsidR="008B4DE4">
        <w:rPr>
          <w:shd w:val="clear" w:color="auto" w:fill="FFFFFF"/>
        </w:rPr>
        <w:t>Bank</w:t>
      </w:r>
      <w:r w:rsidR="009A0847">
        <w:rPr>
          <w:shd w:val="clear" w:color="auto" w:fill="FFFFFF"/>
        </w:rPr>
        <w:t xml:space="preserve"> </w:t>
      </w:r>
      <w:r w:rsidR="008B4DE4">
        <w:rPr>
          <w:shd w:val="clear" w:color="auto" w:fill="FFFFFF"/>
        </w:rPr>
        <w:t>for</w:t>
      </w:r>
      <w:r w:rsidR="009A0847">
        <w:rPr>
          <w:shd w:val="clear" w:color="auto" w:fill="FFFFFF"/>
        </w:rPr>
        <w:t xml:space="preserve"> </w:t>
      </w:r>
      <w:r w:rsidR="008B4DE4">
        <w:rPr>
          <w:shd w:val="clear" w:color="auto" w:fill="FFFFFF"/>
        </w:rPr>
        <w:t>International</w:t>
      </w:r>
      <w:r w:rsidR="009A0847">
        <w:rPr>
          <w:shd w:val="clear" w:color="auto" w:fill="FFFFFF"/>
        </w:rPr>
        <w:t xml:space="preserve"> </w:t>
      </w:r>
      <w:r w:rsidR="008B4DE4">
        <w:rPr>
          <w:shd w:val="clear" w:color="auto" w:fill="FFFFFF"/>
        </w:rPr>
        <w:t>Settlements</w:t>
      </w:r>
      <w:r w:rsidR="009A0847">
        <w:rPr>
          <w:shd w:val="clear" w:color="auto" w:fill="FFFFFF"/>
        </w:rPr>
        <w:t xml:space="preserve"> </w:t>
      </w:r>
      <w:r w:rsidR="008B4DE4">
        <w:rPr>
          <w:shd w:val="clear" w:color="auto" w:fill="FFFFFF"/>
        </w:rPr>
        <w:t>eds.,</w:t>
      </w:r>
      <w:r w:rsidR="009A0847">
        <w:rPr>
          <w:shd w:val="clear" w:color="auto" w:fill="FFFFFF"/>
        </w:rPr>
        <w:t xml:space="preserve"> </w:t>
      </w:r>
      <w:r w:rsidR="008B4DE4">
        <w:rPr>
          <w:shd w:val="clear" w:color="auto" w:fill="FFFFFF"/>
        </w:rPr>
        <w:t>79,</w:t>
      </w:r>
      <w:r w:rsidR="009A0847">
        <w:rPr>
          <w:shd w:val="clear" w:color="auto" w:fill="FFFFFF"/>
        </w:rPr>
        <w:t xml:space="preserve"> </w:t>
      </w:r>
      <w:r w:rsidR="008B4DE4">
        <w:rPr>
          <w:shd w:val="clear" w:color="auto" w:fill="FFFFFF"/>
        </w:rPr>
        <w:t>81-93.</w:t>
      </w:r>
    </w:p>
    <w:p w14:paraId="2BF4F017" w14:textId="58FC0A35" w:rsidR="00E51B12" w:rsidRPr="00E51B12" w:rsidRDefault="00E51B12" w:rsidP="00F86E09">
      <w:pPr>
        <w:pStyle w:val="Olivier1"/>
        <w:widowControl w:val="0"/>
        <w:spacing w:line="240" w:lineRule="auto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Hilton S. and J. McAndrews</w:t>
      </w:r>
      <w:r w:rsidRPr="00E51B12">
        <w:rPr>
          <w:rFonts w:eastAsiaTheme="minorEastAsia"/>
          <w:szCs w:val="24"/>
        </w:rPr>
        <w:t xml:space="preserve"> </w:t>
      </w:r>
      <w:r>
        <w:rPr>
          <w:rFonts w:eastAsiaTheme="minorEastAsia"/>
          <w:szCs w:val="24"/>
        </w:rPr>
        <w:t>(</w:t>
      </w:r>
      <w:r w:rsidRPr="00E51B12">
        <w:rPr>
          <w:rFonts w:eastAsiaTheme="minorEastAsia"/>
          <w:szCs w:val="24"/>
        </w:rPr>
        <w:t>2011</w:t>
      </w:r>
      <w:r>
        <w:rPr>
          <w:rFonts w:eastAsiaTheme="minorEastAsia"/>
          <w:szCs w:val="24"/>
        </w:rPr>
        <w:t>)</w:t>
      </w:r>
      <w:r w:rsidRPr="00E51B12">
        <w:rPr>
          <w:rFonts w:eastAsiaTheme="minorEastAsia"/>
          <w:szCs w:val="24"/>
        </w:rPr>
        <w:t xml:space="preserve"> “Challenges and </w:t>
      </w:r>
      <w:r>
        <w:rPr>
          <w:rFonts w:eastAsiaTheme="minorEastAsia"/>
          <w:szCs w:val="24"/>
        </w:rPr>
        <w:t>l</w:t>
      </w:r>
      <w:r w:rsidRPr="00E51B12">
        <w:rPr>
          <w:rFonts w:eastAsiaTheme="minorEastAsia"/>
          <w:szCs w:val="24"/>
        </w:rPr>
        <w:t>esso</w:t>
      </w:r>
      <w:r>
        <w:rPr>
          <w:rFonts w:eastAsiaTheme="minorEastAsia"/>
          <w:szCs w:val="24"/>
        </w:rPr>
        <w:t>ns of the Federal Reserve’s mon</w:t>
      </w:r>
      <w:r w:rsidRPr="00E51B12">
        <w:rPr>
          <w:rFonts w:eastAsiaTheme="minorEastAsia"/>
          <w:szCs w:val="24"/>
        </w:rPr>
        <w:t xml:space="preserve">etary </w:t>
      </w:r>
      <w:r>
        <w:rPr>
          <w:rFonts w:eastAsiaTheme="minorEastAsia"/>
          <w:szCs w:val="24"/>
        </w:rPr>
        <w:t>p</w:t>
      </w:r>
      <w:r w:rsidRPr="00E51B12">
        <w:rPr>
          <w:rFonts w:eastAsiaTheme="minorEastAsia"/>
          <w:szCs w:val="24"/>
        </w:rPr>
        <w:t xml:space="preserve">olicy </w:t>
      </w:r>
      <w:r>
        <w:rPr>
          <w:rFonts w:eastAsiaTheme="minorEastAsia"/>
          <w:szCs w:val="24"/>
        </w:rPr>
        <w:t>o</w:t>
      </w:r>
      <w:r w:rsidRPr="00E51B12">
        <w:rPr>
          <w:rFonts w:eastAsiaTheme="minorEastAsia"/>
          <w:szCs w:val="24"/>
        </w:rPr>
        <w:t xml:space="preserve">perations during the </w:t>
      </w:r>
      <w:r>
        <w:rPr>
          <w:rFonts w:eastAsiaTheme="minorEastAsia"/>
          <w:szCs w:val="24"/>
        </w:rPr>
        <w:t>f</w:t>
      </w:r>
      <w:r w:rsidRPr="00E51B12">
        <w:rPr>
          <w:rFonts w:eastAsiaTheme="minorEastAsia"/>
          <w:szCs w:val="24"/>
        </w:rPr>
        <w:t xml:space="preserve">inancial </w:t>
      </w:r>
      <w:r>
        <w:rPr>
          <w:rFonts w:eastAsiaTheme="minorEastAsia"/>
          <w:szCs w:val="24"/>
        </w:rPr>
        <w:t>c</w:t>
      </w:r>
      <w:r w:rsidRPr="00E51B12">
        <w:rPr>
          <w:rFonts w:eastAsiaTheme="minorEastAsia"/>
          <w:szCs w:val="24"/>
        </w:rPr>
        <w:t xml:space="preserve">risis,” in </w:t>
      </w:r>
      <w:r w:rsidRPr="00A3292A">
        <w:rPr>
          <w:rFonts w:eastAsiaTheme="minorEastAsia"/>
          <w:i/>
          <w:szCs w:val="24"/>
        </w:rPr>
        <w:t>Approaches to Monetary Policy Revisited - Lessons from the Crisis</w:t>
      </w:r>
      <w:r w:rsidRPr="00E51B12">
        <w:rPr>
          <w:rFonts w:eastAsiaTheme="minorEastAsia"/>
          <w:szCs w:val="24"/>
        </w:rPr>
        <w:t xml:space="preserve">, </w:t>
      </w:r>
      <w:r>
        <w:rPr>
          <w:rFonts w:eastAsiaTheme="minorEastAsia"/>
          <w:szCs w:val="24"/>
        </w:rPr>
        <w:t>edited</w:t>
      </w:r>
      <w:r w:rsidRPr="00E51B12">
        <w:rPr>
          <w:rFonts w:eastAsiaTheme="minorEastAsia"/>
          <w:szCs w:val="24"/>
        </w:rPr>
        <w:t xml:space="preserve"> by Jarocinski, </w:t>
      </w:r>
      <w:r>
        <w:rPr>
          <w:rFonts w:eastAsiaTheme="minorEastAsia"/>
          <w:szCs w:val="24"/>
        </w:rPr>
        <w:t>Smets</w:t>
      </w:r>
      <w:r w:rsidRPr="00E51B12">
        <w:rPr>
          <w:rFonts w:eastAsiaTheme="minorEastAsia"/>
          <w:szCs w:val="24"/>
        </w:rPr>
        <w:t xml:space="preserve"> and </w:t>
      </w:r>
      <w:r>
        <w:rPr>
          <w:rFonts w:eastAsiaTheme="minorEastAsia"/>
          <w:szCs w:val="24"/>
        </w:rPr>
        <w:t>Thimann,</w:t>
      </w:r>
      <w:r w:rsidRPr="00E51B12">
        <w:rPr>
          <w:rFonts w:eastAsiaTheme="minorEastAsia"/>
          <w:szCs w:val="24"/>
        </w:rPr>
        <w:t xml:space="preserve"> 322–361.</w:t>
      </w:r>
    </w:p>
    <w:p w14:paraId="78F31095" w14:textId="0295449B" w:rsidR="00A803A5" w:rsidRPr="00BD13AF" w:rsidRDefault="001B3106" w:rsidP="00F86E09">
      <w:pPr>
        <w:pStyle w:val="Olivier1"/>
        <w:widowControl w:val="0"/>
        <w:spacing w:line="240" w:lineRule="auto"/>
      </w:pPr>
      <w:r>
        <w:t>Ito</w:t>
      </w:r>
      <w:r w:rsidR="009A0847">
        <w:t xml:space="preserve"> </w:t>
      </w:r>
      <w:r w:rsidR="00A803A5" w:rsidRPr="004B535D">
        <w:t>T.</w:t>
      </w:r>
      <w:r w:rsidR="009A0847">
        <w:t xml:space="preserve"> </w:t>
      </w:r>
      <w:r w:rsidR="00BD13AF" w:rsidRPr="004B535D">
        <w:t>(2012)</w:t>
      </w:r>
      <w:r w:rsidR="009A0847">
        <w:t xml:space="preserve"> </w:t>
      </w:r>
      <w:r w:rsidR="00BD13AF" w:rsidRPr="004B535D">
        <w:t>“Can</w:t>
      </w:r>
      <w:r w:rsidR="009A0847">
        <w:t xml:space="preserve"> </w:t>
      </w:r>
      <w:r w:rsidR="00BD13AF" w:rsidRPr="004B535D">
        <w:t>Asia</w:t>
      </w:r>
      <w:r w:rsidR="009A0847">
        <w:t xml:space="preserve"> </w:t>
      </w:r>
      <w:r w:rsidR="00BD13AF" w:rsidRPr="004B535D">
        <w:t>o</w:t>
      </w:r>
      <w:r w:rsidR="00A803A5" w:rsidRPr="004B535D">
        <w:t>vercome</w:t>
      </w:r>
      <w:r w:rsidR="009A0847">
        <w:t xml:space="preserve"> </w:t>
      </w:r>
      <w:r w:rsidR="00A803A5" w:rsidRPr="004B535D">
        <w:t>the</w:t>
      </w:r>
      <w:r w:rsidR="009A0847">
        <w:t xml:space="preserve"> </w:t>
      </w:r>
      <w:r w:rsidR="00A803A5" w:rsidRPr="004B535D">
        <w:t>IMF</w:t>
      </w:r>
      <w:r w:rsidR="009A0847">
        <w:t xml:space="preserve"> </w:t>
      </w:r>
      <w:r w:rsidR="00BD13AF" w:rsidRPr="004B535D">
        <w:t>s</w:t>
      </w:r>
      <w:r w:rsidR="00A803A5" w:rsidRPr="004B535D">
        <w:t>tigma?</w:t>
      </w:r>
      <w:r w:rsidR="00BD13AF" w:rsidRPr="004B535D">
        <w:t>”</w:t>
      </w:r>
      <w:r w:rsidR="009A0847">
        <w:t xml:space="preserve"> </w:t>
      </w:r>
      <w:r w:rsidR="00FF244D" w:rsidRPr="00FF244D">
        <w:rPr>
          <w:i/>
        </w:rPr>
        <w:t>American</w:t>
      </w:r>
      <w:r w:rsidR="009A0847">
        <w:rPr>
          <w:i/>
        </w:rPr>
        <w:t xml:space="preserve"> </w:t>
      </w:r>
      <w:r w:rsidR="00FF244D" w:rsidRPr="00FF244D">
        <w:rPr>
          <w:i/>
        </w:rPr>
        <w:t>Economic</w:t>
      </w:r>
      <w:r w:rsidR="009A0847">
        <w:rPr>
          <w:i/>
        </w:rPr>
        <w:t xml:space="preserve"> </w:t>
      </w:r>
      <w:r w:rsidR="00FF244D" w:rsidRPr="00FF244D">
        <w:rPr>
          <w:i/>
        </w:rPr>
        <w:t>Review</w:t>
      </w:r>
      <w:r w:rsidR="00FF244D">
        <w:t>,</w:t>
      </w:r>
      <w:r w:rsidR="009A0847">
        <w:t xml:space="preserve"> </w:t>
      </w:r>
      <w:r w:rsidR="00FF244D">
        <w:t>102(3),</w:t>
      </w:r>
      <w:r w:rsidR="009A0847">
        <w:t xml:space="preserve"> </w:t>
      </w:r>
      <w:r w:rsidR="00FF244D">
        <w:t>198–202.</w:t>
      </w:r>
    </w:p>
    <w:p w14:paraId="0923D54D" w14:textId="40B5C5C0" w:rsidR="001C0402" w:rsidRDefault="001B3106" w:rsidP="00F86E09">
      <w:pPr>
        <w:pStyle w:val="Olivier1"/>
        <w:widowControl w:val="0"/>
        <w:spacing w:line="240" w:lineRule="auto"/>
      </w:pPr>
      <w:r>
        <w:t>Keister</w:t>
      </w:r>
      <w:r w:rsidR="009A0847">
        <w:t xml:space="preserve"> </w:t>
      </w:r>
      <w:r w:rsidR="001C0402">
        <w:t>T.</w:t>
      </w:r>
      <w:r w:rsidR="009A0847">
        <w:t xml:space="preserve"> </w:t>
      </w:r>
      <w:r w:rsidR="001C0402">
        <w:t>(2012)</w:t>
      </w:r>
      <w:r w:rsidR="009A0847">
        <w:t xml:space="preserve"> </w:t>
      </w:r>
      <w:r w:rsidR="001C0402" w:rsidRPr="001C0402">
        <w:t>“Corridors</w:t>
      </w:r>
      <w:r w:rsidR="009A0847">
        <w:t xml:space="preserve"> </w:t>
      </w:r>
      <w:r w:rsidR="001C0402" w:rsidRPr="001C0402">
        <w:t>and</w:t>
      </w:r>
      <w:r w:rsidR="009A0847">
        <w:t xml:space="preserve"> </w:t>
      </w:r>
      <w:r w:rsidR="001C0402" w:rsidRPr="001C0402">
        <w:t>floors</w:t>
      </w:r>
      <w:r w:rsidR="009A0847">
        <w:t xml:space="preserve"> </w:t>
      </w:r>
      <w:r w:rsidR="001C0402" w:rsidRPr="001C0402">
        <w:t>in</w:t>
      </w:r>
      <w:r w:rsidR="009A0847">
        <w:t xml:space="preserve"> </w:t>
      </w:r>
      <w:r w:rsidR="001C0402" w:rsidRPr="001C0402">
        <w:t>monetary</w:t>
      </w:r>
      <w:r w:rsidR="009A0847">
        <w:t xml:space="preserve"> </w:t>
      </w:r>
      <w:r w:rsidR="001C0402" w:rsidRPr="001C0402">
        <w:t>policy,”</w:t>
      </w:r>
      <w:r w:rsidR="009A0847">
        <w:t xml:space="preserve"> </w:t>
      </w:r>
      <w:r w:rsidR="001C0402" w:rsidRPr="001C0402">
        <w:rPr>
          <w:i/>
        </w:rPr>
        <w:t>Liberty</w:t>
      </w:r>
      <w:r w:rsidR="009A0847">
        <w:rPr>
          <w:i/>
        </w:rPr>
        <w:t xml:space="preserve"> </w:t>
      </w:r>
      <w:r w:rsidR="001C0402" w:rsidRPr="001C0402">
        <w:rPr>
          <w:i/>
        </w:rPr>
        <w:t>Street</w:t>
      </w:r>
      <w:r w:rsidR="009A0847">
        <w:rPr>
          <w:i/>
        </w:rPr>
        <w:t xml:space="preserve"> </w:t>
      </w:r>
      <w:r w:rsidR="001C0402" w:rsidRPr="001C0402">
        <w:rPr>
          <w:i/>
        </w:rPr>
        <w:t>Economics</w:t>
      </w:r>
      <w:r w:rsidR="001C0402" w:rsidRPr="001C0402">
        <w:t>,</w:t>
      </w:r>
      <w:r w:rsidR="009A0847">
        <w:t xml:space="preserve"> </w:t>
      </w:r>
      <w:r w:rsidR="00A3718C">
        <w:t>available</w:t>
      </w:r>
      <w:r w:rsidR="009A0847">
        <w:t xml:space="preserve"> </w:t>
      </w:r>
      <w:r w:rsidR="00A3718C">
        <w:t>at</w:t>
      </w:r>
      <w:r w:rsidR="009A0847">
        <w:t xml:space="preserve"> </w:t>
      </w:r>
      <w:r w:rsidR="001C0402" w:rsidRPr="001C0402">
        <w:t>libertystreeteconomics.newyorkfed.org/2012/04/corridors-and-floorsin-monetary-policy.html.</w:t>
      </w:r>
    </w:p>
    <w:p w14:paraId="547312DE" w14:textId="20899F1C" w:rsidR="00AC697C" w:rsidRPr="00AC697C" w:rsidRDefault="001B3106" w:rsidP="00F86E09">
      <w:pPr>
        <w:pStyle w:val="Olivier1"/>
        <w:widowControl w:val="0"/>
        <w:spacing w:line="240" w:lineRule="auto"/>
        <w:rPr>
          <w:rFonts w:eastAsiaTheme="minorEastAsia"/>
          <w:szCs w:val="24"/>
        </w:rPr>
      </w:pPr>
      <w:r>
        <w:t>King</w:t>
      </w:r>
      <w:r w:rsidR="00AC697C">
        <w:t xml:space="preserve"> M. (2016a) “</w:t>
      </w:r>
      <w:r w:rsidR="00AC697C" w:rsidRPr="00AC697C">
        <w:rPr>
          <w:rFonts w:eastAsiaTheme="minorEastAsia"/>
          <w:szCs w:val="24"/>
        </w:rPr>
        <w:t>Newsmaker: Lord Mervyn King, former governor of the Bank of England</w:t>
      </w:r>
      <w:r w:rsidR="00AC697C">
        <w:rPr>
          <w:rFonts w:eastAsiaTheme="minorEastAsia"/>
          <w:szCs w:val="24"/>
        </w:rPr>
        <w:t xml:space="preserve">,” interview given to the New York Society of CPAs, available at </w:t>
      </w:r>
      <w:r w:rsidR="00AC697C" w:rsidRPr="00AC697C">
        <w:rPr>
          <w:rFonts w:eastAsiaTheme="minorEastAsia"/>
          <w:szCs w:val="24"/>
        </w:rPr>
        <w:t>www.nysscpa.org/news/publications/the-trusted-professional/article/newsmaker</w:t>
      </w:r>
      <w:r w:rsidR="00AC697C">
        <w:rPr>
          <w:rFonts w:eastAsiaTheme="minorEastAsia"/>
          <w:szCs w:val="24"/>
        </w:rPr>
        <w:t>.</w:t>
      </w:r>
    </w:p>
    <w:p w14:paraId="0FF954A7" w14:textId="3B4BF0F8" w:rsidR="00535F98" w:rsidRPr="00535F98" w:rsidRDefault="001B3106" w:rsidP="00F86E09">
      <w:pPr>
        <w:pStyle w:val="Olivier1"/>
        <w:widowControl w:val="0"/>
        <w:spacing w:line="240" w:lineRule="auto"/>
      </w:pPr>
      <w:r>
        <w:t>King</w:t>
      </w:r>
      <w:r w:rsidR="009A0847">
        <w:t xml:space="preserve"> </w:t>
      </w:r>
      <w:r w:rsidR="008B4DE4">
        <w:t>M.</w:t>
      </w:r>
      <w:r w:rsidR="009A0847">
        <w:t xml:space="preserve"> </w:t>
      </w:r>
      <w:r w:rsidR="008B4DE4">
        <w:t>(2016</w:t>
      </w:r>
      <w:r w:rsidR="00AC697C">
        <w:t>b</w:t>
      </w:r>
      <w:r w:rsidR="008B4DE4">
        <w:t>)</w:t>
      </w:r>
      <w:r w:rsidR="009A0847">
        <w:t xml:space="preserve"> </w:t>
      </w:r>
      <w:r w:rsidR="008B4DE4" w:rsidRPr="00E3136D">
        <w:rPr>
          <w:i/>
        </w:rPr>
        <w:t>The</w:t>
      </w:r>
      <w:r w:rsidR="009A0847" w:rsidRPr="00E3136D">
        <w:rPr>
          <w:i/>
        </w:rPr>
        <w:t xml:space="preserve"> </w:t>
      </w:r>
      <w:r w:rsidR="008B4DE4" w:rsidRPr="00E3136D">
        <w:rPr>
          <w:i/>
        </w:rPr>
        <w:t>end</w:t>
      </w:r>
      <w:r w:rsidR="009A0847" w:rsidRPr="00E3136D">
        <w:rPr>
          <w:i/>
        </w:rPr>
        <w:t xml:space="preserve"> </w:t>
      </w:r>
      <w:r w:rsidR="008B4DE4" w:rsidRPr="00E3136D">
        <w:rPr>
          <w:i/>
        </w:rPr>
        <w:t>of</w:t>
      </w:r>
      <w:r w:rsidR="009A0847" w:rsidRPr="00E3136D">
        <w:rPr>
          <w:i/>
        </w:rPr>
        <w:t xml:space="preserve"> </w:t>
      </w:r>
      <w:r w:rsidR="008B4DE4" w:rsidRPr="00E3136D">
        <w:rPr>
          <w:i/>
        </w:rPr>
        <w:t>a</w:t>
      </w:r>
      <w:r w:rsidR="00535F98" w:rsidRPr="00E3136D">
        <w:rPr>
          <w:i/>
        </w:rPr>
        <w:t>lchemy:</w:t>
      </w:r>
      <w:r w:rsidR="009A0847" w:rsidRPr="00E3136D">
        <w:rPr>
          <w:i/>
        </w:rPr>
        <w:t xml:space="preserve"> </w:t>
      </w:r>
      <w:r w:rsidR="00535F98" w:rsidRPr="00E3136D">
        <w:rPr>
          <w:i/>
        </w:rPr>
        <w:t>Money,</w:t>
      </w:r>
      <w:r w:rsidR="009A0847" w:rsidRPr="00E3136D">
        <w:rPr>
          <w:i/>
        </w:rPr>
        <w:t xml:space="preserve"> </w:t>
      </w:r>
      <w:r w:rsidR="00535F98" w:rsidRPr="00E3136D">
        <w:rPr>
          <w:i/>
        </w:rPr>
        <w:t>banking</w:t>
      </w:r>
      <w:r w:rsidR="009A0847" w:rsidRPr="00E3136D">
        <w:rPr>
          <w:i/>
        </w:rPr>
        <w:t xml:space="preserve"> </w:t>
      </w:r>
      <w:r w:rsidR="00535F98" w:rsidRPr="00E3136D">
        <w:rPr>
          <w:i/>
        </w:rPr>
        <w:t>and</w:t>
      </w:r>
      <w:r w:rsidR="009A0847" w:rsidRPr="00E3136D">
        <w:rPr>
          <w:i/>
        </w:rPr>
        <w:t xml:space="preserve"> </w:t>
      </w:r>
      <w:r w:rsidR="00535F98" w:rsidRPr="00E3136D">
        <w:rPr>
          <w:i/>
        </w:rPr>
        <w:t>th</w:t>
      </w:r>
      <w:r w:rsidR="008B4DE4" w:rsidRPr="00E3136D">
        <w:rPr>
          <w:i/>
        </w:rPr>
        <w:t>e</w:t>
      </w:r>
      <w:r w:rsidR="009A0847" w:rsidRPr="00E3136D">
        <w:rPr>
          <w:i/>
        </w:rPr>
        <w:t xml:space="preserve"> </w:t>
      </w:r>
      <w:r w:rsidR="008B4DE4" w:rsidRPr="00E3136D">
        <w:rPr>
          <w:i/>
        </w:rPr>
        <w:t>future</w:t>
      </w:r>
      <w:r w:rsidR="009A0847" w:rsidRPr="00E3136D">
        <w:rPr>
          <w:i/>
        </w:rPr>
        <w:t xml:space="preserve"> </w:t>
      </w:r>
      <w:r w:rsidR="008B4DE4" w:rsidRPr="00E3136D">
        <w:rPr>
          <w:i/>
        </w:rPr>
        <w:t>of</w:t>
      </w:r>
      <w:r w:rsidR="009A0847" w:rsidRPr="00E3136D">
        <w:rPr>
          <w:i/>
        </w:rPr>
        <w:t xml:space="preserve"> </w:t>
      </w:r>
      <w:r w:rsidR="008B4DE4" w:rsidRPr="00E3136D">
        <w:rPr>
          <w:i/>
        </w:rPr>
        <w:t>the</w:t>
      </w:r>
      <w:r w:rsidR="009A0847" w:rsidRPr="00E3136D">
        <w:rPr>
          <w:i/>
        </w:rPr>
        <w:t xml:space="preserve"> </w:t>
      </w:r>
      <w:r w:rsidR="008B4DE4" w:rsidRPr="00E3136D">
        <w:rPr>
          <w:i/>
        </w:rPr>
        <w:t>global</w:t>
      </w:r>
      <w:r w:rsidR="009A0847" w:rsidRPr="00E3136D">
        <w:rPr>
          <w:i/>
        </w:rPr>
        <w:t xml:space="preserve"> </w:t>
      </w:r>
      <w:r w:rsidR="008B4DE4" w:rsidRPr="00E3136D">
        <w:rPr>
          <w:i/>
        </w:rPr>
        <w:t>economy</w:t>
      </w:r>
      <w:r w:rsidR="008B4DE4">
        <w:t>,</w:t>
      </w:r>
      <w:r w:rsidR="009A0847">
        <w:t xml:space="preserve"> </w:t>
      </w:r>
      <w:r w:rsidR="00464079">
        <w:t>New York: Norton</w:t>
      </w:r>
      <w:r w:rsidR="00535F98">
        <w:t>.</w:t>
      </w:r>
    </w:p>
    <w:p w14:paraId="604D1118" w14:textId="2254DBBB" w:rsidR="00416F84" w:rsidRDefault="001B3106" w:rsidP="00F86E09">
      <w:pPr>
        <w:pStyle w:val="Olivier1"/>
        <w:widowControl w:val="0"/>
        <w:spacing w:line="240" w:lineRule="auto"/>
        <w:rPr>
          <w:rFonts w:eastAsiaTheme="minorEastAsia"/>
        </w:rPr>
      </w:pPr>
      <w:r>
        <w:rPr>
          <w:rFonts w:eastAsiaTheme="minorEastAsia"/>
        </w:rPr>
        <w:t>Kahn</w:t>
      </w:r>
      <w:r w:rsidR="009A0847">
        <w:rPr>
          <w:rFonts w:eastAsiaTheme="minorEastAsia"/>
        </w:rPr>
        <w:t xml:space="preserve"> </w:t>
      </w:r>
      <w:r w:rsidR="00A3718C">
        <w:rPr>
          <w:rFonts w:eastAsiaTheme="minorEastAsia"/>
        </w:rPr>
        <w:t>G.</w:t>
      </w:r>
      <w:r w:rsidR="009A0847">
        <w:rPr>
          <w:rFonts w:eastAsiaTheme="minorEastAsia"/>
        </w:rPr>
        <w:t xml:space="preserve"> </w:t>
      </w:r>
      <w:r w:rsidR="00A3718C">
        <w:rPr>
          <w:rFonts w:eastAsiaTheme="minorEastAsia"/>
        </w:rPr>
        <w:t>(</w:t>
      </w:r>
      <w:r w:rsidR="00416F84">
        <w:rPr>
          <w:rFonts w:eastAsiaTheme="minorEastAsia"/>
        </w:rPr>
        <w:t>2010</w:t>
      </w:r>
      <w:r w:rsidR="00A3718C">
        <w:rPr>
          <w:rFonts w:eastAsiaTheme="minorEastAsia"/>
        </w:rPr>
        <w:t>)</w:t>
      </w:r>
      <w:r w:rsidR="009A0847">
        <w:rPr>
          <w:rFonts w:eastAsiaTheme="minorEastAsia"/>
        </w:rPr>
        <w:t xml:space="preserve"> </w:t>
      </w:r>
      <w:r w:rsidR="00416F84">
        <w:rPr>
          <w:rFonts w:eastAsiaTheme="minorEastAsia"/>
        </w:rPr>
        <w:t>“Monetary</w:t>
      </w:r>
      <w:r w:rsidR="009A0847">
        <w:rPr>
          <w:rFonts w:eastAsiaTheme="minorEastAsia"/>
        </w:rPr>
        <w:t xml:space="preserve"> </w:t>
      </w:r>
      <w:r w:rsidR="00A3718C">
        <w:rPr>
          <w:rFonts w:eastAsiaTheme="minorEastAsia"/>
        </w:rPr>
        <w:t>p</w:t>
      </w:r>
      <w:r w:rsidR="00416F84">
        <w:rPr>
          <w:rFonts w:eastAsiaTheme="minorEastAsia"/>
        </w:rPr>
        <w:t>olicy</w:t>
      </w:r>
      <w:r w:rsidR="009A0847">
        <w:rPr>
          <w:rFonts w:eastAsiaTheme="minorEastAsia"/>
        </w:rPr>
        <w:t xml:space="preserve"> </w:t>
      </w:r>
      <w:r w:rsidR="00416F84">
        <w:rPr>
          <w:rFonts w:eastAsiaTheme="minorEastAsia"/>
        </w:rPr>
        <w:t>under</w:t>
      </w:r>
      <w:r w:rsidR="009A0847">
        <w:rPr>
          <w:rFonts w:eastAsiaTheme="minorEastAsia"/>
        </w:rPr>
        <w:t xml:space="preserve"> </w:t>
      </w:r>
      <w:r w:rsidR="00416F84">
        <w:rPr>
          <w:rFonts w:eastAsiaTheme="minorEastAsia"/>
        </w:rPr>
        <w:t>a</w:t>
      </w:r>
      <w:r w:rsidR="009A0847">
        <w:rPr>
          <w:rFonts w:eastAsiaTheme="minorEastAsia"/>
        </w:rPr>
        <w:t xml:space="preserve"> </w:t>
      </w:r>
      <w:r w:rsidR="00A3718C">
        <w:rPr>
          <w:rFonts w:eastAsiaTheme="minorEastAsia"/>
        </w:rPr>
        <w:t>c</w:t>
      </w:r>
      <w:r w:rsidR="00416F84">
        <w:rPr>
          <w:rFonts w:eastAsiaTheme="minorEastAsia"/>
        </w:rPr>
        <w:t>orridor</w:t>
      </w:r>
      <w:r w:rsidR="009A0847">
        <w:rPr>
          <w:rFonts w:eastAsiaTheme="minorEastAsia"/>
        </w:rPr>
        <w:t xml:space="preserve"> </w:t>
      </w:r>
      <w:r w:rsidR="00A3718C">
        <w:rPr>
          <w:rFonts w:eastAsiaTheme="minorEastAsia"/>
        </w:rPr>
        <w:t>o</w:t>
      </w:r>
      <w:r w:rsidR="00416F84">
        <w:rPr>
          <w:rFonts w:eastAsiaTheme="minorEastAsia"/>
        </w:rPr>
        <w:t>perating</w:t>
      </w:r>
      <w:r w:rsidR="009A0847">
        <w:rPr>
          <w:rFonts w:eastAsiaTheme="minorEastAsia"/>
        </w:rPr>
        <w:t xml:space="preserve"> </w:t>
      </w:r>
      <w:r w:rsidR="00A3718C">
        <w:rPr>
          <w:rFonts w:eastAsiaTheme="minorEastAsia"/>
        </w:rPr>
        <w:t>f</w:t>
      </w:r>
      <w:r w:rsidR="00416F84">
        <w:rPr>
          <w:rFonts w:eastAsiaTheme="minorEastAsia"/>
        </w:rPr>
        <w:t>ramework,”</w:t>
      </w:r>
      <w:r w:rsidR="009A0847">
        <w:rPr>
          <w:rFonts w:eastAsiaTheme="minorEastAsia"/>
        </w:rPr>
        <w:t xml:space="preserve"> </w:t>
      </w:r>
      <w:r w:rsidR="00416F84" w:rsidRPr="00A3718C">
        <w:rPr>
          <w:rFonts w:eastAsiaTheme="minorEastAsia"/>
          <w:i/>
        </w:rPr>
        <w:t>Economic</w:t>
      </w:r>
      <w:r w:rsidR="009A0847">
        <w:rPr>
          <w:rFonts w:eastAsiaTheme="minorEastAsia"/>
          <w:i/>
        </w:rPr>
        <w:t xml:space="preserve"> </w:t>
      </w:r>
      <w:r w:rsidR="00416F84" w:rsidRPr="00A3718C">
        <w:rPr>
          <w:rFonts w:eastAsiaTheme="minorEastAsia"/>
          <w:i/>
        </w:rPr>
        <w:t>Review</w:t>
      </w:r>
      <w:r w:rsidR="00416F84">
        <w:rPr>
          <w:rFonts w:eastAsiaTheme="minorEastAsia"/>
        </w:rPr>
        <w:t>,</w:t>
      </w:r>
      <w:r w:rsidR="009A0847">
        <w:rPr>
          <w:rFonts w:eastAsiaTheme="minorEastAsia"/>
        </w:rPr>
        <w:t xml:space="preserve"> </w:t>
      </w:r>
      <w:r w:rsidR="00416F84">
        <w:rPr>
          <w:rFonts w:eastAsiaTheme="minorEastAsia"/>
        </w:rPr>
        <w:t>95(4).</w:t>
      </w:r>
    </w:p>
    <w:p w14:paraId="7008E2D4" w14:textId="752EB8E8" w:rsidR="0001467F" w:rsidRDefault="0001467F" w:rsidP="00F86E09">
      <w:pPr>
        <w:pStyle w:val="Olivier1"/>
        <w:widowControl w:val="0"/>
        <w:spacing w:line="240" w:lineRule="auto"/>
      </w:pPr>
      <w:r>
        <w:t>Knaak</w:t>
      </w:r>
      <w:r w:rsidR="009A0847">
        <w:t xml:space="preserve"> </w:t>
      </w:r>
      <w:r>
        <w:t>S.,</w:t>
      </w:r>
      <w:r w:rsidR="009A0847">
        <w:t xml:space="preserve"> </w:t>
      </w:r>
      <w:r>
        <w:t>Mantler</w:t>
      </w:r>
      <w:r w:rsidR="009A0847">
        <w:t xml:space="preserve"> </w:t>
      </w:r>
      <w:r w:rsidR="00E51B12">
        <w:t xml:space="preserve">E. </w:t>
      </w:r>
      <w:r>
        <w:t>and</w:t>
      </w:r>
      <w:r w:rsidR="009A0847">
        <w:t xml:space="preserve"> </w:t>
      </w:r>
      <w:r>
        <w:t>A.</w:t>
      </w:r>
      <w:r w:rsidR="009A0847">
        <w:t xml:space="preserve"> </w:t>
      </w:r>
      <w:r>
        <w:t>Szeto</w:t>
      </w:r>
      <w:r w:rsidR="009A0847">
        <w:t xml:space="preserve"> </w:t>
      </w:r>
      <w:r w:rsidR="00E51B12">
        <w:t>(2017) “</w:t>
      </w:r>
      <w:r>
        <w:t>Mental</w:t>
      </w:r>
      <w:r w:rsidR="009A0847">
        <w:t xml:space="preserve"> </w:t>
      </w:r>
      <w:r>
        <w:t>illness-related</w:t>
      </w:r>
      <w:r w:rsidR="009A0847">
        <w:t xml:space="preserve"> </w:t>
      </w:r>
      <w:r>
        <w:t>stigma</w:t>
      </w:r>
      <w:r w:rsidR="009A0847">
        <w:t xml:space="preserve"> </w:t>
      </w:r>
      <w:r>
        <w:t>in</w:t>
      </w:r>
      <w:r w:rsidR="009A0847">
        <w:t xml:space="preserve"> </w:t>
      </w:r>
      <w:r>
        <w:t>healthcare:</w:t>
      </w:r>
      <w:r w:rsidR="009A0847">
        <w:t xml:space="preserve"> </w:t>
      </w:r>
      <w:r>
        <w:t>Barriers</w:t>
      </w:r>
      <w:r w:rsidR="009A0847">
        <w:t xml:space="preserve"> </w:t>
      </w:r>
      <w:r>
        <w:t>to</w:t>
      </w:r>
      <w:r w:rsidR="009A0847">
        <w:t xml:space="preserve"> </w:t>
      </w:r>
      <w:r>
        <w:t>access</w:t>
      </w:r>
      <w:r w:rsidR="009A0847">
        <w:t xml:space="preserve"> </w:t>
      </w:r>
      <w:r>
        <w:t>and</w:t>
      </w:r>
      <w:r w:rsidR="009A0847">
        <w:t xml:space="preserve"> </w:t>
      </w:r>
      <w:r>
        <w:t>care</w:t>
      </w:r>
      <w:r w:rsidR="009A0847">
        <w:t xml:space="preserve"> </w:t>
      </w:r>
      <w:r>
        <w:t>and</w:t>
      </w:r>
      <w:r w:rsidR="009A0847">
        <w:t xml:space="preserve"> </w:t>
      </w:r>
      <w:r>
        <w:t>evidence-based</w:t>
      </w:r>
      <w:r w:rsidR="009A0847">
        <w:t xml:space="preserve"> </w:t>
      </w:r>
      <w:r>
        <w:t>solutions,”</w:t>
      </w:r>
      <w:r w:rsidR="009A0847">
        <w:t xml:space="preserve"> </w:t>
      </w:r>
      <w:r w:rsidRPr="00E51B12">
        <w:rPr>
          <w:i/>
        </w:rPr>
        <w:t>Healthcare</w:t>
      </w:r>
      <w:r w:rsidR="009A0847" w:rsidRPr="00E51B12">
        <w:rPr>
          <w:i/>
        </w:rPr>
        <w:t xml:space="preserve"> </w:t>
      </w:r>
      <w:r w:rsidRPr="00E51B12">
        <w:rPr>
          <w:i/>
        </w:rPr>
        <w:t>Management</w:t>
      </w:r>
      <w:r w:rsidR="009A0847" w:rsidRPr="00E51B12">
        <w:rPr>
          <w:i/>
        </w:rPr>
        <w:t xml:space="preserve"> </w:t>
      </w:r>
      <w:r w:rsidRPr="00E51B12">
        <w:rPr>
          <w:i/>
        </w:rPr>
        <w:t>Forum</w:t>
      </w:r>
      <w:r>
        <w:t>,</w:t>
      </w:r>
      <w:r w:rsidR="009A0847">
        <w:t xml:space="preserve"> </w:t>
      </w:r>
      <w:r>
        <w:t>30(2),</w:t>
      </w:r>
      <w:r w:rsidR="009A0847">
        <w:t xml:space="preserve"> </w:t>
      </w:r>
      <w:r>
        <w:t>111-116</w:t>
      </w:r>
      <w:r w:rsidR="00E51B12">
        <w:t>.</w:t>
      </w:r>
    </w:p>
    <w:p w14:paraId="4FED434A" w14:textId="281A7ACA" w:rsidR="00E22987" w:rsidRPr="0001467F" w:rsidRDefault="001B3106" w:rsidP="00F86E09">
      <w:pPr>
        <w:pStyle w:val="Olivier1"/>
        <w:widowControl w:val="0"/>
        <w:spacing w:line="240" w:lineRule="auto"/>
      </w:pPr>
      <w:r>
        <w:rPr>
          <w:rFonts w:eastAsiaTheme="minorEastAsia"/>
        </w:rPr>
        <w:t>La'O</w:t>
      </w:r>
      <w:r w:rsidR="009A0847">
        <w:rPr>
          <w:rFonts w:eastAsiaTheme="minorEastAsia"/>
        </w:rPr>
        <w:t xml:space="preserve"> </w:t>
      </w:r>
      <w:r w:rsidR="00E22987">
        <w:rPr>
          <w:rFonts w:eastAsiaTheme="minorEastAsia"/>
        </w:rPr>
        <w:t>J.</w:t>
      </w:r>
      <w:r w:rsidR="009A0847">
        <w:rPr>
          <w:rFonts w:eastAsiaTheme="minorEastAsia"/>
        </w:rPr>
        <w:t xml:space="preserve"> </w:t>
      </w:r>
      <w:r w:rsidR="00E22987">
        <w:rPr>
          <w:rFonts w:eastAsiaTheme="minorEastAsia"/>
        </w:rPr>
        <w:t>(2014)</w:t>
      </w:r>
      <w:r w:rsidR="009A0847">
        <w:rPr>
          <w:rFonts w:eastAsiaTheme="minorEastAsia"/>
        </w:rPr>
        <w:t xml:space="preserve"> </w:t>
      </w:r>
      <w:r w:rsidR="00E22987">
        <w:rPr>
          <w:rFonts w:eastAsiaTheme="minorEastAsia"/>
        </w:rPr>
        <w:t>“Predatory</w:t>
      </w:r>
      <w:r w:rsidR="009A0847">
        <w:rPr>
          <w:rFonts w:eastAsiaTheme="minorEastAsia"/>
        </w:rPr>
        <w:t xml:space="preserve"> </w:t>
      </w:r>
      <w:r w:rsidR="00E22987">
        <w:rPr>
          <w:rFonts w:eastAsiaTheme="minorEastAsia"/>
        </w:rPr>
        <w:t>trading,</w:t>
      </w:r>
      <w:r w:rsidR="009A0847">
        <w:rPr>
          <w:rFonts w:eastAsiaTheme="minorEastAsia"/>
        </w:rPr>
        <w:t xml:space="preserve"> </w:t>
      </w:r>
      <w:r w:rsidR="00A3718C">
        <w:rPr>
          <w:rFonts w:eastAsiaTheme="minorEastAsia"/>
        </w:rPr>
        <w:t>s</w:t>
      </w:r>
      <w:r w:rsidR="00E22987">
        <w:rPr>
          <w:rFonts w:eastAsiaTheme="minorEastAsia"/>
        </w:rPr>
        <w:t>tigma</w:t>
      </w:r>
      <w:r w:rsidR="009A0847">
        <w:rPr>
          <w:rFonts w:eastAsiaTheme="minorEastAsia"/>
        </w:rPr>
        <w:t xml:space="preserve"> </w:t>
      </w:r>
      <w:r w:rsidR="00E22987">
        <w:rPr>
          <w:rFonts w:eastAsiaTheme="minorEastAsia"/>
        </w:rPr>
        <w:t>and</w:t>
      </w:r>
      <w:r w:rsidR="009A0847">
        <w:rPr>
          <w:rFonts w:eastAsiaTheme="minorEastAsia"/>
        </w:rPr>
        <w:t xml:space="preserve"> </w:t>
      </w:r>
      <w:r w:rsidR="00E22987">
        <w:rPr>
          <w:rFonts w:eastAsiaTheme="minorEastAsia"/>
        </w:rPr>
        <w:t>the</w:t>
      </w:r>
      <w:r w:rsidR="009A0847">
        <w:rPr>
          <w:rFonts w:eastAsiaTheme="minorEastAsia"/>
        </w:rPr>
        <w:t xml:space="preserve"> </w:t>
      </w:r>
      <w:r w:rsidR="00E22987">
        <w:rPr>
          <w:rFonts w:eastAsiaTheme="minorEastAsia"/>
        </w:rPr>
        <w:t>Fed</w:t>
      </w:r>
      <w:r w:rsidR="00A3718C">
        <w:rPr>
          <w:rFonts w:eastAsiaTheme="minorEastAsia"/>
        </w:rPr>
        <w:t>’</w:t>
      </w:r>
      <w:r w:rsidR="00E22987">
        <w:rPr>
          <w:rFonts w:eastAsiaTheme="minorEastAsia"/>
        </w:rPr>
        <w:t>s</w:t>
      </w:r>
      <w:r w:rsidR="009A0847">
        <w:rPr>
          <w:rFonts w:eastAsiaTheme="minorEastAsia"/>
        </w:rPr>
        <w:t xml:space="preserve"> </w:t>
      </w:r>
      <w:r w:rsidR="00E22987">
        <w:rPr>
          <w:rFonts w:eastAsiaTheme="minorEastAsia"/>
        </w:rPr>
        <w:t>Term</w:t>
      </w:r>
      <w:r w:rsidR="009A0847">
        <w:rPr>
          <w:rFonts w:eastAsiaTheme="minorEastAsia"/>
        </w:rPr>
        <w:t xml:space="preserve"> </w:t>
      </w:r>
      <w:r w:rsidR="00E22987">
        <w:rPr>
          <w:rFonts w:eastAsiaTheme="minorEastAsia"/>
        </w:rPr>
        <w:t>Auction</w:t>
      </w:r>
      <w:r w:rsidR="009A0847">
        <w:rPr>
          <w:rFonts w:eastAsiaTheme="minorEastAsia"/>
        </w:rPr>
        <w:t xml:space="preserve"> </w:t>
      </w:r>
      <w:r w:rsidR="00E22987">
        <w:rPr>
          <w:rFonts w:eastAsiaTheme="minorEastAsia"/>
        </w:rPr>
        <w:t>Facility,</w:t>
      </w:r>
      <w:r w:rsidR="00A3718C">
        <w:rPr>
          <w:rFonts w:eastAsiaTheme="minorEastAsia"/>
        </w:rPr>
        <w:t>”</w:t>
      </w:r>
      <w:r w:rsidR="009A0847">
        <w:rPr>
          <w:rFonts w:eastAsiaTheme="minorEastAsia"/>
        </w:rPr>
        <w:t xml:space="preserve"> </w:t>
      </w:r>
      <w:r w:rsidR="00E22987" w:rsidRPr="00E22987">
        <w:rPr>
          <w:rFonts w:eastAsiaTheme="minorEastAsia"/>
          <w:i/>
        </w:rPr>
        <w:t>Journal</w:t>
      </w:r>
      <w:r w:rsidR="009A0847">
        <w:rPr>
          <w:rFonts w:eastAsiaTheme="minorEastAsia"/>
          <w:i/>
        </w:rPr>
        <w:t xml:space="preserve"> </w:t>
      </w:r>
      <w:r w:rsidR="00E22987" w:rsidRPr="00E22987">
        <w:rPr>
          <w:rFonts w:eastAsiaTheme="minorEastAsia"/>
          <w:i/>
        </w:rPr>
        <w:t>of</w:t>
      </w:r>
      <w:r w:rsidR="009A0847">
        <w:rPr>
          <w:rFonts w:eastAsiaTheme="minorEastAsia"/>
          <w:i/>
        </w:rPr>
        <w:t xml:space="preserve"> </w:t>
      </w:r>
      <w:r w:rsidR="00E22987" w:rsidRPr="00E22987">
        <w:rPr>
          <w:rFonts w:eastAsiaTheme="minorEastAsia"/>
          <w:i/>
        </w:rPr>
        <w:t>Monetary</w:t>
      </w:r>
      <w:r w:rsidR="009A0847">
        <w:rPr>
          <w:rFonts w:eastAsiaTheme="minorEastAsia"/>
          <w:i/>
        </w:rPr>
        <w:t xml:space="preserve"> </w:t>
      </w:r>
      <w:r w:rsidR="00E22987" w:rsidRPr="00E22987">
        <w:rPr>
          <w:rFonts w:eastAsiaTheme="minorEastAsia"/>
          <w:i/>
        </w:rPr>
        <w:t>Economics</w:t>
      </w:r>
      <w:r w:rsidR="00E22987">
        <w:rPr>
          <w:rFonts w:eastAsiaTheme="minorEastAsia"/>
        </w:rPr>
        <w:t>,</w:t>
      </w:r>
      <w:r w:rsidR="009A0847">
        <w:rPr>
          <w:rFonts w:eastAsiaTheme="minorEastAsia"/>
        </w:rPr>
        <w:t xml:space="preserve"> </w:t>
      </w:r>
      <w:r w:rsidR="00E22987">
        <w:rPr>
          <w:rFonts w:eastAsiaTheme="minorEastAsia"/>
        </w:rPr>
        <w:t>65,</w:t>
      </w:r>
      <w:r w:rsidR="009A0847">
        <w:rPr>
          <w:rFonts w:eastAsiaTheme="minorEastAsia"/>
        </w:rPr>
        <w:t xml:space="preserve"> </w:t>
      </w:r>
      <w:r w:rsidR="00E22987">
        <w:rPr>
          <w:rFonts w:eastAsiaTheme="minorEastAsia"/>
        </w:rPr>
        <w:t>57-75.</w:t>
      </w:r>
    </w:p>
    <w:p w14:paraId="484C9604" w14:textId="6BBD3157" w:rsidR="005B34B2" w:rsidRDefault="001B3106" w:rsidP="00F86E09">
      <w:pPr>
        <w:pStyle w:val="Olivier1"/>
        <w:widowControl w:val="0"/>
        <w:spacing w:line="240" w:lineRule="auto"/>
        <w:rPr>
          <w:rFonts w:eastAsiaTheme="minorEastAsia"/>
        </w:rPr>
      </w:pPr>
      <w:r>
        <w:rPr>
          <w:rFonts w:eastAsiaTheme="minorEastAsia"/>
        </w:rPr>
        <w:t>Madigan</w:t>
      </w:r>
      <w:r w:rsidR="009A0847">
        <w:rPr>
          <w:rFonts w:eastAsiaTheme="minorEastAsia"/>
        </w:rPr>
        <w:t xml:space="preserve"> </w:t>
      </w:r>
      <w:r w:rsidR="005B34B2">
        <w:rPr>
          <w:rFonts w:eastAsiaTheme="minorEastAsia"/>
        </w:rPr>
        <w:t>B.</w:t>
      </w:r>
      <w:r w:rsidR="009A0847">
        <w:rPr>
          <w:rFonts w:eastAsiaTheme="minorEastAsia"/>
        </w:rPr>
        <w:t xml:space="preserve"> </w:t>
      </w:r>
      <w:r w:rsidR="005B34B2">
        <w:rPr>
          <w:rFonts w:eastAsiaTheme="minorEastAsia"/>
        </w:rPr>
        <w:t>(2009</w:t>
      </w:r>
      <w:r w:rsidR="00A3718C">
        <w:rPr>
          <w:rFonts w:eastAsiaTheme="minorEastAsia"/>
        </w:rPr>
        <w:t>)</w:t>
      </w:r>
      <w:r w:rsidR="009A0847">
        <w:rPr>
          <w:rFonts w:eastAsiaTheme="minorEastAsia"/>
        </w:rPr>
        <w:t xml:space="preserve"> </w:t>
      </w:r>
      <w:r w:rsidR="005B34B2">
        <w:rPr>
          <w:rFonts w:eastAsiaTheme="minorEastAsia"/>
        </w:rPr>
        <w:t>“Bloomberg</w:t>
      </w:r>
      <w:r w:rsidR="009A0847">
        <w:rPr>
          <w:rFonts w:eastAsiaTheme="minorEastAsia"/>
        </w:rPr>
        <w:t xml:space="preserve"> </w:t>
      </w:r>
      <w:r w:rsidR="005B34B2">
        <w:rPr>
          <w:rFonts w:eastAsiaTheme="minorEastAsia"/>
        </w:rPr>
        <w:t>versus</w:t>
      </w:r>
      <w:r w:rsidR="009A0847">
        <w:rPr>
          <w:rFonts w:eastAsiaTheme="minorEastAsia"/>
        </w:rPr>
        <w:t xml:space="preserve"> </w:t>
      </w:r>
      <w:r w:rsidR="005B34B2">
        <w:rPr>
          <w:rFonts w:eastAsiaTheme="minorEastAsia"/>
        </w:rPr>
        <w:t>Board</w:t>
      </w:r>
      <w:r w:rsidR="009A0847">
        <w:rPr>
          <w:rFonts w:eastAsiaTheme="minorEastAsia"/>
        </w:rPr>
        <w:t xml:space="preserve"> </w:t>
      </w:r>
      <w:r w:rsidR="005B34B2">
        <w:rPr>
          <w:rFonts w:eastAsiaTheme="minorEastAsia"/>
        </w:rPr>
        <w:t>of</w:t>
      </w:r>
      <w:r w:rsidR="009A0847">
        <w:rPr>
          <w:rFonts w:eastAsiaTheme="minorEastAsia"/>
        </w:rPr>
        <w:t xml:space="preserve"> </w:t>
      </w:r>
      <w:r w:rsidR="005B34B2">
        <w:rPr>
          <w:rFonts w:eastAsiaTheme="minorEastAsia"/>
        </w:rPr>
        <w:t>Governors</w:t>
      </w:r>
      <w:r w:rsidR="009A0847">
        <w:rPr>
          <w:rFonts w:eastAsiaTheme="minorEastAsia"/>
        </w:rPr>
        <w:t xml:space="preserve"> </w:t>
      </w:r>
      <w:r w:rsidR="005B34B2">
        <w:rPr>
          <w:rFonts w:eastAsiaTheme="minorEastAsia"/>
        </w:rPr>
        <w:t>of</w:t>
      </w:r>
      <w:r w:rsidR="009A0847">
        <w:rPr>
          <w:rFonts w:eastAsiaTheme="minorEastAsia"/>
        </w:rPr>
        <w:t xml:space="preserve"> </w:t>
      </w:r>
      <w:r w:rsidR="005B34B2">
        <w:rPr>
          <w:rFonts w:eastAsiaTheme="minorEastAsia"/>
        </w:rPr>
        <w:t>the</w:t>
      </w:r>
      <w:r w:rsidR="009A0847">
        <w:rPr>
          <w:rFonts w:eastAsiaTheme="minorEastAsia"/>
        </w:rPr>
        <w:t xml:space="preserve"> </w:t>
      </w:r>
      <w:r w:rsidR="005B34B2">
        <w:rPr>
          <w:rFonts w:eastAsiaTheme="minorEastAsia"/>
        </w:rPr>
        <w:t>Federal</w:t>
      </w:r>
      <w:r w:rsidR="009A0847">
        <w:rPr>
          <w:rFonts w:eastAsiaTheme="minorEastAsia"/>
        </w:rPr>
        <w:t xml:space="preserve"> </w:t>
      </w:r>
      <w:r w:rsidR="005B34B2">
        <w:rPr>
          <w:rFonts w:eastAsiaTheme="minorEastAsia"/>
        </w:rPr>
        <w:t>Reserve</w:t>
      </w:r>
      <w:r w:rsidR="009A0847">
        <w:rPr>
          <w:rFonts w:eastAsiaTheme="minorEastAsia"/>
        </w:rPr>
        <w:t xml:space="preserve"> </w:t>
      </w:r>
      <w:r w:rsidR="005B34B2">
        <w:rPr>
          <w:rFonts w:eastAsiaTheme="minorEastAsia"/>
        </w:rPr>
        <w:t>System,</w:t>
      </w:r>
      <w:r w:rsidR="009A0847">
        <w:rPr>
          <w:rFonts w:eastAsiaTheme="minorEastAsia"/>
        </w:rPr>
        <w:t xml:space="preserve"> </w:t>
      </w:r>
      <w:r w:rsidR="00A3718C">
        <w:rPr>
          <w:rFonts w:eastAsiaTheme="minorEastAsia"/>
        </w:rPr>
        <w:t>d</w:t>
      </w:r>
      <w:r w:rsidR="005B34B2">
        <w:rPr>
          <w:rFonts w:eastAsiaTheme="minorEastAsia"/>
        </w:rPr>
        <w:t>eclaration</w:t>
      </w:r>
      <w:r w:rsidR="009A0847">
        <w:rPr>
          <w:rFonts w:eastAsiaTheme="minorEastAsia"/>
        </w:rPr>
        <w:t xml:space="preserve"> </w:t>
      </w:r>
      <w:r w:rsidR="005B34B2">
        <w:rPr>
          <w:rFonts w:eastAsiaTheme="minorEastAsia"/>
        </w:rPr>
        <w:t>of</w:t>
      </w:r>
      <w:r w:rsidR="009A0847">
        <w:rPr>
          <w:rFonts w:eastAsiaTheme="minorEastAsia"/>
        </w:rPr>
        <w:t xml:space="preserve"> </w:t>
      </w:r>
      <w:r w:rsidR="005B34B2">
        <w:rPr>
          <w:rFonts w:eastAsiaTheme="minorEastAsia"/>
        </w:rPr>
        <w:t>Brian</w:t>
      </w:r>
      <w:r w:rsidR="009A0847">
        <w:rPr>
          <w:rFonts w:eastAsiaTheme="minorEastAsia"/>
        </w:rPr>
        <w:t xml:space="preserve"> </w:t>
      </w:r>
      <w:r w:rsidR="005B34B2">
        <w:rPr>
          <w:rFonts w:eastAsiaTheme="minorEastAsia"/>
        </w:rPr>
        <w:t>F.</w:t>
      </w:r>
      <w:r w:rsidR="009A0847">
        <w:rPr>
          <w:rFonts w:eastAsiaTheme="minorEastAsia"/>
        </w:rPr>
        <w:t xml:space="preserve"> </w:t>
      </w:r>
      <w:r w:rsidR="005B34B2">
        <w:rPr>
          <w:rFonts w:eastAsiaTheme="minorEastAsia"/>
        </w:rPr>
        <w:t>Madigan,”</w:t>
      </w:r>
      <w:r w:rsidR="009A0847">
        <w:rPr>
          <w:rFonts w:eastAsiaTheme="minorEastAsia"/>
        </w:rPr>
        <w:t xml:space="preserve"> </w:t>
      </w:r>
      <w:r w:rsidR="005B34B2">
        <w:rPr>
          <w:rFonts w:eastAsiaTheme="minorEastAsia"/>
        </w:rPr>
        <w:t>Case</w:t>
      </w:r>
      <w:r w:rsidR="009A0847">
        <w:rPr>
          <w:rFonts w:eastAsiaTheme="minorEastAsia"/>
        </w:rPr>
        <w:t xml:space="preserve"> </w:t>
      </w:r>
      <w:r w:rsidR="005B34B2">
        <w:rPr>
          <w:rFonts w:eastAsiaTheme="minorEastAsia"/>
        </w:rPr>
        <w:t>number</w:t>
      </w:r>
      <w:r w:rsidR="009A0847">
        <w:rPr>
          <w:rFonts w:eastAsiaTheme="minorEastAsia"/>
        </w:rPr>
        <w:t xml:space="preserve"> </w:t>
      </w:r>
      <w:r w:rsidR="005B34B2">
        <w:rPr>
          <w:rFonts w:eastAsiaTheme="minorEastAsia"/>
        </w:rPr>
        <w:t>08</w:t>
      </w:r>
      <w:r w:rsidR="009A0847">
        <w:rPr>
          <w:rFonts w:eastAsiaTheme="minorEastAsia"/>
        </w:rPr>
        <w:t xml:space="preserve"> </w:t>
      </w:r>
      <w:r w:rsidR="005B34B2">
        <w:rPr>
          <w:rFonts w:eastAsiaTheme="minorEastAsia"/>
        </w:rPr>
        <w:t>Civ.</w:t>
      </w:r>
      <w:r w:rsidR="009A0847">
        <w:rPr>
          <w:rFonts w:eastAsiaTheme="minorEastAsia"/>
        </w:rPr>
        <w:t xml:space="preserve"> </w:t>
      </w:r>
      <w:r w:rsidR="005B34B2">
        <w:rPr>
          <w:rFonts w:eastAsiaTheme="minorEastAsia"/>
        </w:rPr>
        <w:t>9595</w:t>
      </w:r>
      <w:r w:rsidR="009A0847">
        <w:rPr>
          <w:rFonts w:eastAsiaTheme="minorEastAsia"/>
        </w:rPr>
        <w:t xml:space="preserve"> </w:t>
      </w:r>
      <w:r w:rsidR="005B34B2">
        <w:rPr>
          <w:rFonts w:eastAsiaTheme="minorEastAsia"/>
        </w:rPr>
        <w:t>(LAP).</w:t>
      </w:r>
    </w:p>
    <w:p w14:paraId="47E7AD1F" w14:textId="4A7476B5" w:rsidR="00A62DF9" w:rsidRPr="00895E03" w:rsidRDefault="00A62DF9" w:rsidP="00F86E09">
      <w:pPr>
        <w:widowControl w:val="0"/>
        <w:autoSpaceDE w:val="0"/>
        <w:autoSpaceDN w:val="0"/>
        <w:adjustRightInd w:val="0"/>
        <w:spacing w:after="80"/>
      </w:pPr>
      <w:r>
        <w:rPr>
          <w:rFonts w:eastAsiaTheme="minorEastAsia"/>
        </w:rPr>
        <w:t>Moffitt</w:t>
      </w:r>
      <w:r w:rsidR="009A0847">
        <w:rPr>
          <w:rFonts w:eastAsiaTheme="minorEastAsia"/>
        </w:rPr>
        <w:t xml:space="preserve"> </w:t>
      </w:r>
      <w:r>
        <w:rPr>
          <w:rFonts w:eastAsiaTheme="minorEastAsia"/>
        </w:rPr>
        <w:t>R.</w:t>
      </w:r>
      <w:r w:rsidR="009A0847">
        <w:rPr>
          <w:rFonts w:eastAsiaTheme="minorEastAsia"/>
        </w:rPr>
        <w:t xml:space="preserve"> </w:t>
      </w:r>
      <w:r>
        <w:rPr>
          <w:rFonts w:eastAsiaTheme="minorEastAsia"/>
        </w:rPr>
        <w:t>(1983)</w:t>
      </w:r>
      <w:r w:rsidR="009A0847">
        <w:rPr>
          <w:rFonts w:eastAsiaTheme="minorEastAsia"/>
        </w:rPr>
        <w:t xml:space="preserve"> </w:t>
      </w:r>
      <w:r>
        <w:rPr>
          <w:rFonts w:eastAsiaTheme="minorEastAsia"/>
        </w:rPr>
        <w:t>“An</w:t>
      </w:r>
      <w:r w:rsidR="009A0847">
        <w:rPr>
          <w:rFonts w:eastAsiaTheme="minorEastAsia"/>
        </w:rPr>
        <w:t xml:space="preserve"> </w:t>
      </w:r>
      <w:r>
        <w:rPr>
          <w:rFonts w:eastAsiaTheme="minorEastAsia"/>
        </w:rPr>
        <w:t>economic</w:t>
      </w:r>
      <w:r w:rsidR="009A0847">
        <w:rPr>
          <w:rFonts w:eastAsiaTheme="minorEastAsia"/>
        </w:rPr>
        <w:t xml:space="preserve"> </w:t>
      </w:r>
      <w:r>
        <w:rPr>
          <w:rFonts w:eastAsiaTheme="minorEastAsia"/>
        </w:rPr>
        <w:t>model</w:t>
      </w:r>
      <w:r w:rsidR="009A0847">
        <w:rPr>
          <w:rFonts w:eastAsiaTheme="minorEastAsia"/>
        </w:rPr>
        <w:t xml:space="preserve"> </w:t>
      </w:r>
      <w:r>
        <w:rPr>
          <w:rFonts w:eastAsiaTheme="minorEastAsia"/>
        </w:rPr>
        <w:t>of</w:t>
      </w:r>
      <w:r w:rsidR="009A0847">
        <w:rPr>
          <w:rFonts w:eastAsiaTheme="minorEastAsia"/>
        </w:rPr>
        <w:t xml:space="preserve"> </w:t>
      </w:r>
      <w:r>
        <w:rPr>
          <w:rFonts w:eastAsiaTheme="minorEastAsia"/>
        </w:rPr>
        <w:t>welfare</w:t>
      </w:r>
      <w:r w:rsidR="009A0847">
        <w:rPr>
          <w:rFonts w:eastAsiaTheme="minorEastAsia"/>
        </w:rPr>
        <w:t xml:space="preserve"> </w:t>
      </w:r>
      <w:r>
        <w:rPr>
          <w:rFonts w:eastAsiaTheme="minorEastAsia"/>
        </w:rPr>
        <w:t>stigma,”</w:t>
      </w:r>
      <w:r w:rsidR="009A0847">
        <w:rPr>
          <w:rFonts w:eastAsiaTheme="minorEastAsia"/>
        </w:rPr>
        <w:t xml:space="preserve"> </w:t>
      </w:r>
      <w:r w:rsidRPr="00E3136D">
        <w:rPr>
          <w:rFonts w:eastAsiaTheme="minorEastAsia"/>
          <w:i/>
        </w:rPr>
        <w:t>American</w:t>
      </w:r>
      <w:r w:rsidR="009A0847" w:rsidRPr="00E3136D">
        <w:rPr>
          <w:rFonts w:eastAsiaTheme="minorEastAsia"/>
          <w:i/>
        </w:rPr>
        <w:t xml:space="preserve"> </w:t>
      </w:r>
      <w:r w:rsidRPr="00E3136D">
        <w:rPr>
          <w:rFonts w:eastAsiaTheme="minorEastAsia"/>
          <w:i/>
        </w:rPr>
        <w:t>Economic</w:t>
      </w:r>
      <w:r w:rsidR="009A0847" w:rsidRPr="00E3136D">
        <w:rPr>
          <w:rFonts w:eastAsiaTheme="minorEastAsia"/>
          <w:i/>
        </w:rPr>
        <w:t xml:space="preserve"> </w:t>
      </w:r>
      <w:r w:rsidRPr="00E3136D">
        <w:rPr>
          <w:rFonts w:eastAsiaTheme="minorEastAsia"/>
          <w:i/>
        </w:rPr>
        <w:t>Review</w:t>
      </w:r>
      <w:r>
        <w:rPr>
          <w:rFonts w:eastAsiaTheme="minorEastAsia"/>
        </w:rPr>
        <w:t>,</w:t>
      </w:r>
      <w:r w:rsidR="009A0847">
        <w:rPr>
          <w:rFonts w:eastAsiaTheme="minorEastAsia"/>
        </w:rPr>
        <w:t xml:space="preserve"> </w:t>
      </w:r>
      <w:r>
        <w:rPr>
          <w:rFonts w:eastAsiaTheme="minorEastAsia"/>
        </w:rPr>
        <w:t>73(5),</w:t>
      </w:r>
      <w:r w:rsidR="009A0847">
        <w:rPr>
          <w:rFonts w:eastAsiaTheme="minorEastAsia"/>
        </w:rPr>
        <w:t xml:space="preserve"> </w:t>
      </w:r>
      <w:r>
        <w:rPr>
          <w:rFonts w:eastAsiaTheme="minorEastAsia"/>
        </w:rPr>
        <w:t>1023-1035.</w:t>
      </w:r>
    </w:p>
    <w:p w14:paraId="3F18A984" w14:textId="1FFB2B10" w:rsidR="005B34B2" w:rsidRDefault="001B3106" w:rsidP="00F86E09">
      <w:pPr>
        <w:pStyle w:val="Olivier1"/>
        <w:widowControl w:val="0"/>
        <w:spacing w:line="240" w:lineRule="auto"/>
      </w:pPr>
      <w:r>
        <w:t>Moore</w:t>
      </w:r>
      <w:r w:rsidR="009A0847">
        <w:t xml:space="preserve"> </w:t>
      </w:r>
      <w:r w:rsidR="005B34B2" w:rsidRPr="005B34B2">
        <w:t>E</w:t>
      </w:r>
      <w:r w:rsidR="005B34B2">
        <w:t>.</w:t>
      </w:r>
      <w:r w:rsidR="009A0847">
        <w:t xml:space="preserve"> </w:t>
      </w:r>
      <w:r w:rsidR="005B34B2">
        <w:t>(2017)</w:t>
      </w:r>
      <w:r w:rsidR="009A0847">
        <w:t xml:space="preserve"> </w:t>
      </w:r>
      <w:r w:rsidR="005B34B2">
        <w:t>“Auction-based</w:t>
      </w:r>
      <w:r w:rsidR="009A0847">
        <w:t xml:space="preserve"> </w:t>
      </w:r>
      <w:r w:rsidR="005B34B2">
        <w:t>l</w:t>
      </w:r>
      <w:r w:rsidR="005B34B2" w:rsidRPr="005B34B2">
        <w:t>iquidity</w:t>
      </w:r>
      <w:r w:rsidR="009A0847">
        <w:t xml:space="preserve"> </w:t>
      </w:r>
      <w:r w:rsidR="005B34B2" w:rsidRPr="005B34B2">
        <w:t>of</w:t>
      </w:r>
      <w:r w:rsidR="009A0847">
        <w:t xml:space="preserve"> </w:t>
      </w:r>
      <w:r w:rsidR="005B34B2">
        <w:t>l</w:t>
      </w:r>
      <w:r w:rsidR="005B34B2" w:rsidRPr="005B34B2">
        <w:t>ast</w:t>
      </w:r>
      <w:r w:rsidR="009A0847">
        <w:t xml:space="preserve"> </w:t>
      </w:r>
      <w:r w:rsidR="005B34B2">
        <w:t>r</w:t>
      </w:r>
      <w:r w:rsidR="005B34B2" w:rsidRPr="005B34B2">
        <w:t>esort</w:t>
      </w:r>
      <w:r w:rsidR="005B34B2">
        <w:t>,”</w:t>
      </w:r>
      <w:r w:rsidR="009A0847">
        <w:t xml:space="preserve"> </w:t>
      </w:r>
      <w:r w:rsidR="005B34B2">
        <w:t>manuscript</w:t>
      </w:r>
      <w:r w:rsidR="00E3136D">
        <w:t xml:space="preserve">, </w:t>
      </w:r>
      <w:r w:rsidR="005B34B2">
        <w:t>University</w:t>
      </w:r>
      <w:r w:rsidR="009A0847">
        <w:t xml:space="preserve"> </w:t>
      </w:r>
      <w:r w:rsidR="005B34B2">
        <w:t>of</w:t>
      </w:r>
      <w:r w:rsidR="009A0847">
        <w:t xml:space="preserve"> </w:t>
      </w:r>
      <w:r w:rsidR="005B34B2">
        <w:t>Pennsylvania.</w:t>
      </w:r>
      <w:r w:rsidR="009A0847">
        <w:t xml:space="preserve"> </w:t>
      </w:r>
    </w:p>
    <w:p w14:paraId="14A6F083" w14:textId="4D3AE0AF" w:rsidR="00535F98" w:rsidRDefault="00535F98" w:rsidP="00F86E09">
      <w:pPr>
        <w:pStyle w:val="Olivier1"/>
        <w:widowControl w:val="0"/>
        <w:spacing w:line="240" w:lineRule="auto"/>
      </w:pPr>
      <w:r>
        <w:t>Ne</w:t>
      </w:r>
      <w:r w:rsidR="001B3106">
        <w:t>lson</w:t>
      </w:r>
      <w:r w:rsidR="009A0847">
        <w:t xml:space="preserve"> </w:t>
      </w:r>
      <w:r>
        <w:t>W.</w:t>
      </w:r>
      <w:r w:rsidR="009A0847">
        <w:t xml:space="preserve"> </w:t>
      </w:r>
      <w:r>
        <w:t>(2017)</w:t>
      </w:r>
      <w:r w:rsidR="009A0847">
        <w:t xml:space="preserve"> </w:t>
      </w:r>
      <w:r>
        <w:t>“Recognizing</w:t>
      </w:r>
      <w:r w:rsidR="009A0847">
        <w:t xml:space="preserve"> </w:t>
      </w:r>
      <w:r>
        <w:t>the</w:t>
      </w:r>
      <w:r w:rsidR="009A0847">
        <w:t xml:space="preserve"> </w:t>
      </w:r>
      <w:r>
        <w:t>value</w:t>
      </w:r>
      <w:r w:rsidR="009A0847">
        <w:t xml:space="preserve"> </w:t>
      </w:r>
      <w:r>
        <w:t>of</w:t>
      </w:r>
      <w:r w:rsidR="009A0847">
        <w:t xml:space="preserve"> </w:t>
      </w:r>
      <w:r>
        <w:t>the</w:t>
      </w:r>
      <w:r w:rsidR="009A0847">
        <w:t xml:space="preserve"> </w:t>
      </w:r>
      <w:r>
        <w:t>central</w:t>
      </w:r>
      <w:r w:rsidR="009A0847">
        <w:t xml:space="preserve"> </w:t>
      </w:r>
      <w:r>
        <w:t>bank</w:t>
      </w:r>
      <w:r w:rsidR="009A0847">
        <w:t xml:space="preserve"> </w:t>
      </w:r>
      <w:r>
        <w:t>as</w:t>
      </w:r>
      <w:r w:rsidR="009A0847">
        <w:t xml:space="preserve"> </w:t>
      </w:r>
      <w:r>
        <w:t>a</w:t>
      </w:r>
      <w:r w:rsidR="009A0847">
        <w:t xml:space="preserve"> </w:t>
      </w:r>
      <w:r>
        <w:t>liquidity</w:t>
      </w:r>
      <w:r w:rsidR="009A0847">
        <w:t xml:space="preserve"> </w:t>
      </w:r>
      <w:r>
        <w:t>backstop,”</w:t>
      </w:r>
      <w:r w:rsidR="009A0847">
        <w:t xml:space="preserve"> </w:t>
      </w:r>
      <w:r>
        <w:t>Staff</w:t>
      </w:r>
      <w:r w:rsidR="009A0847">
        <w:t xml:space="preserve"> </w:t>
      </w:r>
      <w:r>
        <w:t>Paper</w:t>
      </w:r>
      <w:r w:rsidR="009A0847">
        <w:t xml:space="preserve"> </w:t>
      </w:r>
      <w:r>
        <w:t>2017-1,</w:t>
      </w:r>
      <w:r w:rsidR="009A0847">
        <w:t xml:space="preserve"> </w:t>
      </w:r>
      <w:r>
        <w:t>the</w:t>
      </w:r>
      <w:r w:rsidR="009A0847">
        <w:t xml:space="preserve"> </w:t>
      </w:r>
      <w:r>
        <w:t>Clearing</w:t>
      </w:r>
      <w:r w:rsidR="009A0847">
        <w:t xml:space="preserve"> </w:t>
      </w:r>
      <w:r>
        <w:t>House</w:t>
      </w:r>
      <w:r w:rsidR="009A0847">
        <w:t xml:space="preserve"> </w:t>
      </w:r>
      <w:r>
        <w:t>Association.</w:t>
      </w:r>
      <w:r w:rsidR="009A0847">
        <w:t xml:space="preserve"> </w:t>
      </w:r>
    </w:p>
    <w:p w14:paraId="5A30BDFC" w14:textId="66CA7716" w:rsidR="00D64EC1" w:rsidRDefault="00615D84" w:rsidP="00F86E09">
      <w:pPr>
        <w:pStyle w:val="Olivier1"/>
        <w:widowControl w:val="0"/>
        <w:spacing w:line="240" w:lineRule="auto"/>
      </w:pPr>
      <w:r>
        <w:t>Occhino</w:t>
      </w:r>
      <w:r w:rsidR="009A0847">
        <w:t xml:space="preserve"> </w:t>
      </w:r>
      <w:r w:rsidRPr="00615D84">
        <w:t>F</w:t>
      </w:r>
      <w:r>
        <w:t>.</w:t>
      </w:r>
      <w:r w:rsidR="009A0847">
        <w:t xml:space="preserve"> </w:t>
      </w:r>
      <w:r>
        <w:t>(2016)</w:t>
      </w:r>
      <w:r w:rsidR="009A0847">
        <w:t xml:space="preserve"> </w:t>
      </w:r>
      <w:r w:rsidR="00A7691C">
        <w:t>“Central</w:t>
      </w:r>
      <w:r w:rsidR="009A0847">
        <w:t xml:space="preserve"> </w:t>
      </w:r>
      <w:r w:rsidR="00A7691C">
        <w:t>bank</w:t>
      </w:r>
      <w:r w:rsidR="009A0847">
        <w:t xml:space="preserve"> </w:t>
      </w:r>
      <w:r w:rsidR="00A7691C">
        <w:t>lending</w:t>
      </w:r>
      <w:r w:rsidR="009A0847">
        <w:t xml:space="preserve"> </w:t>
      </w:r>
      <w:r w:rsidR="00A7691C">
        <w:t>in</w:t>
      </w:r>
      <w:r w:rsidR="009A0847">
        <w:t xml:space="preserve"> </w:t>
      </w:r>
      <w:r w:rsidR="00A7691C">
        <w:t>a</w:t>
      </w:r>
      <w:r w:rsidR="009A0847">
        <w:t xml:space="preserve"> </w:t>
      </w:r>
      <w:r w:rsidR="00A7691C">
        <w:t>liquidity</w:t>
      </w:r>
      <w:r w:rsidR="009A0847">
        <w:t xml:space="preserve"> </w:t>
      </w:r>
      <w:r w:rsidR="00A7691C">
        <w:t>c</w:t>
      </w:r>
      <w:r w:rsidRPr="00615D84">
        <w:t>risis,”</w:t>
      </w:r>
      <w:r w:rsidR="009A0847">
        <w:t xml:space="preserve"> </w:t>
      </w:r>
      <w:r w:rsidRPr="00615D84">
        <w:rPr>
          <w:i/>
        </w:rPr>
        <w:t>Federal</w:t>
      </w:r>
      <w:r w:rsidR="009A0847">
        <w:rPr>
          <w:i/>
        </w:rPr>
        <w:t xml:space="preserve"> </w:t>
      </w:r>
      <w:r w:rsidRPr="00615D84">
        <w:rPr>
          <w:i/>
        </w:rPr>
        <w:t>Reserve</w:t>
      </w:r>
      <w:r w:rsidR="009A0847">
        <w:rPr>
          <w:i/>
        </w:rPr>
        <w:t xml:space="preserve"> </w:t>
      </w:r>
      <w:r w:rsidRPr="00615D84">
        <w:rPr>
          <w:i/>
        </w:rPr>
        <w:t>Bank</w:t>
      </w:r>
      <w:r w:rsidR="009A0847">
        <w:rPr>
          <w:i/>
        </w:rPr>
        <w:t xml:space="preserve"> </w:t>
      </w:r>
      <w:r w:rsidRPr="00615D84">
        <w:rPr>
          <w:i/>
        </w:rPr>
        <w:t>of</w:t>
      </w:r>
      <w:r w:rsidR="009A0847">
        <w:rPr>
          <w:i/>
        </w:rPr>
        <w:t xml:space="preserve"> </w:t>
      </w:r>
      <w:r w:rsidRPr="00615D84">
        <w:rPr>
          <w:i/>
        </w:rPr>
        <w:t>Cleveland</w:t>
      </w:r>
      <w:r w:rsidR="009A0847">
        <w:rPr>
          <w:i/>
        </w:rPr>
        <w:t xml:space="preserve"> </w:t>
      </w:r>
      <w:r w:rsidRPr="00615D84">
        <w:rPr>
          <w:i/>
        </w:rPr>
        <w:t>Economic</w:t>
      </w:r>
      <w:r w:rsidR="009A0847">
        <w:rPr>
          <w:i/>
        </w:rPr>
        <w:t xml:space="preserve"> </w:t>
      </w:r>
      <w:r w:rsidRPr="00615D84">
        <w:rPr>
          <w:i/>
        </w:rPr>
        <w:t>Commentary</w:t>
      </w:r>
      <w:r w:rsidR="001C0402">
        <w:t>,</w:t>
      </w:r>
      <w:r w:rsidR="009A0847">
        <w:t xml:space="preserve"> </w:t>
      </w:r>
      <w:r w:rsidRPr="00615D84">
        <w:t>No.</w:t>
      </w:r>
      <w:r w:rsidR="009A0847">
        <w:t xml:space="preserve"> </w:t>
      </w:r>
      <w:r w:rsidRPr="00615D84">
        <w:t>2016-02.</w:t>
      </w:r>
      <w:r w:rsidR="009A0847">
        <w:t xml:space="preserve"> </w:t>
      </w:r>
    </w:p>
    <w:p w14:paraId="75EC4EF4" w14:textId="2A43F6C7" w:rsidR="00BF71B4" w:rsidRDefault="001B3106" w:rsidP="00F86E09">
      <w:pPr>
        <w:pStyle w:val="Olivier1"/>
        <w:widowControl w:val="0"/>
        <w:spacing w:line="240" w:lineRule="auto"/>
      </w:pPr>
      <w:r>
        <w:t>Potter</w:t>
      </w:r>
      <w:r w:rsidR="009A0847">
        <w:t xml:space="preserve"> </w:t>
      </w:r>
      <w:r w:rsidR="00BF71B4">
        <w:t>S.</w:t>
      </w:r>
      <w:r w:rsidR="009A0847">
        <w:t xml:space="preserve"> </w:t>
      </w:r>
      <w:r w:rsidR="00BF71B4">
        <w:t>(2016)</w:t>
      </w:r>
      <w:r w:rsidR="009A0847">
        <w:t xml:space="preserve"> </w:t>
      </w:r>
      <w:r w:rsidR="00BF71B4">
        <w:t>“</w:t>
      </w:r>
      <w:r w:rsidR="005A1FE5">
        <w:t>Discussion</w:t>
      </w:r>
      <w:r w:rsidR="009A0847">
        <w:t xml:space="preserve"> </w:t>
      </w:r>
      <w:r w:rsidR="005A1FE5">
        <w:t>of</w:t>
      </w:r>
      <w:r w:rsidR="009A0847">
        <w:t xml:space="preserve"> </w:t>
      </w:r>
      <w:r w:rsidR="005A1FE5">
        <w:t>‘</w:t>
      </w:r>
      <w:r w:rsidR="00BF71B4">
        <w:t>Evaluating</w:t>
      </w:r>
      <w:r w:rsidR="009A0847">
        <w:t xml:space="preserve"> </w:t>
      </w:r>
      <w:r w:rsidR="00BF71B4">
        <w:t>monetary</w:t>
      </w:r>
      <w:r w:rsidR="009A0847">
        <w:t xml:space="preserve"> </w:t>
      </w:r>
      <w:r w:rsidR="00BF71B4">
        <w:t>policy</w:t>
      </w:r>
      <w:r w:rsidR="009A0847">
        <w:t xml:space="preserve"> </w:t>
      </w:r>
      <w:r w:rsidR="00BF71B4">
        <w:t>operational</w:t>
      </w:r>
      <w:r w:rsidR="009A0847">
        <w:t xml:space="preserve"> </w:t>
      </w:r>
      <w:r w:rsidR="00BF71B4">
        <w:t>framework’,”</w:t>
      </w:r>
      <w:r w:rsidR="009A0847">
        <w:t xml:space="preserve"> </w:t>
      </w:r>
      <w:r w:rsidR="00BF71B4">
        <w:t>at</w:t>
      </w:r>
      <w:r w:rsidR="009A0847">
        <w:t xml:space="preserve"> </w:t>
      </w:r>
      <w:r w:rsidR="005A1FE5">
        <w:t>the</w:t>
      </w:r>
      <w:r w:rsidR="009A0847">
        <w:t xml:space="preserve"> </w:t>
      </w:r>
      <w:r w:rsidR="00BF71B4" w:rsidRPr="005A1FE5">
        <w:rPr>
          <w:i/>
        </w:rPr>
        <w:t>Designing</w:t>
      </w:r>
      <w:r w:rsidR="009A0847">
        <w:rPr>
          <w:i/>
        </w:rPr>
        <w:t xml:space="preserve"> </w:t>
      </w:r>
      <w:r w:rsidR="00BF71B4" w:rsidRPr="005A1FE5">
        <w:rPr>
          <w:i/>
        </w:rPr>
        <w:t>Resilient</w:t>
      </w:r>
      <w:r w:rsidR="009A0847">
        <w:rPr>
          <w:i/>
        </w:rPr>
        <w:t xml:space="preserve"> </w:t>
      </w:r>
      <w:r w:rsidR="005A1FE5" w:rsidRPr="005A1FE5">
        <w:rPr>
          <w:i/>
        </w:rPr>
        <w:t>monetary</w:t>
      </w:r>
      <w:r w:rsidR="009A0847">
        <w:rPr>
          <w:i/>
        </w:rPr>
        <w:t xml:space="preserve"> </w:t>
      </w:r>
      <w:r w:rsidR="005A1FE5" w:rsidRPr="005A1FE5">
        <w:rPr>
          <w:i/>
        </w:rPr>
        <w:t>Policy</w:t>
      </w:r>
      <w:r w:rsidR="009A0847">
        <w:rPr>
          <w:i/>
        </w:rPr>
        <w:t xml:space="preserve"> </w:t>
      </w:r>
      <w:r w:rsidR="005A1FE5" w:rsidRPr="005A1FE5">
        <w:rPr>
          <w:i/>
        </w:rPr>
        <w:t>Framework</w:t>
      </w:r>
      <w:r w:rsidR="009A0847">
        <w:rPr>
          <w:i/>
        </w:rPr>
        <w:t xml:space="preserve"> </w:t>
      </w:r>
      <w:r w:rsidR="005A1FE5" w:rsidRPr="005A1FE5">
        <w:rPr>
          <w:i/>
        </w:rPr>
        <w:t>for</w:t>
      </w:r>
      <w:r w:rsidR="009A0847">
        <w:rPr>
          <w:i/>
        </w:rPr>
        <w:t xml:space="preserve"> </w:t>
      </w:r>
      <w:r w:rsidR="005A1FE5" w:rsidRPr="005A1FE5">
        <w:rPr>
          <w:i/>
        </w:rPr>
        <w:t>the</w:t>
      </w:r>
      <w:r w:rsidR="009A0847">
        <w:rPr>
          <w:i/>
        </w:rPr>
        <w:t xml:space="preserve"> </w:t>
      </w:r>
      <w:r w:rsidR="005A1FE5" w:rsidRPr="005A1FE5">
        <w:rPr>
          <w:i/>
        </w:rPr>
        <w:t>Future</w:t>
      </w:r>
      <w:r w:rsidR="009A0847">
        <w:t xml:space="preserve"> </w:t>
      </w:r>
      <w:r w:rsidR="005A1FE5">
        <w:t>symposium</w:t>
      </w:r>
      <w:r w:rsidR="00E51B12">
        <w:t>.</w:t>
      </w:r>
    </w:p>
    <w:p w14:paraId="1A123857" w14:textId="7CEAB156" w:rsidR="00FF244D" w:rsidRPr="008B4DE4" w:rsidRDefault="00971028" w:rsidP="00F86E09">
      <w:pPr>
        <w:pStyle w:val="Olivier1"/>
        <w:widowControl w:val="0"/>
        <w:spacing w:line="240" w:lineRule="auto"/>
        <w:rPr>
          <w:rStyle w:val="pages"/>
        </w:rPr>
      </w:pPr>
      <w:r w:rsidRPr="008B4DE4">
        <w:rPr>
          <w:rStyle w:val="author"/>
        </w:rPr>
        <w:t>Reinhart</w:t>
      </w:r>
      <w:r w:rsidR="009A0847">
        <w:rPr>
          <w:rStyle w:val="author"/>
        </w:rPr>
        <w:t xml:space="preserve"> </w:t>
      </w:r>
      <w:r w:rsidR="00FF244D" w:rsidRPr="008B4DE4">
        <w:rPr>
          <w:rStyle w:val="author"/>
        </w:rPr>
        <w:t>C</w:t>
      </w:r>
      <w:r w:rsidRPr="008B4DE4">
        <w:rPr>
          <w:rStyle w:val="author"/>
        </w:rPr>
        <w:t>.</w:t>
      </w:r>
      <w:r w:rsidR="009A0847">
        <w:rPr>
          <w:rStyle w:val="author"/>
        </w:rPr>
        <w:t xml:space="preserve"> </w:t>
      </w:r>
      <w:r w:rsidR="00FF244D" w:rsidRPr="008B4DE4">
        <w:rPr>
          <w:rStyle w:val="author"/>
        </w:rPr>
        <w:t>and</w:t>
      </w:r>
      <w:r w:rsidR="009A0847">
        <w:rPr>
          <w:rStyle w:val="author"/>
        </w:rPr>
        <w:t xml:space="preserve"> </w:t>
      </w:r>
      <w:r w:rsidR="00FF244D" w:rsidRPr="008B4DE4">
        <w:rPr>
          <w:rStyle w:val="author"/>
        </w:rPr>
        <w:t>C</w:t>
      </w:r>
      <w:r w:rsidRPr="008B4DE4">
        <w:rPr>
          <w:rStyle w:val="author"/>
        </w:rPr>
        <w:t>.</w:t>
      </w:r>
      <w:r w:rsidR="009A0847">
        <w:rPr>
          <w:rStyle w:val="author"/>
        </w:rPr>
        <w:t xml:space="preserve"> </w:t>
      </w:r>
      <w:r w:rsidR="00FF244D" w:rsidRPr="008B4DE4">
        <w:rPr>
          <w:rStyle w:val="author"/>
        </w:rPr>
        <w:t>Trebesch</w:t>
      </w:r>
      <w:r w:rsidR="009A0847">
        <w:rPr>
          <w:rStyle w:val="author"/>
        </w:rPr>
        <w:t xml:space="preserve"> </w:t>
      </w:r>
      <w:r w:rsidRPr="008B4DE4">
        <w:rPr>
          <w:rStyle w:val="author"/>
        </w:rPr>
        <w:t>(</w:t>
      </w:r>
      <w:r w:rsidR="00FF244D" w:rsidRPr="008B4DE4">
        <w:rPr>
          <w:rStyle w:val="year"/>
        </w:rPr>
        <w:t>2016</w:t>
      </w:r>
      <w:r w:rsidRPr="008B4DE4">
        <w:rPr>
          <w:rStyle w:val="year"/>
        </w:rPr>
        <w:t>)</w:t>
      </w:r>
      <w:r w:rsidR="009A0847">
        <w:rPr>
          <w:rStyle w:val="year"/>
        </w:rPr>
        <w:t xml:space="preserve"> </w:t>
      </w:r>
      <w:r w:rsidRPr="008B4DE4">
        <w:rPr>
          <w:rStyle w:val="year"/>
        </w:rPr>
        <w:t>“</w:t>
      </w:r>
      <w:r w:rsidR="00FF244D" w:rsidRPr="008B4DE4">
        <w:rPr>
          <w:rStyle w:val="Title1"/>
        </w:rPr>
        <w:t>The</w:t>
      </w:r>
      <w:r w:rsidR="009A0847">
        <w:rPr>
          <w:rStyle w:val="Title1"/>
        </w:rPr>
        <w:t xml:space="preserve"> </w:t>
      </w:r>
      <w:r w:rsidR="00FF244D" w:rsidRPr="008B4DE4">
        <w:rPr>
          <w:rStyle w:val="Title1"/>
        </w:rPr>
        <w:t>I</w:t>
      </w:r>
      <w:r w:rsidRPr="008B4DE4">
        <w:rPr>
          <w:rStyle w:val="Title1"/>
        </w:rPr>
        <w:t>nternational</w:t>
      </w:r>
      <w:r w:rsidR="009A0847">
        <w:rPr>
          <w:rStyle w:val="Title1"/>
        </w:rPr>
        <w:t xml:space="preserve"> </w:t>
      </w:r>
      <w:r w:rsidRPr="008B4DE4">
        <w:rPr>
          <w:rStyle w:val="Title1"/>
        </w:rPr>
        <w:t>Monetary</w:t>
      </w:r>
      <w:r w:rsidR="009A0847">
        <w:rPr>
          <w:rStyle w:val="Title1"/>
        </w:rPr>
        <w:t xml:space="preserve"> </w:t>
      </w:r>
      <w:r w:rsidRPr="008B4DE4">
        <w:rPr>
          <w:rStyle w:val="Title1"/>
        </w:rPr>
        <w:t>Fund:</w:t>
      </w:r>
      <w:r w:rsidR="009A0847">
        <w:rPr>
          <w:rStyle w:val="Title1"/>
        </w:rPr>
        <w:t xml:space="preserve"> </w:t>
      </w:r>
      <w:r w:rsidRPr="008B4DE4">
        <w:rPr>
          <w:rStyle w:val="Title1"/>
        </w:rPr>
        <w:t>70</w:t>
      </w:r>
      <w:r w:rsidR="009A0847">
        <w:rPr>
          <w:rStyle w:val="Title1"/>
        </w:rPr>
        <w:t xml:space="preserve"> </w:t>
      </w:r>
      <w:r w:rsidRPr="008B4DE4">
        <w:rPr>
          <w:rStyle w:val="Title1"/>
        </w:rPr>
        <w:t>years</w:t>
      </w:r>
      <w:r w:rsidR="009A0847">
        <w:rPr>
          <w:rStyle w:val="Title1"/>
        </w:rPr>
        <w:t xml:space="preserve"> </w:t>
      </w:r>
      <w:r w:rsidRPr="008B4DE4">
        <w:rPr>
          <w:rStyle w:val="Title1"/>
        </w:rPr>
        <w:t>of</w:t>
      </w:r>
      <w:r w:rsidR="009A0847">
        <w:rPr>
          <w:rStyle w:val="Title1"/>
        </w:rPr>
        <w:t xml:space="preserve"> </w:t>
      </w:r>
      <w:r w:rsidRPr="008B4DE4">
        <w:rPr>
          <w:rStyle w:val="Title1"/>
        </w:rPr>
        <w:t>r</w:t>
      </w:r>
      <w:r w:rsidR="00FF244D" w:rsidRPr="008B4DE4">
        <w:rPr>
          <w:rStyle w:val="Title1"/>
        </w:rPr>
        <w:t>einvention</w:t>
      </w:r>
      <w:r w:rsidRPr="008B4DE4">
        <w:rPr>
          <w:rStyle w:val="Title1"/>
        </w:rPr>
        <w:t>,”</w:t>
      </w:r>
      <w:r w:rsidR="009A0847">
        <w:t xml:space="preserve"> </w:t>
      </w:r>
      <w:r w:rsidR="00FF244D" w:rsidRPr="008B4DE4">
        <w:rPr>
          <w:rStyle w:val="journal"/>
          <w:i/>
        </w:rPr>
        <w:t>Journal</w:t>
      </w:r>
      <w:r w:rsidR="009A0847">
        <w:rPr>
          <w:rStyle w:val="journal"/>
          <w:i/>
        </w:rPr>
        <w:t xml:space="preserve"> </w:t>
      </w:r>
      <w:r w:rsidR="00FF244D" w:rsidRPr="008B4DE4">
        <w:rPr>
          <w:rStyle w:val="journal"/>
          <w:i/>
        </w:rPr>
        <w:t>of</w:t>
      </w:r>
      <w:r w:rsidR="009A0847">
        <w:rPr>
          <w:rStyle w:val="journal"/>
          <w:i/>
        </w:rPr>
        <w:t xml:space="preserve"> </w:t>
      </w:r>
      <w:r w:rsidR="00FF244D" w:rsidRPr="008B4DE4">
        <w:rPr>
          <w:rStyle w:val="journal"/>
          <w:i/>
        </w:rPr>
        <w:t>Economic</w:t>
      </w:r>
      <w:r w:rsidR="009A0847">
        <w:rPr>
          <w:rStyle w:val="journal"/>
          <w:i/>
        </w:rPr>
        <w:t xml:space="preserve"> </w:t>
      </w:r>
      <w:r w:rsidR="00FF244D" w:rsidRPr="008B4DE4">
        <w:rPr>
          <w:rStyle w:val="journal"/>
          <w:i/>
        </w:rPr>
        <w:t>Perspectives</w:t>
      </w:r>
      <w:r w:rsidR="00FF244D" w:rsidRPr="008B4DE4">
        <w:t>,</w:t>
      </w:r>
      <w:r w:rsidR="009A0847">
        <w:t xml:space="preserve"> </w:t>
      </w:r>
      <w:r w:rsidRPr="008B4DE4">
        <w:rPr>
          <w:rStyle w:val="vol"/>
        </w:rPr>
        <w:t>30</w:t>
      </w:r>
      <w:r w:rsidR="009A0847">
        <w:rPr>
          <w:rStyle w:val="vol"/>
        </w:rPr>
        <w:t xml:space="preserve"> </w:t>
      </w:r>
      <w:r w:rsidRPr="008B4DE4">
        <w:rPr>
          <w:rStyle w:val="vol"/>
        </w:rPr>
        <w:t>(1),</w:t>
      </w:r>
      <w:r w:rsidR="009A0847">
        <w:rPr>
          <w:rStyle w:val="vol"/>
        </w:rPr>
        <w:t xml:space="preserve"> </w:t>
      </w:r>
      <w:r w:rsidR="00FF244D" w:rsidRPr="008B4DE4">
        <w:rPr>
          <w:rStyle w:val="vol"/>
        </w:rPr>
        <w:t>3-28</w:t>
      </w:r>
      <w:r w:rsidR="00FF244D" w:rsidRPr="008B4DE4">
        <w:rPr>
          <w:rStyle w:val="pages"/>
        </w:rPr>
        <w:t>.</w:t>
      </w:r>
    </w:p>
    <w:p w14:paraId="50A7C63B" w14:textId="422E992D" w:rsidR="00D64EC1" w:rsidRDefault="00D64EC1" w:rsidP="00F86E09">
      <w:pPr>
        <w:pStyle w:val="Olivier1"/>
        <w:widowControl w:val="0"/>
        <w:spacing w:line="240" w:lineRule="auto"/>
      </w:pPr>
      <w:r>
        <w:t>Rochet</w:t>
      </w:r>
      <w:r w:rsidR="009A0847">
        <w:t xml:space="preserve"> </w:t>
      </w:r>
      <w:r w:rsidRPr="00D64EC1">
        <w:t>J-C</w:t>
      </w:r>
      <w:r>
        <w:t>.</w:t>
      </w:r>
      <w:r w:rsidR="009A0847">
        <w:t xml:space="preserve"> </w:t>
      </w:r>
      <w:r w:rsidRPr="00D64EC1">
        <w:t>and</w:t>
      </w:r>
      <w:r w:rsidR="009A0847">
        <w:t xml:space="preserve"> </w:t>
      </w:r>
      <w:r w:rsidRPr="00D64EC1">
        <w:t>X</w:t>
      </w:r>
      <w:r>
        <w:t>.</w:t>
      </w:r>
      <w:r w:rsidR="009A0847">
        <w:t xml:space="preserve"> </w:t>
      </w:r>
      <w:r>
        <w:t>Vives</w:t>
      </w:r>
      <w:r w:rsidR="009A0847">
        <w:t xml:space="preserve"> </w:t>
      </w:r>
      <w:r>
        <w:t>(2004)</w:t>
      </w:r>
      <w:r w:rsidR="009A0847">
        <w:t xml:space="preserve"> </w:t>
      </w:r>
      <w:r w:rsidRPr="00D64EC1">
        <w:t>“Coordination</w:t>
      </w:r>
      <w:r w:rsidR="009A0847">
        <w:t xml:space="preserve"> </w:t>
      </w:r>
      <w:r w:rsidRPr="00D64EC1">
        <w:t>failures</w:t>
      </w:r>
      <w:r w:rsidR="009A0847">
        <w:t xml:space="preserve"> </w:t>
      </w:r>
      <w:r w:rsidRPr="00D64EC1">
        <w:t>and</w:t>
      </w:r>
      <w:r w:rsidR="009A0847">
        <w:t xml:space="preserve"> </w:t>
      </w:r>
      <w:r w:rsidRPr="00D64EC1">
        <w:t>the</w:t>
      </w:r>
      <w:r w:rsidR="009A0847">
        <w:t xml:space="preserve"> </w:t>
      </w:r>
      <w:r w:rsidRPr="00D64EC1">
        <w:t>lender</w:t>
      </w:r>
      <w:r w:rsidR="009A0847">
        <w:t xml:space="preserve"> </w:t>
      </w:r>
      <w:r w:rsidRPr="00D64EC1">
        <w:t>of</w:t>
      </w:r>
      <w:r w:rsidR="009A0847">
        <w:t xml:space="preserve"> </w:t>
      </w:r>
      <w:r w:rsidRPr="00D64EC1">
        <w:t>last</w:t>
      </w:r>
      <w:r w:rsidR="009A0847">
        <w:t xml:space="preserve"> </w:t>
      </w:r>
      <w:r w:rsidRPr="00D64EC1">
        <w:t>resort</w:t>
      </w:r>
      <w:r>
        <w:t>:</w:t>
      </w:r>
      <w:r w:rsidR="009A0847">
        <w:t xml:space="preserve"> </w:t>
      </w:r>
      <w:r>
        <w:t>Was</w:t>
      </w:r>
      <w:r w:rsidR="009A0847">
        <w:t xml:space="preserve"> </w:t>
      </w:r>
      <w:r>
        <w:t>Bagehot</w:t>
      </w:r>
      <w:r w:rsidR="009A0847">
        <w:t xml:space="preserve"> </w:t>
      </w:r>
      <w:r>
        <w:t>right</w:t>
      </w:r>
      <w:r w:rsidR="009A0847">
        <w:t xml:space="preserve"> </w:t>
      </w:r>
      <w:r>
        <w:t>after</w:t>
      </w:r>
      <w:r w:rsidR="009A0847">
        <w:t xml:space="preserve"> </w:t>
      </w:r>
      <w:r>
        <w:t>all?”</w:t>
      </w:r>
      <w:r w:rsidR="009A0847">
        <w:t xml:space="preserve"> </w:t>
      </w:r>
      <w:r w:rsidRPr="00D64EC1">
        <w:rPr>
          <w:i/>
        </w:rPr>
        <w:t>Journal</w:t>
      </w:r>
      <w:r w:rsidR="009A0847">
        <w:rPr>
          <w:i/>
        </w:rPr>
        <w:t xml:space="preserve"> </w:t>
      </w:r>
      <w:r w:rsidRPr="00D64EC1">
        <w:rPr>
          <w:i/>
        </w:rPr>
        <w:t>of</w:t>
      </w:r>
      <w:r w:rsidR="009A0847">
        <w:rPr>
          <w:i/>
        </w:rPr>
        <w:t xml:space="preserve"> </w:t>
      </w:r>
      <w:r w:rsidRPr="00D64EC1">
        <w:rPr>
          <w:i/>
        </w:rPr>
        <w:t>the</w:t>
      </w:r>
      <w:r w:rsidR="009A0847">
        <w:rPr>
          <w:i/>
        </w:rPr>
        <w:t xml:space="preserve"> </w:t>
      </w:r>
      <w:r w:rsidRPr="00D64EC1">
        <w:rPr>
          <w:i/>
        </w:rPr>
        <w:t>European</w:t>
      </w:r>
      <w:r w:rsidR="009A0847">
        <w:rPr>
          <w:i/>
        </w:rPr>
        <w:t xml:space="preserve"> </w:t>
      </w:r>
      <w:r w:rsidRPr="00D64EC1">
        <w:rPr>
          <w:i/>
        </w:rPr>
        <w:t>Economic</w:t>
      </w:r>
      <w:r w:rsidR="009A0847">
        <w:rPr>
          <w:i/>
        </w:rPr>
        <w:t xml:space="preserve"> </w:t>
      </w:r>
      <w:r w:rsidRPr="00D64EC1">
        <w:rPr>
          <w:i/>
        </w:rPr>
        <w:t>Association</w:t>
      </w:r>
      <w:r w:rsidRPr="00D64EC1">
        <w:t>,</w:t>
      </w:r>
      <w:r w:rsidR="009A0847">
        <w:t xml:space="preserve"> </w:t>
      </w:r>
      <w:r w:rsidRPr="00D64EC1">
        <w:t>2</w:t>
      </w:r>
      <w:r>
        <w:t>(</w:t>
      </w:r>
      <w:r w:rsidRPr="00D64EC1">
        <w:t>6</w:t>
      </w:r>
      <w:r>
        <w:t>)</w:t>
      </w:r>
      <w:r w:rsidRPr="00D64EC1">
        <w:t>,</w:t>
      </w:r>
      <w:r w:rsidR="009A0847">
        <w:t xml:space="preserve"> </w:t>
      </w:r>
      <w:r w:rsidRPr="00D64EC1">
        <w:t>1116–47.</w:t>
      </w:r>
    </w:p>
    <w:p w14:paraId="2B3764C7" w14:textId="4B99A3F4" w:rsidR="007D7B29" w:rsidRDefault="001B3106" w:rsidP="00F86E09">
      <w:pPr>
        <w:pStyle w:val="Olivier1"/>
        <w:widowControl w:val="0"/>
        <w:spacing w:line="240" w:lineRule="auto"/>
      </w:pPr>
      <w:r>
        <w:t>Selgin</w:t>
      </w:r>
      <w:r w:rsidR="009A0847">
        <w:t xml:space="preserve"> </w:t>
      </w:r>
      <w:r w:rsidR="007D7B29">
        <w:t>G.</w:t>
      </w:r>
      <w:r w:rsidR="009A0847">
        <w:t xml:space="preserve"> </w:t>
      </w:r>
      <w:r w:rsidR="007D7B29">
        <w:t>(2017)</w:t>
      </w:r>
      <w:r w:rsidR="009A0847">
        <w:t xml:space="preserve"> </w:t>
      </w:r>
      <w:r w:rsidR="007D7B29">
        <w:t>“Reforming</w:t>
      </w:r>
      <w:r w:rsidR="009A0847">
        <w:t xml:space="preserve"> </w:t>
      </w:r>
      <w:r w:rsidR="007D7B29">
        <w:t>last-resort</w:t>
      </w:r>
      <w:r w:rsidR="009A0847">
        <w:t xml:space="preserve"> </w:t>
      </w:r>
      <w:r w:rsidR="007D7B29">
        <w:t>lending:</w:t>
      </w:r>
      <w:r w:rsidR="009A0847">
        <w:t xml:space="preserve"> </w:t>
      </w:r>
      <w:r w:rsidR="007D7B29">
        <w:t>The</w:t>
      </w:r>
      <w:r w:rsidR="009A0847">
        <w:t xml:space="preserve"> </w:t>
      </w:r>
      <w:r w:rsidR="007D7B29">
        <w:t>flexible</w:t>
      </w:r>
      <w:r w:rsidR="009A0847">
        <w:t xml:space="preserve"> </w:t>
      </w:r>
      <w:r w:rsidR="007D7B29">
        <w:t>open-market</w:t>
      </w:r>
      <w:r w:rsidR="009A0847">
        <w:t xml:space="preserve"> </w:t>
      </w:r>
      <w:r w:rsidR="007D7B29">
        <w:t>alternative,”</w:t>
      </w:r>
      <w:r w:rsidR="009A0847">
        <w:t xml:space="preserve"> </w:t>
      </w:r>
      <w:r w:rsidR="007D7B29">
        <w:t>in</w:t>
      </w:r>
      <w:r w:rsidR="009A0847">
        <w:t xml:space="preserve"> </w:t>
      </w:r>
      <w:r w:rsidR="007D7B29" w:rsidRPr="00464079">
        <w:rPr>
          <w:i/>
        </w:rPr>
        <w:t>Prosperity</w:t>
      </w:r>
      <w:r w:rsidR="009A0847" w:rsidRPr="00464079">
        <w:rPr>
          <w:i/>
        </w:rPr>
        <w:t xml:space="preserve"> </w:t>
      </w:r>
      <w:r w:rsidR="007D7B29" w:rsidRPr="00464079">
        <w:rPr>
          <w:i/>
        </w:rPr>
        <w:t>Unleashed</w:t>
      </w:r>
      <w:r w:rsidR="007D7B29">
        <w:t>,</w:t>
      </w:r>
      <w:r w:rsidR="009A0847">
        <w:t xml:space="preserve"> </w:t>
      </w:r>
      <w:r w:rsidR="007D7B29">
        <w:t>Heritage</w:t>
      </w:r>
      <w:r w:rsidR="009A0847">
        <w:t xml:space="preserve"> </w:t>
      </w:r>
      <w:r w:rsidR="007D7B29">
        <w:t>Foundation.</w:t>
      </w:r>
    </w:p>
    <w:p w14:paraId="60E4DCD4" w14:textId="4C649362" w:rsidR="008B4DE4" w:rsidRPr="00615D84" w:rsidRDefault="008B4DE4" w:rsidP="00F86E09">
      <w:pPr>
        <w:pStyle w:val="Olivier1"/>
        <w:widowControl w:val="0"/>
        <w:spacing w:line="240" w:lineRule="auto"/>
      </w:pPr>
      <w:r>
        <w:t>Schwartz</w:t>
      </w:r>
      <w:r w:rsidR="009A0847">
        <w:t xml:space="preserve"> </w:t>
      </w:r>
      <w:r>
        <w:t>A.</w:t>
      </w:r>
      <w:r w:rsidR="009A0847">
        <w:t xml:space="preserve"> </w:t>
      </w:r>
      <w:r>
        <w:t>and</w:t>
      </w:r>
      <w:r w:rsidR="009A0847">
        <w:t xml:space="preserve"> </w:t>
      </w:r>
      <w:r>
        <w:t>M.</w:t>
      </w:r>
      <w:r w:rsidR="009A0847">
        <w:t xml:space="preserve"> </w:t>
      </w:r>
      <w:r>
        <w:t>Rothbart</w:t>
      </w:r>
      <w:r w:rsidR="009A0847">
        <w:t xml:space="preserve"> </w:t>
      </w:r>
      <w:r>
        <w:t>(2018)</w:t>
      </w:r>
      <w:r w:rsidR="009A0847">
        <w:t xml:space="preserve"> </w:t>
      </w:r>
      <w:r>
        <w:t>“Let</w:t>
      </w:r>
      <w:r w:rsidR="009A0847">
        <w:t xml:space="preserve"> </w:t>
      </w:r>
      <w:r w:rsidR="00E51B12">
        <w:t>t</w:t>
      </w:r>
      <w:r>
        <w:t>hem</w:t>
      </w:r>
      <w:r w:rsidR="009A0847">
        <w:t xml:space="preserve"> </w:t>
      </w:r>
      <w:r w:rsidR="00E51B12">
        <w:t>e</w:t>
      </w:r>
      <w:r>
        <w:t>at</w:t>
      </w:r>
      <w:r w:rsidR="009A0847">
        <w:t xml:space="preserve"> </w:t>
      </w:r>
      <w:r w:rsidR="00E51B12">
        <w:t>l</w:t>
      </w:r>
      <w:r>
        <w:t>unch:</w:t>
      </w:r>
      <w:r w:rsidR="009A0847">
        <w:t xml:space="preserve"> </w:t>
      </w:r>
      <w:r>
        <w:t>The</w:t>
      </w:r>
      <w:r w:rsidR="009A0847">
        <w:t xml:space="preserve"> </w:t>
      </w:r>
      <w:r w:rsidR="00E51B12">
        <w:t>i</w:t>
      </w:r>
      <w:r w:rsidRPr="00D72A5B">
        <w:rPr>
          <w:szCs w:val="24"/>
        </w:rPr>
        <w:t>mpact</w:t>
      </w:r>
      <w:r w:rsidR="009A0847">
        <w:rPr>
          <w:szCs w:val="24"/>
        </w:rPr>
        <w:t xml:space="preserve"> </w:t>
      </w:r>
      <w:r w:rsidRPr="00D72A5B">
        <w:rPr>
          <w:szCs w:val="24"/>
        </w:rPr>
        <w:t>of</w:t>
      </w:r>
      <w:r w:rsidR="009A0847">
        <w:rPr>
          <w:szCs w:val="24"/>
        </w:rPr>
        <w:t xml:space="preserve"> </w:t>
      </w:r>
      <w:r w:rsidR="00E51B12">
        <w:rPr>
          <w:szCs w:val="24"/>
        </w:rPr>
        <w:t>u</w:t>
      </w:r>
      <w:r w:rsidRPr="00D72A5B">
        <w:rPr>
          <w:szCs w:val="24"/>
        </w:rPr>
        <w:t>niversal</w:t>
      </w:r>
      <w:r w:rsidR="009A0847">
        <w:rPr>
          <w:szCs w:val="24"/>
        </w:rPr>
        <w:t xml:space="preserve"> </w:t>
      </w:r>
      <w:r w:rsidR="00E51B12">
        <w:rPr>
          <w:szCs w:val="24"/>
        </w:rPr>
        <w:t>f</w:t>
      </w:r>
      <w:r w:rsidRPr="00D72A5B">
        <w:rPr>
          <w:szCs w:val="24"/>
        </w:rPr>
        <w:t>ree</w:t>
      </w:r>
      <w:r w:rsidR="009A0847">
        <w:rPr>
          <w:szCs w:val="24"/>
        </w:rPr>
        <w:t xml:space="preserve"> </w:t>
      </w:r>
      <w:r w:rsidR="00E51B12">
        <w:rPr>
          <w:szCs w:val="24"/>
        </w:rPr>
        <w:t>m</w:t>
      </w:r>
      <w:r w:rsidRPr="00D72A5B">
        <w:rPr>
          <w:szCs w:val="24"/>
        </w:rPr>
        <w:t>eals</w:t>
      </w:r>
      <w:r w:rsidR="009A0847">
        <w:rPr>
          <w:szCs w:val="24"/>
        </w:rPr>
        <w:t xml:space="preserve"> </w:t>
      </w:r>
      <w:r w:rsidRPr="00D72A5B">
        <w:rPr>
          <w:szCs w:val="24"/>
        </w:rPr>
        <w:t>on</w:t>
      </w:r>
      <w:r w:rsidR="009A0847">
        <w:rPr>
          <w:szCs w:val="24"/>
        </w:rPr>
        <w:t xml:space="preserve"> </w:t>
      </w:r>
      <w:r w:rsidR="00E51B12">
        <w:rPr>
          <w:szCs w:val="24"/>
        </w:rPr>
        <w:t>s</w:t>
      </w:r>
      <w:r w:rsidRPr="00D72A5B">
        <w:rPr>
          <w:szCs w:val="24"/>
        </w:rPr>
        <w:t>tudent</w:t>
      </w:r>
      <w:r w:rsidR="009A0847">
        <w:rPr>
          <w:szCs w:val="24"/>
        </w:rPr>
        <w:t xml:space="preserve"> </w:t>
      </w:r>
      <w:r w:rsidR="00E51B12">
        <w:rPr>
          <w:szCs w:val="24"/>
        </w:rPr>
        <w:t>p</w:t>
      </w:r>
      <w:r w:rsidRPr="00D72A5B">
        <w:rPr>
          <w:szCs w:val="24"/>
        </w:rPr>
        <w:t>erformance,”</w:t>
      </w:r>
      <w:r w:rsidR="009A0847">
        <w:rPr>
          <w:szCs w:val="24"/>
        </w:rPr>
        <w:t xml:space="preserve"> </w:t>
      </w:r>
      <w:r w:rsidR="00E51B12">
        <w:rPr>
          <w:szCs w:val="24"/>
        </w:rPr>
        <w:t>manuscript</w:t>
      </w:r>
      <w:r w:rsidRPr="00D72A5B">
        <w:rPr>
          <w:szCs w:val="24"/>
        </w:rPr>
        <w:t>,</w:t>
      </w:r>
      <w:r w:rsidR="009A0847">
        <w:rPr>
          <w:szCs w:val="24"/>
        </w:rPr>
        <w:t xml:space="preserve"> </w:t>
      </w:r>
      <w:r w:rsidRPr="00D72A5B">
        <w:rPr>
          <w:rFonts w:eastAsiaTheme="minorEastAsia"/>
          <w:szCs w:val="24"/>
        </w:rPr>
        <w:t>Center</w:t>
      </w:r>
      <w:r w:rsidR="009A0847">
        <w:rPr>
          <w:rFonts w:eastAsiaTheme="minorEastAsia"/>
          <w:szCs w:val="24"/>
        </w:rPr>
        <w:t xml:space="preserve"> </w:t>
      </w:r>
      <w:r w:rsidRPr="00D72A5B">
        <w:rPr>
          <w:rFonts w:eastAsiaTheme="minorEastAsia"/>
          <w:szCs w:val="24"/>
        </w:rPr>
        <w:t>for</w:t>
      </w:r>
      <w:r w:rsidR="009A0847">
        <w:rPr>
          <w:rFonts w:eastAsiaTheme="minorEastAsia"/>
          <w:szCs w:val="24"/>
        </w:rPr>
        <w:t xml:space="preserve"> </w:t>
      </w:r>
      <w:r w:rsidRPr="00D72A5B">
        <w:rPr>
          <w:rFonts w:eastAsiaTheme="minorEastAsia"/>
          <w:szCs w:val="24"/>
        </w:rPr>
        <w:t>Policy</w:t>
      </w:r>
      <w:r w:rsidR="009A0847">
        <w:rPr>
          <w:rFonts w:eastAsiaTheme="minorEastAsia"/>
          <w:szCs w:val="24"/>
        </w:rPr>
        <w:t xml:space="preserve"> </w:t>
      </w:r>
      <w:r w:rsidRPr="00D72A5B">
        <w:rPr>
          <w:rFonts w:eastAsiaTheme="minorEastAsia"/>
          <w:szCs w:val="24"/>
        </w:rPr>
        <w:t>Research.,</w:t>
      </w:r>
      <w:r w:rsidR="009A0847">
        <w:rPr>
          <w:rFonts w:eastAsiaTheme="minorEastAsia"/>
          <w:szCs w:val="24"/>
        </w:rPr>
        <w:t xml:space="preserve"> </w:t>
      </w:r>
      <w:r w:rsidRPr="00D72A5B">
        <w:rPr>
          <w:rFonts w:eastAsiaTheme="minorEastAsia"/>
          <w:szCs w:val="24"/>
        </w:rPr>
        <w:t>235.</w:t>
      </w:r>
    </w:p>
    <w:p w14:paraId="4CAD52A2" w14:textId="07390CF4" w:rsidR="00615D84" w:rsidRDefault="001B3106" w:rsidP="00F86E09">
      <w:pPr>
        <w:pStyle w:val="Olivier1"/>
        <w:widowControl w:val="0"/>
        <w:spacing w:line="240" w:lineRule="auto"/>
      </w:pPr>
      <w:r>
        <w:t>Shin</w:t>
      </w:r>
      <w:r w:rsidR="009A0847">
        <w:t xml:space="preserve"> </w:t>
      </w:r>
      <w:r w:rsidR="00615D84">
        <w:t>H.</w:t>
      </w:r>
      <w:r w:rsidR="009A0847">
        <w:t xml:space="preserve"> </w:t>
      </w:r>
      <w:r w:rsidR="00615D84" w:rsidRPr="00615D84">
        <w:t>(2009)</w:t>
      </w:r>
      <w:r w:rsidR="009A0847">
        <w:t xml:space="preserve"> </w:t>
      </w:r>
      <w:r w:rsidR="00615D84">
        <w:t>“</w:t>
      </w:r>
      <w:r w:rsidR="00615D84" w:rsidRPr="00615D84">
        <w:t>Reflections</w:t>
      </w:r>
      <w:r w:rsidR="009A0847">
        <w:t xml:space="preserve"> </w:t>
      </w:r>
      <w:r w:rsidR="00615D84" w:rsidRPr="00615D84">
        <w:t>on</w:t>
      </w:r>
      <w:r w:rsidR="009A0847">
        <w:t xml:space="preserve"> </w:t>
      </w:r>
      <w:r w:rsidR="00615D84" w:rsidRPr="00615D84">
        <w:t>Northern</w:t>
      </w:r>
      <w:r w:rsidR="009A0847">
        <w:t xml:space="preserve"> </w:t>
      </w:r>
      <w:r w:rsidR="00615D84" w:rsidRPr="00615D84">
        <w:t>Rock:</w:t>
      </w:r>
      <w:r w:rsidR="009A0847">
        <w:t xml:space="preserve"> </w:t>
      </w:r>
      <w:r w:rsidR="00464079">
        <w:t>T</w:t>
      </w:r>
      <w:r w:rsidR="00615D84" w:rsidRPr="00615D84">
        <w:t>he</w:t>
      </w:r>
      <w:r w:rsidR="009A0847">
        <w:t xml:space="preserve"> </w:t>
      </w:r>
      <w:r w:rsidR="00615D84" w:rsidRPr="00615D84">
        <w:t>bank</w:t>
      </w:r>
      <w:r w:rsidR="009A0847">
        <w:t xml:space="preserve"> </w:t>
      </w:r>
      <w:r w:rsidR="00615D84" w:rsidRPr="00615D84">
        <w:t>run</w:t>
      </w:r>
      <w:r w:rsidR="009A0847">
        <w:t xml:space="preserve"> </w:t>
      </w:r>
      <w:r w:rsidR="00615D84" w:rsidRPr="00615D84">
        <w:t>that</w:t>
      </w:r>
      <w:r w:rsidR="009A0847">
        <w:t xml:space="preserve"> </w:t>
      </w:r>
      <w:r w:rsidR="00615D84" w:rsidRPr="00615D84">
        <w:t>heral</w:t>
      </w:r>
      <w:r w:rsidR="00615D84">
        <w:t>ded</w:t>
      </w:r>
      <w:r w:rsidR="009A0847">
        <w:t xml:space="preserve"> </w:t>
      </w:r>
      <w:r w:rsidR="00615D84">
        <w:t>the</w:t>
      </w:r>
      <w:r w:rsidR="009A0847">
        <w:t xml:space="preserve"> </w:t>
      </w:r>
      <w:r w:rsidR="003775B5">
        <w:t>g</w:t>
      </w:r>
      <w:r w:rsidR="00615D84">
        <w:t>lobal</w:t>
      </w:r>
      <w:r w:rsidR="009A0847">
        <w:t xml:space="preserve"> </w:t>
      </w:r>
      <w:r w:rsidR="003775B5">
        <w:t>f</w:t>
      </w:r>
      <w:r w:rsidR="00615D84">
        <w:t>inancial</w:t>
      </w:r>
      <w:r w:rsidR="009A0847">
        <w:t xml:space="preserve"> </w:t>
      </w:r>
      <w:r w:rsidR="003775B5">
        <w:t>c</w:t>
      </w:r>
      <w:r w:rsidR="00615D84">
        <w:t>risis,”</w:t>
      </w:r>
      <w:r w:rsidR="009A0847">
        <w:t xml:space="preserve"> </w:t>
      </w:r>
      <w:r w:rsidR="00615D84" w:rsidRPr="00615D84">
        <w:rPr>
          <w:i/>
        </w:rPr>
        <w:t>Journal</w:t>
      </w:r>
      <w:r w:rsidR="009A0847">
        <w:rPr>
          <w:i/>
        </w:rPr>
        <w:t xml:space="preserve"> </w:t>
      </w:r>
      <w:r w:rsidR="00615D84" w:rsidRPr="00615D84">
        <w:rPr>
          <w:i/>
        </w:rPr>
        <w:t>of</w:t>
      </w:r>
      <w:r w:rsidR="009A0847">
        <w:rPr>
          <w:i/>
        </w:rPr>
        <w:t xml:space="preserve"> </w:t>
      </w:r>
      <w:r w:rsidR="00615D84" w:rsidRPr="00615D84">
        <w:rPr>
          <w:i/>
        </w:rPr>
        <w:t>Economic</w:t>
      </w:r>
      <w:r w:rsidR="009A0847">
        <w:rPr>
          <w:i/>
        </w:rPr>
        <w:t xml:space="preserve"> </w:t>
      </w:r>
      <w:r w:rsidR="00615D84" w:rsidRPr="00615D84">
        <w:rPr>
          <w:i/>
        </w:rPr>
        <w:t>Perspectives</w:t>
      </w:r>
      <w:r w:rsidR="003775B5">
        <w:t>,</w:t>
      </w:r>
      <w:r w:rsidR="009A0847">
        <w:t xml:space="preserve"> </w:t>
      </w:r>
      <w:r w:rsidR="003775B5">
        <w:t>23,</w:t>
      </w:r>
      <w:r w:rsidR="009A0847">
        <w:t xml:space="preserve"> </w:t>
      </w:r>
      <w:r w:rsidR="00615D84" w:rsidRPr="00615D84">
        <w:t>101–119.</w:t>
      </w:r>
    </w:p>
    <w:p w14:paraId="63F3C724" w14:textId="7C766AF4" w:rsidR="001C0402" w:rsidRDefault="001C0402" w:rsidP="00F86E09">
      <w:pPr>
        <w:pStyle w:val="Olivier1"/>
        <w:widowControl w:val="0"/>
        <w:spacing w:line="240" w:lineRule="auto"/>
      </w:pPr>
      <w:r>
        <w:lastRenderedPageBreak/>
        <w:t>Shleifer</w:t>
      </w:r>
      <w:r w:rsidR="009A0847">
        <w:t xml:space="preserve"> </w:t>
      </w:r>
      <w:r>
        <w:t>A.</w:t>
      </w:r>
      <w:r w:rsidR="009A0847">
        <w:t xml:space="preserve"> </w:t>
      </w:r>
      <w:r w:rsidRPr="001C0402">
        <w:t>and</w:t>
      </w:r>
      <w:r w:rsidR="009A0847">
        <w:t xml:space="preserve"> </w:t>
      </w:r>
      <w:r w:rsidRPr="001C0402">
        <w:t>R.</w:t>
      </w:r>
      <w:r w:rsidR="009A0847">
        <w:t xml:space="preserve"> </w:t>
      </w:r>
      <w:r w:rsidRPr="001C0402">
        <w:t>Vishny</w:t>
      </w:r>
      <w:r w:rsidR="009A0847">
        <w:t xml:space="preserve"> </w:t>
      </w:r>
      <w:r w:rsidRPr="001C0402">
        <w:t>(2011</w:t>
      </w:r>
      <w:r>
        <w:t>)</w:t>
      </w:r>
      <w:r w:rsidR="009A0847">
        <w:t xml:space="preserve"> </w:t>
      </w:r>
      <w:r>
        <w:t>“</w:t>
      </w:r>
      <w:r w:rsidRPr="001C0402">
        <w:t>Fire</w:t>
      </w:r>
      <w:r w:rsidR="009A0847">
        <w:t xml:space="preserve"> </w:t>
      </w:r>
      <w:r w:rsidR="003775B5">
        <w:t>s</w:t>
      </w:r>
      <w:r w:rsidRPr="001C0402">
        <w:t>ales</w:t>
      </w:r>
      <w:r w:rsidR="009A0847">
        <w:t xml:space="preserve"> </w:t>
      </w:r>
      <w:r>
        <w:t>in</w:t>
      </w:r>
      <w:r w:rsidR="009A0847">
        <w:t xml:space="preserve"> </w:t>
      </w:r>
      <w:r w:rsidR="003775B5">
        <w:t>f</w:t>
      </w:r>
      <w:r>
        <w:t>inance</w:t>
      </w:r>
      <w:r w:rsidR="009A0847">
        <w:t xml:space="preserve"> </w:t>
      </w:r>
      <w:r>
        <w:t>and</w:t>
      </w:r>
      <w:r w:rsidR="009A0847">
        <w:t xml:space="preserve"> </w:t>
      </w:r>
      <w:r w:rsidR="003775B5">
        <w:t>m</w:t>
      </w:r>
      <w:r>
        <w:t>acroeconomics,”</w:t>
      </w:r>
      <w:r w:rsidR="009A0847">
        <w:t xml:space="preserve"> </w:t>
      </w:r>
      <w:r w:rsidRPr="001C0402">
        <w:rPr>
          <w:i/>
        </w:rPr>
        <w:t>Journal</w:t>
      </w:r>
      <w:r w:rsidR="009A0847">
        <w:rPr>
          <w:i/>
        </w:rPr>
        <w:t xml:space="preserve"> </w:t>
      </w:r>
      <w:r w:rsidRPr="001C0402">
        <w:rPr>
          <w:i/>
        </w:rPr>
        <w:t>of</w:t>
      </w:r>
      <w:r w:rsidR="009A0847">
        <w:rPr>
          <w:i/>
        </w:rPr>
        <w:t xml:space="preserve"> </w:t>
      </w:r>
      <w:r w:rsidRPr="001C0402">
        <w:rPr>
          <w:i/>
        </w:rPr>
        <w:t>Economic</w:t>
      </w:r>
      <w:r w:rsidR="009A0847">
        <w:rPr>
          <w:i/>
        </w:rPr>
        <w:t xml:space="preserve"> </w:t>
      </w:r>
      <w:r w:rsidRPr="001C0402">
        <w:rPr>
          <w:i/>
        </w:rPr>
        <w:t>Perspectives</w:t>
      </w:r>
      <w:r w:rsidR="003775B5">
        <w:t>,</w:t>
      </w:r>
      <w:r w:rsidR="009A0847">
        <w:t xml:space="preserve"> </w:t>
      </w:r>
      <w:r w:rsidR="003775B5">
        <w:t>25(1),</w:t>
      </w:r>
      <w:r w:rsidR="009A0847">
        <w:t xml:space="preserve"> </w:t>
      </w:r>
      <w:r w:rsidRPr="001C0402">
        <w:t>29-48.</w:t>
      </w:r>
    </w:p>
    <w:p w14:paraId="4970AAAC" w14:textId="041AFCA1" w:rsidR="00E50F8B" w:rsidRDefault="001B3106" w:rsidP="00F86E09">
      <w:pPr>
        <w:pStyle w:val="Olivier1"/>
        <w:widowControl w:val="0"/>
        <w:spacing w:line="240" w:lineRule="auto"/>
      </w:pPr>
      <w:r>
        <w:t>Tirole</w:t>
      </w:r>
      <w:r w:rsidR="009A0847">
        <w:t xml:space="preserve"> </w:t>
      </w:r>
      <w:r w:rsidR="00E50F8B">
        <w:t>J.</w:t>
      </w:r>
      <w:r w:rsidR="009A0847">
        <w:t xml:space="preserve"> </w:t>
      </w:r>
      <w:r w:rsidR="00E50F8B">
        <w:t>(2012)</w:t>
      </w:r>
      <w:r w:rsidR="009A0847">
        <w:t xml:space="preserve"> </w:t>
      </w:r>
      <w:r w:rsidR="00E50F8B">
        <w:t>“Overcoming</w:t>
      </w:r>
      <w:r w:rsidR="009A0847">
        <w:t xml:space="preserve"> </w:t>
      </w:r>
      <w:r w:rsidR="003775B5">
        <w:t>a</w:t>
      </w:r>
      <w:r w:rsidR="00E50F8B">
        <w:t>dverse</w:t>
      </w:r>
      <w:r w:rsidR="009A0847">
        <w:t xml:space="preserve"> </w:t>
      </w:r>
      <w:r w:rsidR="003775B5">
        <w:t>s</w:t>
      </w:r>
      <w:r w:rsidR="00E50F8B">
        <w:t>election:</w:t>
      </w:r>
      <w:r w:rsidR="009A0847">
        <w:t xml:space="preserve"> </w:t>
      </w:r>
      <w:r w:rsidR="00E50F8B">
        <w:t>How</w:t>
      </w:r>
      <w:r w:rsidR="009A0847">
        <w:t xml:space="preserve"> </w:t>
      </w:r>
      <w:r w:rsidR="003775B5">
        <w:t>p</w:t>
      </w:r>
      <w:r w:rsidR="00E50F8B">
        <w:t>ublic</w:t>
      </w:r>
      <w:r w:rsidR="009A0847">
        <w:t xml:space="preserve"> </w:t>
      </w:r>
      <w:r w:rsidR="003775B5">
        <w:t>i</w:t>
      </w:r>
      <w:r w:rsidR="00E50F8B">
        <w:t>ntervention</w:t>
      </w:r>
      <w:r w:rsidR="009A0847">
        <w:t xml:space="preserve"> </w:t>
      </w:r>
      <w:r w:rsidR="003775B5">
        <w:t>c</w:t>
      </w:r>
      <w:r w:rsidR="00E50F8B">
        <w:t>an</w:t>
      </w:r>
      <w:r w:rsidR="009A0847">
        <w:t xml:space="preserve"> </w:t>
      </w:r>
      <w:r w:rsidR="003775B5">
        <w:t>r</w:t>
      </w:r>
      <w:r w:rsidR="00E50F8B">
        <w:t>estore</w:t>
      </w:r>
      <w:r w:rsidR="009A0847">
        <w:t xml:space="preserve"> </w:t>
      </w:r>
      <w:r w:rsidR="003775B5">
        <w:t>m</w:t>
      </w:r>
      <w:r w:rsidR="00E50F8B">
        <w:t>arket</w:t>
      </w:r>
      <w:r w:rsidR="009A0847">
        <w:t xml:space="preserve"> </w:t>
      </w:r>
      <w:r w:rsidR="003775B5">
        <w:t>f</w:t>
      </w:r>
      <w:r w:rsidR="00E50F8B">
        <w:t>unctioning,”</w:t>
      </w:r>
      <w:r w:rsidR="009A0847">
        <w:t xml:space="preserve"> </w:t>
      </w:r>
      <w:r w:rsidR="00E50F8B" w:rsidRPr="00E50F8B">
        <w:rPr>
          <w:i/>
        </w:rPr>
        <w:t>The</w:t>
      </w:r>
      <w:r w:rsidR="009A0847">
        <w:rPr>
          <w:i/>
        </w:rPr>
        <w:t xml:space="preserve"> </w:t>
      </w:r>
      <w:r w:rsidR="00E50F8B" w:rsidRPr="00E50F8B">
        <w:rPr>
          <w:i/>
        </w:rPr>
        <w:t>American</w:t>
      </w:r>
      <w:r w:rsidR="009A0847">
        <w:rPr>
          <w:i/>
        </w:rPr>
        <w:t xml:space="preserve"> </w:t>
      </w:r>
      <w:r w:rsidR="00E50F8B" w:rsidRPr="00E50F8B">
        <w:rPr>
          <w:i/>
        </w:rPr>
        <w:t>Economic</w:t>
      </w:r>
      <w:r w:rsidR="009A0847">
        <w:rPr>
          <w:i/>
        </w:rPr>
        <w:t xml:space="preserve"> </w:t>
      </w:r>
      <w:r w:rsidR="00E50F8B" w:rsidRPr="00E50F8B">
        <w:rPr>
          <w:i/>
        </w:rPr>
        <w:t>Review</w:t>
      </w:r>
      <w:r w:rsidR="00E50F8B">
        <w:t>,</w:t>
      </w:r>
      <w:r w:rsidR="009A0847">
        <w:t xml:space="preserve"> </w:t>
      </w:r>
      <w:r w:rsidR="003775B5">
        <w:t>102</w:t>
      </w:r>
      <w:r w:rsidR="009A0847">
        <w:t xml:space="preserve"> </w:t>
      </w:r>
      <w:r w:rsidR="003775B5">
        <w:t>(1),</w:t>
      </w:r>
      <w:r w:rsidR="009A0847">
        <w:t xml:space="preserve"> </w:t>
      </w:r>
      <w:r w:rsidR="00E50F8B">
        <w:t>29–59.</w:t>
      </w:r>
    </w:p>
    <w:p w14:paraId="23279076" w14:textId="09F4ADBB" w:rsidR="0099666F" w:rsidRDefault="001B3106" w:rsidP="00F86E09">
      <w:pPr>
        <w:pStyle w:val="Olivier1"/>
        <w:widowControl w:val="0"/>
        <w:spacing w:line="240" w:lineRule="auto"/>
        <w:rPr>
          <w:rFonts w:eastAsiaTheme="minorEastAsia"/>
        </w:rPr>
      </w:pPr>
      <w:r>
        <w:rPr>
          <w:rFonts w:eastAsiaTheme="minorEastAsia"/>
        </w:rPr>
        <w:t>Tucker</w:t>
      </w:r>
      <w:r w:rsidR="009A0847">
        <w:rPr>
          <w:rFonts w:eastAsiaTheme="minorEastAsia"/>
        </w:rPr>
        <w:t xml:space="preserve"> </w:t>
      </w:r>
      <w:r w:rsidR="0099666F">
        <w:rPr>
          <w:rFonts w:eastAsiaTheme="minorEastAsia"/>
        </w:rPr>
        <w:t>P.</w:t>
      </w:r>
      <w:r w:rsidR="009A0847">
        <w:rPr>
          <w:rFonts w:eastAsiaTheme="minorEastAsia"/>
        </w:rPr>
        <w:t xml:space="preserve"> </w:t>
      </w:r>
      <w:r w:rsidR="0099666F">
        <w:rPr>
          <w:rFonts w:eastAsiaTheme="minorEastAsia"/>
        </w:rPr>
        <w:t>(2009)</w:t>
      </w:r>
      <w:r w:rsidR="009A0847">
        <w:rPr>
          <w:rFonts w:eastAsiaTheme="minorEastAsia"/>
        </w:rPr>
        <w:t xml:space="preserve"> </w:t>
      </w:r>
      <w:r w:rsidR="0099666F">
        <w:rPr>
          <w:rFonts w:eastAsiaTheme="minorEastAsia"/>
        </w:rPr>
        <w:t>“The</w:t>
      </w:r>
      <w:r w:rsidR="009A0847">
        <w:rPr>
          <w:rFonts w:eastAsiaTheme="minorEastAsia"/>
        </w:rPr>
        <w:t xml:space="preserve"> </w:t>
      </w:r>
      <w:r w:rsidR="0099666F">
        <w:rPr>
          <w:rFonts w:eastAsiaTheme="minorEastAsia"/>
        </w:rPr>
        <w:t>repertoire</w:t>
      </w:r>
      <w:r w:rsidR="009A0847">
        <w:rPr>
          <w:rFonts w:eastAsiaTheme="minorEastAsia"/>
        </w:rPr>
        <w:t xml:space="preserve"> </w:t>
      </w:r>
      <w:r w:rsidR="0099666F">
        <w:rPr>
          <w:rFonts w:eastAsiaTheme="minorEastAsia"/>
        </w:rPr>
        <w:t>of</w:t>
      </w:r>
      <w:r w:rsidR="009A0847">
        <w:rPr>
          <w:rFonts w:eastAsiaTheme="minorEastAsia"/>
        </w:rPr>
        <w:t xml:space="preserve"> </w:t>
      </w:r>
      <w:r w:rsidR="0099666F">
        <w:rPr>
          <w:rFonts w:eastAsiaTheme="minorEastAsia"/>
        </w:rPr>
        <w:t>official</w:t>
      </w:r>
      <w:r w:rsidR="009A0847">
        <w:rPr>
          <w:rFonts w:eastAsiaTheme="minorEastAsia"/>
        </w:rPr>
        <w:t xml:space="preserve"> </w:t>
      </w:r>
      <w:r w:rsidR="0099666F">
        <w:rPr>
          <w:rFonts w:eastAsiaTheme="minorEastAsia"/>
        </w:rPr>
        <w:t>sector</w:t>
      </w:r>
      <w:r w:rsidR="009A0847">
        <w:rPr>
          <w:rFonts w:eastAsiaTheme="minorEastAsia"/>
        </w:rPr>
        <w:t xml:space="preserve"> </w:t>
      </w:r>
      <w:r w:rsidR="0099666F">
        <w:rPr>
          <w:rFonts w:eastAsiaTheme="minorEastAsia"/>
        </w:rPr>
        <w:t>interventions</w:t>
      </w:r>
      <w:r w:rsidR="009A0847">
        <w:rPr>
          <w:rFonts w:eastAsiaTheme="minorEastAsia"/>
        </w:rPr>
        <w:t xml:space="preserve"> </w:t>
      </w:r>
      <w:r w:rsidR="0099666F">
        <w:rPr>
          <w:rFonts w:eastAsiaTheme="minorEastAsia"/>
        </w:rPr>
        <w:t>in</w:t>
      </w:r>
      <w:r w:rsidR="009A0847">
        <w:rPr>
          <w:rFonts w:eastAsiaTheme="minorEastAsia"/>
        </w:rPr>
        <w:t xml:space="preserve"> </w:t>
      </w:r>
      <w:r w:rsidR="0099666F">
        <w:rPr>
          <w:rFonts w:eastAsiaTheme="minorEastAsia"/>
        </w:rPr>
        <w:t>the</w:t>
      </w:r>
      <w:r w:rsidR="009A0847">
        <w:rPr>
          <w:rFonts w:eastAsiaTheme="minorEastAsia"/>
        </w:rPr>
        <w:t xml:space="preserve"> </w:t>
      </w:r>
      <w:r w:rsidR="0099666F">
        <w:rPr>
          <w:rFonts w:eastAsiaTheme="minorEastAsia"/>
        </w:rPr>
        <w:t>financial</w:t>
      </w:r>
      <w:r w:rsidR="009A0847">
        <w:rPr>
          <w:rFonts w:eastAsiaTheme="minorEastAsia"/>
        </w:rPr>
        <w:t xml:space="preserve"> </w:t>
      </w:r>
      <w:r w:rsidR="0099666F">
        <w:rPr>
          <w:rFonts w:eastAsiaTheme="minorEastAsia"/>
        </w:rPr>
        <w:t>system:</w:t>
      </w:r>
      <w:r w:rsidR="009A0847">
        <w:rPr>
          <w:rFonts w:eastAsiaTheme="minorEastAsia"/>
        </w:rPr>
        <w:t xml:space="preserve"> </w:t>
      </w:r>
      <w:r w:rsidR="00464079">
        <w:rPr>
          <w:rFonts w:eastAsiaTheme="minorEastAsia"/>
        </w:rPr>
        <w:t>L</w:t>
      </w:r>
      <w:r w:rsidR="0099666F">
        <w:rPr>
          <w:rFonts w:eastAsiaTheme="minorEastAsia"/>
        </w:rPr>
        <w:t>ast</w:t>
      </w:r>
      <w:r w:rsidR="009A0847">
        <w:rPr>
          <w:rFonts w:eastAsiaTheme="minorEastAsia"/>
        </w:rPr>
        <w:t xml:space="preserve"> </w:t>
      </w:r>
      <w:r w:rsidR="0099666F">
        <w:rPr>
          <w:rFonts w:eastAsiaTheme="minorEastAsia"/>
        </w:rPr>
        <w:t>resort</w:t>
      </w:r>
      <w:r w:rsidR="009A0847">
        <w:rPr>
          <w:rFonts w:eastAsiaTheme="minorEastAsia"/>
        </w:rPr>
        <w:t xml:space="preserve"> </w:t>
      </w:r>
      <w:r w:rsidR="0099666F">
        <w:rPr>
          <w:rFonts w:eastAsiaTheme="minorEastAsia"/>
        </w:rPr>
        <w:t>lending,</w:t>
      </w:r>
      <w:r w:rsidR="009A0847">
        <w:rPr>
          <w:rFonts w:eastAsiaTheme="minorEastAsia"/>
        </w:rPr>
        <w:t xml:space="preserve"> </w:t>
      </w:r>
      <w:r w:rsidR="0099666F">
        <w:rPr>
          <w:rFonts w:eastAsiaTheme="minorEastAsia"/>
        </w:rPr>
        <w:t>market-making</w:t>
      </w:r>
      <w:r w:rsidR="009A0847">
        <w:rPr>
          <w:rFonts w:eastAsiaTheme="minorEastAsia"/>
        </w:rPr>
        <w:t xml:space="preserve"> </w:t>
      </w:r>
      <w:r w:rsidR="0099666F">
        <w:rPr>
          <w:rFonts w:eastAsiaTheme="minorEastAsia"/>
        </w:rPr>
        <w:t>and</w:t>
      </w:r>
      <w:r w:rsidR="009A0847">
        <w:rPr>
          <w:rFonts w:eastAsiaTheme="minorEastAsia"/>
        </w:rPr>
        <w:t xml:space="preserve"> </w:t>
      </w:r>
      <w:r w:rsidR="0099666F">
        <w:rPr>
          <w:rFonts w:eastAsiaTheme="minorEastAsia"/>
        </w:rPr>
        <w:t>capital”,</w:t>
      </w:r>
      <w:r w:rsidR="009A0847">
        <w:rPr>
          <w:rFonts w:eastAsiaTheme="minorEastAsia"/>
        </w:rPr>
        <w:t xml:space="preserve"> </w:t>
      </w:r>
      <w:r w:rsidR="0099666F">
        <w:rPr>
          <w:rFonts w:eastAsiaTheme="minorEastAsia"/>
        </w:rPr>
        <w:t>presentation</w:t>
      </w:r>
      <w:r w:rsidR="009A0847">
        <w:rPr>
          <w:rFonts w:eastAsiaTheme="minorEastAsia"/>
        </w:rPr>
        <w:t xml:space="preserve"> </w:t>
      </w:r>
      <w:r w:rsidR="0099666F">
        <w:rPr>
          <w:rFonts w:eastAsiaTheme="minorEastAsia"/>
        </w:rPr>
        <w:t>at</w:t>
      </w:r>
      <w:r w:rsidR="009A0847">
        <w:rPr>
          <w:rFonts w:eastAsiaTheme="minorEastAsia"/>
        </w:rPr>
        <w:t xml:space="preserve"> </w:t>
      </w:r>
      <w:r w:rsidR="0099666F">
        <w:rPr>
          <w:rFonts w:eastAsiaTheme="minorEastAsia"/>
        </w:rPr>
        <w:t>the</w:t>
      </w:r>
      <w:r w:rsidR="009A0847">
        <w:rPr>
          <w:rFonts w:eastAsiaTheme="minorEastAsia"/>
        </w:rPr>
        <w:t xml:space="preserve"> </w:t>
      </w:r>
      <w:r w:rsidR="0099666F">
        <w:rPr>
          <w:rFonts w:eastAsiaTheme="minorEastAsia"/>
        </w:rPr>
        <w:t>Bank</w:t>
      </w:r>
      <w:r w:rsidR="009A0847">
        <w:rPr>
          <w:rFonts w:eastAsiaTheme="minorEastAsia"/>
        </w:rPr>
        <w:t xml:space="preserve"> </w:t>
      </w:r>
      <w:r w:rsidR="0099666F">
        <w:rPr>
          <w:rFonts w:eastAsiaTheme="minorEastAsia"/>
        </w:rPr>
        <w:t>of</w:t>
      </w:r>
      <w:r w:rsidR="009A0847">
        <w:rPr>
          <w:rFonts w:eastAsiaTheme="minorEastAsia"/>
        </w:rPr>
        <w:t xml:space="preserve"> </w:t>
      </w:r>
      <w:r w:rsidR="0099666F">
        <w:rPr>
          <w:rFonts w:eastAsiaTheme="minorEastAsia"/>
        </w:rPr>
        <w:t>Japan</w:t>
      </w:r>
      <w:r w:rsidR="009A0847">
        <w:rPr>
          <w:rFonts w:eastAsiaTheme="minorEastAsia"/>
        </w:rPr>
        <w:t xml:space="preserve"> </w:t>
      </w:r>
      <w:r w:rsidR="0099666F">
        <w:rPr>
          <w:rFonts w:eastAsiaTheme="minorEastAsia"/>
        </w:rPr>
        <w:t>2009</w:t>
      </w:r>
      <w:r w:rsidR="009A0847">
        <w:rPr>
          <w:rFonts w:eastAsiaTheme="minorEastAsia"/>
        </w:rPr>
        <w:t xml:space="preserve"> </w:t>
      </w:r>
      <w:r w:rsidR="0099666F">
        <w:rPr>
          <w:rFonts w:eastAsiaTheme="minorEastAsia"/>
        </w:rPr>
        <w:t>International</w:t>
      </w:r>
      <w:r w:rsidR="009A0847">
        <w:rPr>
          <w:rFonts w:eastAsiaTheme="minorEastAsia"/>
        </w:rPr>
        <w:t xml:space="preserve"> </w:t>
      </w:r>
      <w:r w:rsidR="0099666F">
        <w:rPr>
          <w:rFonts w:eastAsiaTheme="minorEastAsia"/>
        </w:rPr>
        <w:t>Conference:</w:t>
      </w:r>
      <w:r w:rsidR="009A0847">
        <w:rPr>
          <w:rFonts w:eastAsiaTheme="minorEastAsia"/>
        </w:rPr>
        <w:t xml:space="preserve"> </w:t>
      </w:r>
      <w:r w:rsidR="0099666F">
        <w:rPr>
          <w:rFonts w:eastAsiaTheme="minorEastAsia"/>
        </w:rPr>
        <w:t>Financial</w:t>
      </w:r>
      <w:r w:rsidR="009A0847">
        <w:rPr>
          <w:rFonts w:eastAsiaTheme="minorEastAsia"/>
        </w:rPr>
        <w:t xml:space="preserve"> </w:t>
      </w:r>
      <w:r w:rsidR="0099666F">
        <w:rPr>
          <w:rFonts w:eastAsiaTheme="minorEastAsia"/>
        </w:rPr>
        <w:t>System</w:t>
      </w:r>
      <w:r w:rsidR="009A0847">
        <w:rPr>
          <w:rFonts w:eastAsiaTheme="minorEastAsia"/>
        </w:rPr>
        <w:t xml:space="preserve"> </w:t>
      </w:r>
      <w:r w:rsidR="0099666F">
        <w:rPr>
          <w:rFonts w:eastAsiaTheme="minorEastAsia"/>
        </w:rPr>
        <w:t>and</w:t>
      </w:r>
      <w:r w:rsidR="009A0847">
        <w:rPr>
          <w:rFonts w:eastAsiaTheme="minorEastAsia"/>
        </w:rPr>
        <w:t xml:space="preserve"> </w:t>
      </w:r>
      <w:r w:rsidR="0099666F">
        <w:rPr>
          <w:rFonts w:eastAsiaTheme="minorEastAsia"/>
        </w:rPr>
        <w:t>Monetary</w:t>
      </w:r>
      <w:r w:rsidR="009A0847">
        <w:rPr>
          <w:rFonts w:eastAsiaTheme="minorEastAsia"/>
        </w:rPr>
        <w:t xml:space="preserve"> </w:t>
      </w:r>
      <w:r w:rsidR="0099666F">
        <w:rPr>
          <w:rFonts w:eastAsiaTheme="minorEastAsia"/>
        </w:rPr>
        <w:t>Policy:</w:t>
      </w:r>
      <w:r w:rsidR="009A0847">
        <w:rPr>
          <w:rFonts w:eastAsiaTheme="minorEastAsia"/>
        </w:rPr>
        <w:t xml:space="preserve"> </w:t>
      </w:r>
      <w:r w:rsidR="0099666F">
        <w:rPr>
          <w:rFonts w:eastAsiaTheme="minorEastAsia"/>
        </w:rPr>
        <w:t>Implementation.</w:t>
      </w:r>
    </w:p>
    <w:p w14:paraId="78A88C52" w14:textId="75FEC8E1" w:rsidR="000F346E" w:rsidRDefault="001B3106" w:rsidP="00F86E09">
      <w:pPr>
        <w:pStyle w:val="Olivier1"/>
        <w:widowControl w:val="0"/>
        <w:spacing w:line="240" w:lineRule="auto"/>
      </w:pPr>
      <w:r>
        <w:t>Vishwanath</w:t>
      </w:r>
      <w:r w:rsidR="009A0847">
        <w:t xml:space="preserve"> </w:t>
      </w:r>
      <w:r w:rsidR="000F346E">
        <w:t>T.</w:t>
      </w:r>
      <w:r w:rsidR="009A0847">
        <w:t xml:space="preserve"> </w:t>
      </w:r>
      <w:r w:rsidR="000F346E">
        <w:t>(1989)</w:t>
      </w:r>
      <w:r w:rsidR="009A0847">
        <w:t xml:space="preserve"> </w:t>
      </w:r>
      <w:r w:rsidR="000F346E">
        <w:t>“Job</w:t>
      </w:r>
      <w:r w:rsidR="009A0847">
        <w:t xml:space="preserve"> </w:t>
      </w:r>
      <w:r w:rsidR="000F346E">
        <w:t>search,</w:t>
      </w:r>
      <w:r w:rsidR="009A0847">
        <w:t xml:space="preserve"> </w:t>
      </w:r>
      <w:r w:rsidR="000F346E">
        <w:t>stigma</w:t>
      </w:r>
      <w:r w:rsidR="009A0847">
        <w:t xml:space="preserve"> </w:t>
      </w:r>
      <w:r w:rsidR="000F346E">
        <w:t>effect,</w:t>
      </w:r>
      <w:r w:rsidR="009A0847">
        <w:t xml:space="preserve"> </w:t>
      </w:r>
      <w:r w:rsidR="000F346E">
        <w:t>and</w:t>
      </w:r>
      <w:r w:rsidR="009A0847">
        <w:t xml:space="preserve"> </w:t>
      </w:r>
      <w:r w:rsidR="000F346E">
        <w:t>escape</w:t>
      </w:r>
      <w:r w:rsidR="009A0847">
        <w:t xml:space="preserve"> </w:t>
      </w:r>
      <w:r w:rsidR="000F346E">
        <w:t>rate</w:t>
      </w:r>
      <w:r w:rsidR="009A0847">
        <w:t xml:space="preserve"> </w:t>
      </w:r>
      <w:r w:rsidR="000F346E">
        <w:t>from</w:t>
      </w:r>
      <w:r w:rsidR="009A0847">
        <w:t xml:space="preserve"> </w:t>
      </w:r>
      <w:r w:rsidR="000F346E">
        <w:t>unemployment,”</w:t>
      </w:r>
      <w:r w:rsidR="009A0847">
        <w:t xml:space="preserve"> </w:t>
      </w:r>
      <w:r w:rsidR="000F346E" w:rsidRPr="000F346E">
        <w:rPr>
          <w:i/>
        </w:rPr>
        <w:t>Journal</w:t>
      </w:r>
      <w:r w:rsidR="009A0847">
        <w:rPr>
          <w:i/>
        </w:rPr>
        <w:t xml:space="preserve"> </w:t>
      </w:r>
      <w:r w:rsidR="000F346E" w:rsidRPr="000F346E">
        <w:rPr>
          <w:i/>
        </w:rPr>
        <w:t>of</w:t>
      </w:r>
      <w:r w:rsidR="009A0847">
        <w:rPr>
          <w:i/>
        </w:rPr>
        <w:t xml:space="preserve"> </w:t>
      </w:r>
      <w:r w:rsidR="000F346E" w:rsidRPr="000F346E">
        <w:rPr>
          <w:i/>
        </w:rPr>
        <w:t>Labor</w:t>
      </w:r>
      <w:r w:rsidR="009A0847">
        <w:rPr>
          <w:i/>
        </w:rPr>
        <w:t xml:space="preserve"> </w:t>
      </w:r>
      <w:r w:rsidR="000F346E" w:rsidRPr="000F346E">
        <w:rPr>
          <w:i/>
        </w:rPr>
        <w:t>Economics</w:t>
      </w:r>
      <w:r w:rsidR="000F346E">
        <w:t>,</w:t>
      </w:r>
      <w:r w:rsidR="009A0847">
        <w:t xml:space="preserve"> </w:t>
      </w:r>
      <w:r w:rsidR="000F346E">
        <w:t>7,</w:t>
      </w:r>
      <w:r w:rsidR="009A0847">
        <w:t xml:space="preserve"> </w:t>
      </w:r>
      <w:r w:rsidR="000F346E">
        <w:t>487-502.</w:t>
      </w:r>
    </w:p>
    <w:p w14:paraId="25E01E4C" w14:textId="5D9C999C" w:rsidR="00DB65C6" w:rsidRDefault="001B3106" w:rsidP="00F86E09">
      <w:pPr>
        <w:pStyle w:val="Olivier1"/>
        <w:widowControl w:val="0"/>
        <w:spacing w:line="240" w:lineRule="auto"/>
      </w:pPr>
      <w:r>
        <w:t>Winters</w:t>
      </w:r>
      <w:r w:rsidR="009A0847">
        <w:t xml:space="preserve"> </w:t>
      </w:r>
      <w:r w:rsidR="00615D84">
        <w:t>B.</w:t>
      </w:r>
      <w:r w:rsidR="009A0847">
        <w:t xml:space="preserve"> </w:t>
      </w:r>
      <w:r w:rsidR="00615D84">
        <w:t>(2012)</w:t>
      </w:r>
      <w:r w:rsidR="009A0847">
        <w:t xml:space="preserve"> </w:t>
      </w:r>
      <w:r w:rsidR="00615D84" w:rsidRPr="00615D84">
        <w:t>“Review</w:t>
      </w:r>
      <w:r w:rsidR="009A0847">
        <w:t xml:space="preserve"> </w:t>
      </w:r>
      <w:r w:rsidR="00615D84" w:rsidRPr="00615D84">
        <w:t>of</w:t>
      </w:r>
      <w:r w:rsidR="009A0847">
        <w:t xml:space="preserve"> </w:t>
      </w:r>
      <w:r w:rsidR="00615D84" w:rsidRPr="00615D84">
        <w:t>the</w:t>
      </w:r>
      <w:r w:rsidR="009A0847">
        <w:t xml:space="preserve"> </w:t>
      </w:r>
      <w:r w:rsidR="00615D84" w:rsidRPr="00615D84">
        <w:t>Bank</w:t>
      </w:r>
      <w:r w:rsidR="009A0847">
        <w:t xml:space="preserve"> </w:t>
      </w:r>
      <w:r w:rsidR="00615D84" w:rsidRPr="00615D84">
        <w:t>of</w:t>
      </w:r>
      <w:r w:rsidR="009A0847">
        <w:t xml:space="preserve"> </w:t>
      </w:r>
      <w:r w:rsidR="00615D84" w:rsidRPr="00615D84">
        <w:t>England’s</w:t>
      </w:r>
      <w:r w:rsidR="009A0847">
        <w:t xml:space="preserve"> </w:t>
      </w:r>
      <w:r w:rsidR="00615D84" w:rsidRPr="00615D84">
        <w:t>framework</w:t>
      </w:r>
      <w:r w:rsidR="009A0847">
        <w:t xml:space="preserve"> </w:t>
      </w:r>
      <w:r w:rsidR="00615D84" w:rsidRPr="00615D84">
        <w:t>for</w:t>
      </w:r>
      <w:r w:rsidR="009A0847">
        <w:t xml:space="preserve"> </w:t>
      </w:r>
      <w:r w:rsidR="00615D84" w:rsidRPr="00615D84">
        <w:t>providing</w:t>
      </w:r>
      <w:r w:rsidR="009A0847">
        <w:t xml:space="preserve"> </w:t>
      </w:r>
      <w:r w:rsidR="00615D84" w:rsidRPr="00615D84">
        <w:t>liquidity</w:t>
      </w:r>
      <w:r w:rsidR="009A0847">
        <w:t xml:space="preserve"> </w:t>
      </w:r>
      <w:r w:rsidR="00615D84" w:rsidRPr="00615D84">
        <w:t>to</w:t>
      </w:r>
      <w:r w:rsidR="009A0847">
        <w:t xml:space="preserve"> </w:t>
      </w:r>
      <w:r w:rsidR="00615D84" w:rsidRPr="00615D84">
        <w:t>the</w:t>
      </w:r>
      <w:r w:rsidR="009A0847">
        <w:t xml:space="preserve"> </w:t>
      </w:r>
      <w:r w:rsidR="00615D84" w:rsidRPr="00615D84">
        <w:t>banki</w:t>
      </w:r>
      <w:r w:rsidR="00615D84">
        <w:t>ng</w:t>
      </w:r>
      <w:r w:rsidR="009A0847">
        <w:t xml:space="preserve"> </w:t>
      </w:r>
      <w:r w:rsidR="00615D84">
        <w:t>system,”</w:t>
      </w:r>
      <w:r w:rsidR="009A0847">
        <w:t xml:space="preserve"> </w:t>
      </w:r>
      <w:r w:rsidR="00615D84">
        <w:t>www.</w:t>
      </w:r>
      <w:r w:rsidR="00615D84" w:rsidRPr="00615D84">
        <w:t>bankofengland.co.uk/publications/Documents/news/2012/cr2winters.pdf.</w:t>
      </w:r>
    </w:p>
    <w:p w14:paraId="2FB0C084" w14:textId="6B17DD5E" w:rsidR="00532E13" w:rsidRPr="00A568D8" w:rsidRDefault="00944E6E" w:rsidP="00F86E09">
      <w:pPr>
        <w:pStyle w:val="Heading1"/>
        <w:widowControl w:val="0"/>
      </w:pPr>
      <w:r w:rsidRPr="00DB66E3">
        <w:t>Appendix</w:t>
      </w:r>
      <w:r w:rsidR="009A0847">
        <w:t xml:space="preserve"> </w:t>
      </w:r>
      <w:r w:rsidR="00E166A9" w:rsidRPr="00DB66E3">
        <w:t>1</w:t>
      </w:r>
      <w:r w:rsidR="009A0847">
        <w:t xml:space="preserve"> </w:t>
      </w:r>
      <w:r w:rsidRPr="00DB66E3">
        <w:t>:</w:t>
      </w:r>
      <w:r w:rsidR="009A0847">
        <w:t xml:space="preserve"> </w:t>
      </w:r>
      <w:r w:rsidR="00532E13">
        <w:t>I</w:t>
      </w:r>
      <w:r w:rsidR="00532E13" w:rsidRPr="00A568D8">
        <w:t>nstitutional</w:t>
      </w:r>
      <w:r w:rsidR="009A0847">
        <w:t xml:space="preserve"> </w:t>
      </w:r>
      <w:r w:rsidR="00532E13" w:rsidRPr="00A568D8">
        <w:t>Background</w:t>
      </w:r>
      <w:r w:rsidR="009A0847">
        <w:t xml:space="preserve"> </w:t>
      </w:r>
    </w:p>
    <w:p w14:paraId="65E40D9A" w14:textId="6F09FFCB" w:rsidR="00F97BE1" w:rsidRDefault="00FA33AE" w:rsidP="00F86E09">
      <w:pPr>
        <w:pStyle w:val="Olivier1"/>
        <w:widowControl w:val="0"/>
        <w:spacing w:line="240" w:lineRule="auto"/>
        <w:rPr>
          <w:color w:val="000000" w:themeColor="text1"/>
        </w:rPr>
      </w:pPr>
      <w:r w:rsidRPr="00B37D3D">
        <w:rPr>
          <w:color w:val="000000" w:themeColor="text1"/>
        </w:rPr>
        <w:t>T</w:t>
      </w:r>
      <w:r w:rsidR="00532E13" w:rsidRPr="00B37D3D">
        <w:rPr>
          <w:color w:val="000000" w:themeColor="text1"/>
        </w:rPr>
        <w:t>his</w:t>
      </w:r>
      <w:r w:rsidR="009A0847">
        <w:rPr>
          <w:color w:val="000000" w:themeColor="text1"/>
        </w:rPr>
        <w:t xml:space="preserve"> </w:t>
      </w:r>
      <w:r w:rsidR="00532E13" w:rsidRPr="00B37D3D">
        <w:rPr>
          <w:color w:val="000000" w:themeColor="text1"/>
        </w:rPr>
        <w:t>section</w:t>
      </w:r>
      <w:r w:rsidR="009A0847">
        <w:rPr>
          <w:color w:val="000000" w:themeColor="text1"/>
        </w:rPr>
        <w:t xml:space="preserve"> </w:t>
      </w:r>
      <w:r w:rsidR="00532E13" w:rsidRPr="00B37D3D">
        <w:rPr>
          <w:color w:val="000000" w:themeColor="text1"/>
        </w:rPr>
        <w:t>provide</w:t>
      </w:r>
      <w:r w:rsidRPr="00B37D3D">
        <w:rPr>
          <w:color w:val="000000" w:themeColor="text1"/>
        </w:rPr>
        <w:t>s</w:t>
      </w:r>
      <w:r w:rsidR="009A0847">
        <w:rPr>
          <w:color w:val="000000" w:themeColor="text1"/>
        </w:rPr>
        <w:t xml:space="preserve"> </w:t>
      </w:r>
      <w:r w:rsidR="00532E13" w:rsidRPr="00B37D3D">
        <w:rPr>
          <w:color w:val="000000" w:themeColor="text1"/>
        </w:rPr>
        <w:t>a</w:t>
      </w:r>
      <w:r w:rsidR="009A0847">
        <w:rPr>
          <w:color w:val="000000" w:themeColor="text1"/>
        </w:rPr>
        <w:t xml:space="preserve"> </w:t>
      </w:r>
      <w:r w:rsidR="00532E13" w:rsidRPr="00B37D3D">
        <w:rPr>
          <w:color w:val="000000" w:themeColor="text1"/>
        </w:rPr>
        <w:t>brief</w:t>
      </w:r>
      <w:r w:rsidR="009A0847">
        <w:rPr>
          <w:color w:val="000000" w:themeColor="text1"/>
        </w:rPr>
        <w:t xml:space="preserve"> </w:t>
      </w:r>
      <w:r w:rsidR="00532E13" w:rsidRPr="00B37D3D">
        <w:rPr>
          <w:color w:val="000000" w:themeColor="text1"/>
        </w:rPr>
        <w:t>historical</w:t>
      </w:r>
      <w:r w:rsidR="009A0847">
        <w:rPr>
          <w:color w:val="000000" w:themeColor="text1"/>
        </w:rPr>
        <w:t xml:space="preserve"> </w:t>
      </w:r>
      <w:r w:rsidR="00532E13" w:rsidRPr="00B37D3D">
        <w:rPr>
          <w:color w:val="000000" w:themeColor="text1"/>
        </w:rPr>
        <w:t>perspective</w:t>
      </w:r>
      <w:r w:rsidR="009A0847">
        <w:rPr>
          <w:color w:val="000000" w:themeColor="text1"/>
        </w:rPr>
        <w:t xml:space="preserve"> </w:t>
      </w:r>
      <w:r w:rsidR="00532E13" w:rsidRPr="00B37D3D">
        <w:rPr>
          <w:color w:val="000000" w:themeColor="text1"/>
        </w:rPr>
        <w:t>on</w:t>
      </w:r>
      <w:r w:rsidR="009A0847">
        <w:rPr>
          <w:color w:val="000000" w:themeColor="text1"/>
        </w:rPr>
        <w:t xml:space="preserve"> </w:t>
      </w:r>
      <w:r w:rsidR="00532E13" w:rsidRPr="00B37D3D">
        <w:rPr>
          <w:color w:val="000000" w:themeColor="text1"/>
        </w:rPr>
        <w:t>the</w:t>
      </w:r>
      <w:r w:rsidR="009A0847">
        <w:rPr>
          <w:color w:val="000000" w:themeColor="text1"/>
        </w:rPr>
        <w:t xml:space="preserve"> </w:t>
      </w:r>
      <w:r w:rsidR="00532E13" w:rsidRPr="00B37D3D">
        <w:rPr>
          <w:color w:val="000000" w:themeColor="text1"/>
        </w:rPr>
        <w:t>DW</w:t>
      </w:r>
      <w:r w:rsidR="009A0847">
        <w:rPr>
          <w:color w:val="000000" w:themeColor="text1"/>
        </w:rPr>
        <w:t xml:space="preserve"> </w:t>
      </w:r>
      <w:r w:rsidR="00532E13" w:rsidRPr="00B37D3D">
        <w:rPr>
          <w:color w:val="000000" w:themeColor="text1"/>
        </w:rPr>
        <w:t>and</w:t>
      </w:r>
      <w:r w:rsidR="009A0847">
        <w:rPr>
          <w:color w:val="000000" w:themeColor="text1"/>
        </w:rPr>
        <w:t xml:space="preserve"> </w:t>
      </w:r>
      <w:r w:rsidR="00532E13" w:rsidRPr="00B37D3D">
        <w:rPr>
          <w:color w:val="000000" w:themeColor="text1"/>
        </w:rPr>
        <w:t>the</w:t>
      </w:r>
      <w:r w:rsidR="009A0847">
        <w:rPr>
          <w:color w:val="000000" w:themeColor="text1"/>
        </w:rPr>
        <w:t xml:space="preserve"> </w:t>
      </w:r>
      <w:r w:rsidR="00532E13" w:rsidRPr="00B37D3D">
        <w:rPr>
          <w:color w:val="000000" w:themeColor="text1"/>
        </w:rPr>
        <w:t>provision</w:t>
      </w:r>
      <w:r w:rsidR="009A0847">
        <w:rPr>
          <w:color w:val="000000" w:themeColor="text1"/>
        </w:rPr>
        <w:t xml:space="preserve"> </w:t>
      </w:r>
      <w:r w:rsidR="00532E13" w:rsidRPr="00B37D3D">
        <w:rPr>
          <w:color w:val="000000" w:themeColor="text1"/>
        </w:rPr>
        <w:t>of</w:t>
      </w:r>
      <w:r w:rsidR="009A0847">
        <w:rPr>
          <w:color w:val="000000" w:themeColor="text1"/>
        </w:rPr>
        <w:t xml:space="preserve"> </w:t>
      </w:r>
      <w:r w:rsidR="00532E13" w:rsidRPr="00B37D3D">
        <w:rPr>
          <w:color w:val="000000" w:themeColor="text1"/>
        </w:rPr>
        <w:t>emergency</w:t>
      </w:r>
      <w:r w:rsidR="009A0847">
        <w:rPr>
          <w:color w:val="000000" w:themeColor="text1"/>
        </w:rPr>
        <w:t xml:space="preserve"> </w:t>
      </w:r>
      <w:r w:rsidR="00532E13" w:rsidRPr="00B37D3D">
        <w:rPr>
          <w:color w:val="000000" w:themeColor="text1"/>
        </w:rPr>
        <w:t>liquidity</w:t>
      </w:r>
      <w:r w:rsidR="009A0847">
        <w:rPr>
          <w:color w:val="000000" w:themeColor="text1"/>
        </w:rPr>
        <w:t xml:space="preserve"> </w:t>
      </w:r>
      <w:r w:rsidR="00532E13" w:rsidRPr="00B37D3D">
        <w:rPr>
          <w:color w:val="000000" w:themeColor="text1"/>
        </w:rPr>
        <w:t>by</w:t>
      </w:r>
      <w:r w:rsidR="009A0847">
        <w:rPr>
          <w:color w:val="000000" w:themeColor="text1"/>
        </w:rPr>
        <w:t xml:space="preserve"> </w:t>
      </w:r>
      <w:r w:rsidR="00532E13" w:rsidRPr="00B37D3D">
        <w:rPr>
          <w:color w:val="000000" w:themeColor="text1"/>
        </w:rPr>
        <w:t>the</w:t>
      </w:r>
      <w:r w:rsidR="009A0847">
        <w:rPr>
          <w:color w:val="000000" w:themeColor="text1"/>
        </w:rPr>
        <w:t xml:space="preserve"> </w:t>
      </w:r>
      <w:r w:rsidR="00532E13" w:rsidRPr="00B37D3D">
        <w:rPr>
          <w:color w:val="000000" w:themeColor="text1"/>
        </w:rPr>
        <w:t>Fed</w:t>
      </w:r>
      <w:r w:rsidR="00FD648E">
        <w:rPr>
          <w:color w:val="000000" w:themeColor="text1"/>
        </w:rPr>
        <w:t>,</w:t>
      </w:r>
      <w:r w:rsidR="009A0847">
        <w:rPr>
          <w:color w:val="000000" w:themeColor="text1"/>
        </w:rPr>
        <w:t xml:space="preserve"> </w:t>
      </w:r>
      <w:r w:rsidR="00532E13" w:rsidRPr="00B37D3D">
        <w:rPr>
          <w:color w:val="000000" w:themeColor="text1"/>
        </w:rPr>
        <w:t>emphasizing</w:t>
      </w:r>
      <w:r w:rsidR="009A0847">
        <w:rPr>
          <w:color w:val="000000" w:themeColor="text1"/>
        </w:rPr>
        <w:t xml:space="preserve"> </w:t>
      </w:r>
      <w:r w:rsidR="00532E13" w:rsidRPr="00B37D3D">
        <w:rPr>
          <w:color w:val="000000" w:themeColor="text1"/>
        </w:rPr>
        <w:t>the</w:t>
      </w:r>
      <w:r w:rsidR="009A0847">
        <w:rPr>
          <w:color w:val="000000" w:themeColor="text1"/>
        </w:rPr>
        <w:t xml:space="preserve"> </w:t>
      </w:r>
      <w:r w:rsidR="00532E13" w:rsidRPr="00B37D3D">
        <w:rPr>
          <w:color w:val="000000" w:themeColor="text1"/>
        </w:rPr>
        <w:t>issue</w:t>
      </w:r>
      <w:r w:rsidR="009A0847">
        <w:rPr>
          <w:color w:val="000000" w:themeColor="text1"/>
        </w:rPr>
        <w:t xml:space="preserve"> </w:t>
      </w:r>
      <w:r w:rsidR="00532E13" w:rsidRPr="00B37D3D">
        <w:rPr>
          <w:color w:val="000000" w:themeColor="text1"/>
        </w:rPr>
        <w:t>of</w:t>
      </w:r>
      <w:r w:rsidR="009A0847">
        <w:rPr>
          <w:color w:val="000000" w:themeColor="text1"/>
        </w:rPr>
        <w:t xml:space="preserve"> </w:t>
      </w:r>
      <w:r w:rsidR="00532E13" w:rsidRPr="00B37D3D">
        <w:rPr>
          <w:color w:val="000000" w:themeColor="text1"/>
        </w:rPr>
        <w:t>stigma.</w:t>
      </w:r>
      <w:r w:rsidR="009A0847">
        <w:rPr>
          <w:color w:val="000000" w:themeColor="text1"/>
        </w:rPr>
        <w:t xml:space="preserve"> </w:t>
      </w:r>
      <w:r w:rsidR="00F97BE1" w:rsidRPr="00B37D3D">
        <w:rPr>
          <w:color w:val="000000" w:themeColor="text1"/>
        </w:rPr>
        <w:t>For</w:t>
      </w:r>
      <w:r w:rsidR="009A0847">
        <w:rPr>
          <w:color w:val="000000" w:themeColor="text1"/>
        </w:rPr>
        <w:t xml:space="preserve"> </w:t>
      </w:r>
      <w:r w:rsidR="00F97BE1" w:rsidRPr="00B37D3D">
        <w:rPr>
          <w:color w:val="000000" w:themeColor="text1"/>
        </w:rPr>
        <w:t>additional</w:t>
      </w:r>
      <w:r w:rsidR="009A0847">
        <w:rPr>
          <w:color w:val="000000" w:themeColor="text1"/>
        </w:rPr>
        <w:t xml:space="preserve"> </w:t>
      </w:r>
      <w:r w:rsidR="00F97BE1" w:rsidRPr="00B37D3D">
        <w:rPr>
          <w:color w:val="000000" w:themeColor="text1"/>
        </w:rPr>
        <w:t>details</w:t>
      </w:r>
      <w:r w:rsidR="009A0847">
        <w:rPr>
          <w:color w:val="000000" w:themeColor="text1"/>
        </w:rPr>
        <w:t xml:space="preserve"> </w:t>
      </w:r>
      <w:r w:rsidR="00F97BE1" w:rsidRPr="00B37D3D">
        <w:rPr>
          <w:color w:val="000000" w:themeColor="text1"/>
        </w:rPr>
        <w:t>see</w:t>
      </w:r>
      <w:r w:rsidR="009A0847">
        <w:rPr>
          <w:color w:val="000000" w:themeColor="text1"/>
        </w:rPr>
        <w:t xml:space="preserve"> </w:t>
      </w:r>
      <w:r w:rsidR="00E914C7">
        <w:rPr>
          <w:color w:val="000000" w:themeColor="text1"/>
        </w:rPr>
        <w:t>Gorton</w:t>
      </w:r>
      <w:r w:rsidR="009A0847">
        <w:rPr>
          <w:color w:val="000000" w:themeColor="text1"/>
        </w:rPr>
        <w:t xml:space="preserve"> </w:t>
      </w:r>
      <w:r w:rsidR="00E914C7">
        <w:rPr>
          <w:color w:val="000000" w:themeColor="text1"/>
        </w:rPr>
        <w:t>and</w:t>
      </w:r>
      <w:r w:rsidR="009A0847">
        <w:rPr>
          <w:color w:val="000000" w:themeColor="text1"/>
        </w:rPr>
        <w:t xml:space="preserve"> </w:t>
      </w:r>
      <w:r w:rsidR="00E914C7">
        <w:rPr>
          <w:color w:val="000000" w:themeColor="text1"/>
        </w:rPr>
        <w:t>Metrick</w:t>
      </w:r>
      <w:r w:rsidR="009A0847">
        <w:rPr>
          <w:color w:val="000000" w:themeColor="text1"/>
        </w:rPr>
        <w:t xml:space="preserve"> </w:t>
      </w:r>
      <w:r w:rsidR="00E914C7">
        <w:rPr>
          <w:color w:val="000000" w:themeColor="text1"/>
        </w:rPr>
        <w:t>(2013),</w:t>
      </w:r>
      <w:r w:rsidR="009A0847">
        <w:rPr>
          <w:color w:val="000000" w:themeColor="text1"/>
        </w:rPr>
        <w:t xml:space="preserve"> </w:t>
      </w:r>
      <w:r w:rsidR="00792E66">
        <w:rPr>
          <w:color w:val="000000" w:themeColor="text1"/>
        </w:rPr>
        <w:t>Carlson</w:t>
      </w:r>
      <w:r w:rsidR="009A0847">
        <w:rPr>
          <w:color w:val="000000" w:themeColor="text1"/>
        </w:rPr>
        <w:t xml:space="preserve"> </w:t>
      </w:r>
      <w:r w:rsidR="00792E66">
        <w:rPr>
          <w:color w:val="000000" w:themeColor="text1"/>
        </w:rPr>
        <w:t>and</w:t>
      </w:r>
      <w:r w:rsidR="009A0847">
        <w:rPr>
          <w:color w:val="000000" w:themeColor="text1"/>
        </w:rPr>
        <w:t xml:space="preserve"> </w:t>
      </w:r>
      <w:r w:rsidR="00792E66">
        <w:rPr>
          <w:color w:val="000000" w:themeColor="text1"/>
        </w:rPr>
        <w:t>Rose</w:t>
      </w:r>
      <w:r w:rsidR="009A0847">
        <w:rPr>
          <w:color w:val="000000" w:themeColor="text1"/>
        </w:rPr>
        <w:t xml:space="preserve"> </w:t>
      </w:r>
      <w:r w:rsidR="00792E66">
        <w:rPr>
          <w:color w:val="000000" w:themeColor="text1"/>
        </w:rPr>
        <w:t>(2017)</w:t>
      </w:r>
      <w:r w:rsidR="009A0847">
        <w:rPr>
          <w:color w:val="000000" w:themeColor="text1"/>
        </w:rPr>
        <w:t xml:space="preserve"> </w:t>
      </w:r>
      <w:r w:rsidR="00792E66">
        <w:rPr>
          <w:color w:val="000000" w:themeColor="text1"/>
        </w:rPr>
        <w:t>or</w:t>
      </w:r>
      <w:r w:rsidR="009A0847">
        <w:rPr>
          <w:color w:val="000000" w:themeColor="text1"/>
        </w:rPr>
        <w:t xml:space="preserve"> </w:t>
      </w:r>
      <w:r w:rsidR="00F97BE1" w:rsidRPr="00FD648E">
        <w:rPr>
          <w:color w:val="000000" w:themeColor="text1"/>
        </w:rPr>
        <w:t>www.frbdiscountwindow.org</w:t>
      </w:r>
      <w:r w:rsidR="00B37D3D" w:rsidRPr="00FD648E">
        <w:rPr>
          <w:color w:val="000000" w:themeColor="text1"/>
        </w:rPr>
        <w:t>.</w:t>
      </w:r>
      <w:r w:rsidR="009A0847">
        <w:rPr>
          <w:color w:val="000000" w:themeColor="text1"/>
        </w:rPr>
        <w:t xml:space="preserve"> </w:t>
      </w:r>
    </w:p>
    <w:p w14:paraId="72596E2C" w14:textId="77777777" w:rsidR="00464079" w:rsidRDefault="00806F88" w:rsidP="00464079">
      <w:pPr>
        <w:pStyle w:val="Olivier1"/>
        <w:widowControl w:val="0"/>
        <w:spacing w:line="240" w:lineRule="auto"/>
        <w:ind w:firstLine="360"/>
        <w:rPr>
          <w:color w:val="000000" w:themeColor="text1"/>
        </w:rPr>
      </w:pPr>
      <w:r w:rsidRPr="00B37D3D">
        <w:rPr>
          <w:color w:val="000000" w:themeColor="text1"/>
        </w:rPr>
        <w:t>The</w:t>
      </w:r>
      <w:r w:rsidR="009A0847">
        <w:rPr>
          <w:color w:val="000000" w:themeColor="text1"/>
        </w:rPr>
        <w:t xml:space="preserve"> </w:t>
      </w:r>
      <w:r w:rsidR="00B37D3D">
        <w:rPr>
          <w:color w:val="000000" w:themeColor="text1"/>
        </w:rPr>
        <w:t>DW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was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established</w:t>
      </w:r>
      <w:r w:rsidR="009A0847">
        <w:rPr>
          <w:color w:val="000000" w:themeColor="text1"/>
        </w:rPr>
        <w:t xml:space="preserve"> </w:t>
      </w:r>
      <w:r w:rsidR="00197D38" w:rsidRPr="00B37D3D">
        <w:rPr>
          <w:color w:val="000000" w:themeColor="text1"/>
        </w:rPr>
        <w:t>through</w:t>
      </w:r>
      <w:r w:rsidR="009A0847">
        <w:rPr>
          <w:color w:val="000000" w:themeColor="text1"/>
        </w:rPr>
        <w:t xml:space="preserve"> </w:t>
      </w:r>
      <w:r w:rsidR="00197D38" w:rsidRPr="00B37D3D">
        <w:rPr>
          <w:color w:val="000000" w:themeColor="text1"/>
        </w:rPr>
        <w:t>legislation</w:t>
      </w:r>
      <w:r w:rsidR="009A0847">
        <w:rPr>
          <w:color w:val="000000" w:themeColor="text1"/>
        </w:rPr>
        <w:t xml:space="preserve"> </w:t>
      </w:r>
      <w:r w:rsidR="00197D38" w:rsidRPr="00B37D3D">
        <w:rPr>
          <w:color w:val="000000" w:themeColor="text1"/>
        </w:rPr>
        <w:t>passed</w:t>
      </w:r>
      <w:r w:rsidR="009A0847">
        <w:rPr>
          <w:color w:val="000000" w:themeColor="text1"/>
        </w:rPr>
        <w:t xml:space="preserve"> </w:t>
      </w:r>
      <w:r w:rsidR="00197D38" w:rsidRPr="00B37D3D">
        <w:rPr>
          <w:color w:val="000000" w:themeColor="text1"/>
        </w:rPr>
        <w:t>by</w:t>
      </w:r>
      <w:r w:rsidR="009A0847">
        <w:rPr>
          <w:color w:val="000000" w:themeColor="text1"/>
        </w:rPr>
        <w:t xml:space="preserve"> </w:t>
      </w:r>
      <w:r w:rsidR="00197D38" w:rsidRPr="00B37D3D">
        <w:rPr>
          <w:color w:val="000000" w:themeColor="text1"/>
        </w:rPr>
        <w:t>congress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in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1913.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At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the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time,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the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money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supply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was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adjusted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by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controlling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the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rate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at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which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banks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could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borrow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from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the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DW.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Starting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in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the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late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1920s,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the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Fed</w:t>
      </w:r>
      <w:r w:rsidR="009A0847">
        <w:rPr>
          <w:color w:val="000000" w:themeColor="text1"/>
        </w:rPr>
        <w:t xml:space="preserve"> </w:t>
      </w:r>
      <w:r w:rsidR="00445F10" w:rsidRPr="00B37D3D">
        <w:rPr>
          <w:color w:val="000000" w:themeColor="text1"/>
        </w:rPr>
        <w:t>gradually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switched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to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“open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market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operations”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(the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buying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and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selling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of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government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securities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in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the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open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market)</w:t>
      </w:r>
      <w:r w:rsidR="009A0847">
        <w:rPr>
          <w:color w:val="000000" w:themeColor="text1"/>
        </w:rPr>
        <w:t xml:space="preserve"> </w:t>
      </w:r>
      <w:r w:rsidR="00E2615A" w:rsidRPr="00B37D3D">
        <w:rPr>
          <w:color w:val="000000" w:themeColor="text1"/>
        </w:rPr>
        <w:t>to</w:t>
      </w:r>
      <w:r w:rsidR="009A0847">
        <w:rPr>
          <w:color w:val="000000" w:themeColor="text1"/>
        </w:rPr>
        <w:t xml:space="preserve"> </w:t>
      </w:r>
      <w:r w:rsidR="00E2615A" w:rsidRPr="00B37D3D">
        <w:rPr>
          <w:color w:val="000000" w:themeColor="text1"/>
        </w:rPr>
        <w:t>conduct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monetary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policy.</w:t>
      </w:r>
      <w:r w:rsidR="009A0847">
        <w:rPr>
          <w:color w:val="000000" w:themeColor="text1"/>
        </w:rPr>
        <w:t xml:space="preserve"> </w:t>
      </w:r>
      <w:r w:rsidR="006262FA" w:rsidRPr="00B37D3D">
        <w:rPr>
          <w:color w:val="000000" w:themeColor="text1"/>
        </w:rPr>
        <w:t>The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DW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then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became</w:t>
      </w:r>
      <w:r w:rsidR="009A0847">
        <w:rPr>
          <w:color w:val="000000" w:themeColor="text1"/>
        </w:rPr>
        <w:t xml:space="preserve"> </w:t>
      </w:r>
      <w:r w:rsidR="006262FA" w:rsidRPr="00B37D3D">
        <w:rPr>
          <w:color w:val="000000" w:themeColor="text1"/>
        </w:rPr>
        <w:t>the</w:t>
      </w:r>
      <w:r w:rsidR="009A0847">
        <w:rPr>
          <w:color w:val="000000" w:themeColor="text1"/>
        </w:rPr>
        <w:t xml:space="preserve"> </w:t>
      </w:r>
      <w:r w:rsidR="006262FA" w:rsidRPr="00B37D3D">
        <w:rPr>
          <w:color w:val="000000" w:themeColor="text1"/>
        </w:rPr>
        <w:t>Fed’s</w:t>
      </w:r>
      <w:r w:rsidR="009A0847">
        <w:rPr>
          <w:color w:val="000000" w:themeColor="text1"/>
        </w:rPr>
        <w:t xml:space="preserve"> </w:t>
      </w:r>
      <w:r w:rsidR="006262FA" w:rsidRPr="00B37D3D">
        <w:rPr>
          <w:color w:val="000000" w:themeColor="text1"/>
        </w:rPr>
        <w:t>primary</w:t>
      </w:r>
      <w:r w:rsidR="009A0847">
        <w:rPr>
          <w:color w:val="000000" w:themeColor="text1"/>
        </w:rPr>
        <w:t xml:space="preserve"> </w:t>
      </w:r>
      <w:r w:rsidR="006262FA" w:rsidRPr="00B37D3D">
        <w:rPr>
          <w:color w:val="000000" w:themeColor="text1"/>
        </w:rPr>
        <w:t>tool</w:t>
      </w:r>
      <w:r w:rsidR="009A0847">
        <w:rPr>
          <w:color w:val="000000" w:themeColor="text1"/>
        </w:rPr>
        <w:t xml:space="preserve"> </w:t>
      </w:r>
      <w:r w:rsidR="006262FA" w:rsidRPr="00B37D3D">
        <w:rPr>
          <w:color w:val="000000" w:themeColor="text1"/>
        </w:rPr>
        <w:t>to</w:t>
      </w:r>
      <w:r w:rsidR="009A0847">
        <w:rPr>
          <w:color w:val="000000" w:themeColor="text1"/>
        </w:rPr>
        <w:t xml:space="preserve"> </w:t>
      </w:r>
      <w:r w:rsidR="006262FA" w:rsidRPr="00B37D3D">
        <w:rPr>
          <w:color w:val="000000" w:themeColor="text1"/>
        </w:rPr>
        <w:t>provide</w:t>
      </w:r>
      <w:r w:rsidR="009A0847">
        <w:rPr>
          <w:color w:val="000000" w:themeColor="text1"/>
        </w:rPr>
        <w:t xml:space="preserve"> </w:t>
      </w:r>
      <w:r w:rsidR="006262FA" w:rsidRPr="00B37D3D">
        <w:rPr>
          <w:color w:val="000000" w:themeColor="text1"/>
        </w:rPr>
        <w:t>emergency</w:t>
      </w:r>
      <w:r w:rsidR="009A0847">
        <w:rPr>
          <w:color w:val="000000" w:themeColor="text1"/>
        </w:rPr>
        <w:t xml:space="preserve"> </w:t>
      </w:r>
      <w:r w:rsidR="006262FA" w:rsidRPr="00B37D3D">
        <w:rPr>
          <w:color w:val="000000" w:themeColor="text1"/>
        </w:rPr>
        <w:t>credit</w:t>
      </w:r>
      <w:r w:rsidR="009A0847">
        <w:rPr>
          <w:color w:val="000000" w:themeColor="text1"/>
        </w:rPr>
        <w:t xml:space="preserve"> </w:t>
      </w:r>
      <w:r w:rsidR="006262FA" w:rsidRPr="00B37D3D">
        <w:rPr>
          <w:color w:val="000000" w:themeColor="text1"/>
        </w:rPr>
        <w:t>to</w:t>
      </w:r>
      <w:r w:rsidR="009A0847">
        <w:rPr>
          <w:color w:val="000000" w:themeColor="text1"/>
        </w:rPr>
        <w:t xml:space="preserve"> </w:t>
      </w:r>
      <w:r w:rsidR="006262FA" w:rsidRPr="00B37D3D">
        <w:rPr>
          <w:color w:val="000000" w:themeColor="text1"/>
        </w:rPr>
        <w:t>depository</w:t>
      </w:r>
      <w:r w:rsidR="009A0847">
        <w:rPr>
          <w:color w:val="000000" w:themeColor="text1"/>
        </w:rPr>
        <w:t xml:space="preserve"> </w:t>
      </w:r>
      <w:r w:rsidR="006262FA" w:rsidRPr="00B37D3D">
        <w:rPr>
          <w:color w:val="000000" w:themeColor="text1"/>
        </w:rPr>
        <w:t>institutions</w:t>
      </w:r>
      <w:r w:rsidR="009A0847">
        <w:rPr>
          <w:color w:val="000000" w:themeColor="text1"/>
        </w:rPr>
        <w:t xml:space="preserve"> </w:t>
      </w:r>
      <w:r w:rsidR="006262FA" w:rsidRPr="00B37D3D">
        <w:rPr>
          <w:color w:val="000000" w:themeColor="text1"/>
        </w:rPr>
        <w:t>in</w:t>
      </w:r>
      <w:r w:rsidR="009A0847">
        <w:rPr>
          <w:color w:val="000000" w:themeColor="text1"/>
        </w:rPr>
        <w:t xml:space="preserve"> </w:t>
      </w:r>
      <w:r w:rsidR="006262FA" w:rsidRPr="00B37D3D">
        <w:rPr>
          <w:color w:val="000000" w:themeColor="text1"/>
        </w:rPr>
        <w:t>its</w:t>
      </w:r>
      <w:r w:rsidR="009A0847">
        <w:rPr>
          <w:color w:val="000000" w:themeColor="text1"/>
        </w:rPr>
        <w:t xml:space="preserve"> </w:t>
      </w:r>
      <w:r w:rsidR="00B37D3D">
        <w:rPr>
          <w:color w:val="000000" w:themeColor="text1"/>
        </w:rPr>
        <w:t>role</w:t>
      </w:r>
      <w:r w:rsidR="009A0847">
        <w:rPr>
          <w:color w:val="000000" w:themeColor="text1"/>
        </w:rPr>
        <w:t xml:space="preserve"> </w:t>
      </w:r>
      <w:r w:rsidR="00B37D3D">
        <w:rPr>
          <w:color w:val="000000" w:themeColor="text1"/>
        </w:rPr>
        <w:t>of</w:t>
      </w:r>
      <w:r w:rsidR="009A0847">
        <w:rPr>
          <w:color w:val="000000" w:themeColor="text1"/>
        </w:rPr>
        <w:t xml:space="preserve"> </w:t>
      </w:r>
      <w:r w:rsidR="00B37D3D">
        <w:rPr>
          <w:color w:val="000000" w:themeColor="text1"/>
        </w:rPr>
        <w:t>“lender</w:t>
      </w:r>
      <w:r w:rsidR="009A0847">
        <w:rPr>
          <w:color w:val="000000" w:themeColor="text1"/>
        </w:rPr>
        <w:t xml:space="preserve"> </w:t>
      </w:r>
      <w:r w:rsidR="00B37D3D">
        <w:rPr>
          <w:color w:val="000000" w:themeColor="text1"/>
        </w:rPr>
        <w:t>of</w:t>
      </w:r>
      <w:r w:rsidR="009A0847">
        <w:rPr>
          <w:color w:val="000000" w:themeColor="text1"/>
        </w:rPr>
        <w:t xml:space="preserve"> </w:t>
      </w:r>
      <w:r w:rsidR="00B37D3D">
        <w:rPr>
          <w:color w:val="000000" w:themeColor="text1"/>
        </w:rPr>
        <w:t>last</w:t>
      </w:r>
      <w:r w:rsidR="009A0847">
        <w:rPr>
          <w:color w:val="000000" w:themeColor="text1"/>
        </w:rPr>
        <w:t xml:space="preserve"> </w:t>
      </w:r>
      <w:r w:rsidR="00B37D3D">
        <w:rPr>
          <w:color w:val="000000" w:themeColor="text1"/>
        </w:rPr>
        <w:t>resort</w:t>
      </w:r>
      <w:r w:rsidR="00E36D46">
        <w:rPr>
          <w:color w:val="000000" w:themeColor="text1"/>
        </w:rPr>
        <w:t>.</w:t>
      </w:r>
      <w:r w:rsidR="006262FA" w:rsidRPr="00B37D3D">
        <w:rPr>
          <w:color w:val="000000" w:themeColor="text1"/>
        </w:rPr>
        <w:t>”</w:t>
      </w:r>
      <w:r w:rsidR="009A0847">
        <w:rPr>
          <w:color w:val="000000" w:themeColor="text1"/>
        </w:rPr>
        <w:t xml:space="preserve"> </w:t>
      </w:r>
      <w:r w:rsidR="006262FA" w:rsidRPr="00B37D3D">
        <w:rPr>
          <w:color w:val="000000" w:themeColor="text1"/>
        </w:rPr>
        <w:t>Over</w:t>
      </w:r>
      <w:r w:rsidR="009A0847">
        <w:rPr>
          <w:color w:val="000000" w:themeColor="text1"/>
        </w:rPr>
        <w:t xml:space="preserve"> </w:t>
      </w:r>
      <w:r w:rsidR="006262FA" w:rsidRPr="00B37D3D">
        <w:rPr>
          <w:color w:val="000000" w:themeColor="text1"/>
        </w:rPr>
        <w:t>the</w:t>
      </w:r>
      <w:r w:rsidR="009A0847">
        <w:rPr>
          <w:color w:val="000000" w:themeColor="text1"/>
        </w:rPr>
        <w:t xml:space="preserve"> </w:t>
      </w:r>
      <w:r w:rsidR="006262FA" w:rsidRPr="00B37D3D">
        <w:rPr>
          <w:color w:val="000000" w:themeColor="text1"/>
        </w:rPr>
        <w:t>past</w:t>
      </w:r>
      <w:r w:rsidR="009A0847">
        <w:rPr>
          <w:color w:val="000000" w:themeColor="text1"/>
        </w:rPr>
        <w:t xml:space="preserve"> </w:t>
      </w:r>
      <w:r w:rsidR="006262FA" w:rsidRPr="00B37D3D">
        <w:rPr>
          <w:color w:val="000000" w:themeColor="text1"/>
        </w:rPr>
        <w:t>50</w:t>
      </w:r>
      <w:r w:rsidR="009A0847">
        <w:rPr>
          <w:color w:val="000000" w:themeColor="text1"/>
        </w:rPr>
        <w:t xml:space="preserve"> </w:t>
      </w:r>
      <w:r w:rsidR="006262FA" w:rsidRPr="00B37D3D">
        <w:rPr>
          <w:color w:val="000000" w:themeColor="text1"/>
        </w:rPr>
        <w:t>years,</w:t>
      </w:r>
      <w:r w:rsidR="009A0847">
        <w:rPr>
          <w:color w:val="000000" w:themeColor="text1"/>
        </w:rPr>
        <w:t xml:space="preserve"> </w:t>
      </w:r>
      <w:r w:rsidR="006262FA" w:rsidRPr="00B37D3D">
        <w:rPr>
          <w:color w:val="000000" w:themeColor="text1"/>
        </w:rPr>
        <w:t>the</w:t>
      </w:r>
      <w:r w:rsidR="009A0847">
        <w:rPr>
          <w:color w:val="000000" w:themeColor="text1"/>
        </w:rPr>
        <w:t xml:space="preserve"> </w:t>
      </w:r>
      <w:r w:rsidR="00FD648E">
        <w:rPr>
          <w:color w:val="000000" w:themeColor="text1"/>
        </w:rPr>
        <w:t>object</w:t>
      </w:r>
      <w:r w:rsidR="00464079">
        <w:rPr>
          <w:color w:val="000000" w:themeColor="text1"/>
        </w:rPr>
        <w:t>ive</w:t>
      </w:r>
      <w:r w:rsidR="009A0847">
        <w:rPr>
          <w:color w:val="000000" w:themeColor="text1"/>
        </w:rPr>
        <w:t xml:space="preserve"> </w:t>
      </w:r>
      <w:r w:rsidR="00FD648E">
        <w:rPr>
          <w:color w:val="000000" w:themeColor="text1"/>
        </w:rPr>
        <w:t>of</w:t>
      </w:r>
      <w:r w:rsidR="009A0847">
        <w:rPr>
          <w:color w:val="000000" w:themeColor="text1"/>
        </w:rPr>
        <w:t xml:space="preserve"> </w:t>
      </w:r>
      <w:r w:rsidR="00FD648E">
        <w:rPr>
          <w:color w:val="000000" w:themeColor="text1"/>
        </w:rPr>
        <w:t>the</w:t>
      </w:r>
      <w:r w:rsidR="009A0847">
        <w:rPr>
          <w:color w:val="000000" w:themeColor="text1"/>
        </w:rPr>
        <w:t xml:space="preserve"> </w:t>
      </w:r>
      <w:r w:rsidR="006262FA" w:rsidRPr="00B37D3D">
        <w:rPr>
          <w:color w:val="000000" w:themeColor="text1"/>
        </w:rPr>
        <w:t>DW</w:t>
      </w:r>
      <w:r w:rsidR="009A0847">
        <w:rPr>
          <w:color w:val="000000" w:themeColor="text1"/>
        </w:rPr>
        <w:t xml:space="preserve"> </w:t>
      </w:r>
      <w:r w:rsidR="006262FA" w:rsidRPr="00B37D3D">
        <w:rPr>
          <w:color w:val="000000" w:themeColor="text1"/>
        </w:rPr>
        <w:t>has</w:t>
      </w:r>
      <w:r w:rsidR="009A0847">
        <w:rPr>
          <w:color w:val="000000" w:themeColor="text1"/>
        </w:rPr>
        <w:t xml:space="preserve"> </w:t>
      </w:r>
      <w:r w:rsidR="00FD648E">
        <w:rPr>
          <w:color w:val="000000" w:themeColor="text1"/>
        </w:rPr>
        <w:t>been</w:t>
      </w:r>
      <w:r w:rsidR="009A0847">
        <w:rPr>
          <w:color w:val="000000" w:themeColor="text1"/>
        </w:rPr>
        <w:t xml:space="preserve"> </w:t>
      </w:r>
      <w:r w:rsidR="00E36D46">
        <w:rPr>
          <w:color w:val="000000" w:themeColor="text1"/>
        </w:rPr>
        <w:t>to</w:t>
      </w:r>
      <w:r w:rsidR="009A0847">
        <w:rPr>
          <w:color w:val="000000" w:themeColor="text1"/>
        </w:rPr>
        <w:t xml:space="preserve"> </w:t>
      </w:r>
      <w:r w:rsidR="006262FA" w:rsidRPr="00B37D3D">
        <w:rPr>
          <w:color w:val="000000" w:themeColor="text1"/>
        </w:rPr>
        <w:t>relieve</w:t>
      </w:r>
      <w:r w:rsidR="009A0847">
        <w:rPr>
          <w:color w:val="000000" w:themeColor="text1"/>
        </w:rPr>
        <w:t xml:space="preserve"> </w:t>
      </w:r>
      <w:r w:rsidR="006262FA" w:rsidRPr="00B37D3D">
        <w:rPr>
          <w:color w:val="000000" w:themeColor="text1"/>
        </w:rPr>
        <w:t>liquidity</w:t>
      </w:r>
      <w:r w:rsidR="009A0847">
        <w:rPr>
          <w:color w:val="000000" w:themeColor="text1"/>
        </w:rPr>
        <w:t xml:space="preserve"> </w:t>
      </w:r>
      <w:r w:rsidR="006262FA" w:rsidRPr="00B37D3D">
        <w:rPr>
          <w:color w:val="000000" w:themeColor="text1"/>
        </w:rPr>
        <w:t>strains</w:t>
      </w:r>
      <w:r w:rsidR="009A0847">
        <w:rPr>
          <w:color w:val="000000" w:themeColor="text1"/>
        </w:rPr>
        <w:t xml:space="preserve"> </w:t>
      </w:r>
      <w:r w:rsidR="006262FA" w:rsidRPr="00B37D3D">
        <w:rPr>
          <w:color w:val="000000" w:themeColor="text1"/>
        </w:rPr>
        <w:t>for</w:t>
      </w:r>
      <w:r w:rsidR="009A0847">
        <w:rPr>
          <w:color w:val="000000" w:themeColor="text1"/>
        </w:rPr>
        <w:t xml:space="preserve"> </w:t>
      </w:r>
      <w:r w:rsidR="006262FA" w:rsidRPr="00B37D3D">
        <w:rPr>
          <w:color w:val="000000" w:themeColor="text1"/>
        </w:rPr>
        <w:t>individual</w:t>
      </w:r>
      <w:r w:rsidR="009A0847">
        <w:rPr>
          <w:color w:val="000000" w:themeColor="text1"/>
        </w:rPr>
        <w:t xml:space="preserve"> </w:t>
      </w:r>
      <w:r w:rsidR="006262FA" w:rsidRPr="00B37D3D">
        <w:rPr>
          <w:color w:val="000000" w:themeColor="text1"/>
        </w:rPr>
        <w:t>depository</w:t>
      </w:r>
      <w:r w:rsidR="009A0847">
        <w:rPr>
          <w:color w:val="000000" w:themeColor="text1"/>
        </w:rPr>
        <w:t xml:space="preserve"> </w:t>
      </w:r>
      <w:r w:rsidR="006262FA" w:rsidRPr="00B37D3D">
        <w:rPr>
          <w:color w:val="000000" w:themeColor="text1"/>
        </w:rPr>
        <w:t>institutions</w:t>
      </w:r>
      <w:r w:rsidR="009A0847">
        <w:rPr>
          <w:color w:val="000000" w:themeColor="text1"/>
        </w:rPr>
        <w:t xml:space="preserve"> </w:t>
      </w:r>
      <w:r w:rsidR="006262FA" w:rsidRPr="00B37D3D">
        <w:rPr>
          <w:color w:val="000000" w:themeColor="text1"/>
        </w:rPr>
        <w:t>and</w:t>
      </w:r>
      <w:r w:rsidR="009A0847">
        <w:rPr>
          <w:color w:val="000000" w:themeColor="text1"/>
        </w:rPr>
        <w:t xml:space="preserve"> </w:t>
      </w:r>
      <w:r w:rsidR="006262FA" w:rsidRPr="00B37D3D">
        <w:rPr>
          <w:color w:val="000000" w:themeColor="text1"/>
        </w:rPr>
        <w:t>for</w:t>
      </w:r>
      <w:r w:rsidR="009A0847">
        <w:rPr>
          <w:color w:val="000000" w:themeColor="text1"/>
        </w:rPr>
        <w:t xml:space="preserve"> </w:t>
      </w:r>
      <w:r w:rsidR="006262FA" w:rsidRPr="00B37D3D">
        <w:rPr>
          <w:color w:val="000000" w:themeColor="text1"/>
        </w:rPr>
        <w:t>the</w:t>
      </w:r>
      <w:r w:rsidR="009A0847">
        <w:rPr>
          <w:color w:val="000000" w:themeColor="text1"/>
        </w:rPr>
        <w:t xml:space="preserve"> </w:t>
      </w:r>
      <w:r w:rsidR="006262FA" w:rsidRPr="00B37D3D">
        <w:rPr>
          <w:color w:val="000000" w:themeColor="text1"/>
        </w:rPr>
        <w:t>banking</w:t>
      </w:r>
      <w:r w:rsidR="009A0847">
        <w:rPr>
          <w:color w:val="000000" w:themeColor="text1"/>
        </w:rPr>
        <w:t xml:space="preserve"> </w:t>
      </w:r>
      <w:r w:rsidR="006262FA" w:rsidRPr="00B37D3D">
        <w:rPr>
          <w:color w:val="000000" w:themeColor="text1"/>
        </w:rPr>
        <w:t>system</w:t>
      </w:r>
      <w:r w:rsidR="009A0847">
        <w:rPr>
          <w:color w:val="000000" w:themeColor="text1"/>
        </w:rPr>
        <w:t xml:space="preserve"> </w:t>
      </w:r>
      <w:r w:rsidR="006262FA" w:rsidRPr="00B37D3D">
        <w:rPr>
          <w:color w:val="000000" w:themeColor="text1"/>
        </w:rPr>
        <w:t>as</w:t>
      </w:r>
      <w:r w:rsidR="009A0847">
        <w:rPr>
          <w:color w:val="000000" w:themeColor="text1"/>
        </w:rPr>
        <w:t xml:space="preserve"> </w:t>
      </w:r>
      <w:r w:rsidR="006262FA" w:rsidRPr="00B37D3D">
        <w:rPr>
          <w:color w:val="000000" w:themeColor="text1"/>
        </w:rPr>
        <w:t>a</w:t>
      </w:r>
      <w:r w:rsidR="009A0847">
        <w:rPr>
          <w:color w:val="000000" w:themeColor="text1"/>
        </w:rPr>
        <w:t xml:space="preserve"> </w:t>
      </w:r>
      <w:r w:rsidR="006262FA" w:rsidRPr="00B37D3D">
        <w:rPr>
          <w:color w:val="000000" w:themeColor="text1"/>
        </w:rPr>
        <w:t>whole</w:t>
      </w:r>
      <w:r w:rsidR="009A0847">
        <w:rPr>
          <w:color w:val="000000" w:themeColor="text1"/>
        </w:rPr>
        <w:t xml:space="preserve"> </w:t>
      </w:r>
      <w:r w:rsidR="006262FA" w:rsidRPr="00B37D3D">
        <w:rPr>
          <w:color w:val="000000" w:themeColor="text1"/>
        </w:rPr>
        <w:t>by</w:t>
      </w:r>
      <w:r w:rsidR="009A0847">
        <w:rPr>
          <w:color w:val="000000" w:themeColor="text1"/>
        </w:rPr>
        <w:t xml:space="preserve"> </w:t>
      </w:r>
      <w:r w:rsidR="006262FA" w:rsidRPr="00B37D3D">
        <w:rPr>
          <w:color w:val="000000" w:themeColor="text1"/>
        </w:rPr>
        <w:t>providing</w:t>
      </w:r>
      <w:r w:rsidR="009A0847">
        <w:rPr>
          <w:color w:val="000000" w:themeColor="text1"/>
        </w:rPr>
        <w:t xml:space="preserve"> </w:t>
      </w:r>
      <w:r w:rsidR="006262FA" w:rsidRPr="00B37D3D">
        <w:rPr>
          <w:color w:val="000000" w:themeColor="text1"/>
        </w:rPr>
        <w:t>a</w:t>
      </w:r>
      <w:r w:rsidR="009A0847">
        <w:rPr>
          <w:color w:val="000000" w:themeColor="text1"/>
        </w:rPr>
        <w:t xml:space="preserve"> </w:t>
      </w:r>
      <w:r w:rsidR="006262FA" w:rsidRPr="00B37D3D">
        <w:rPr>
          <w:color w:val="000000" w:themeColor="text1"/>
        </w:rPr>
        <w:t>reliable</w:t>
      </w:r>
      <w:r w:rsidR="009A0847">
        <w:rPr>
          <w:color w:val="000000" w:themeColor="text1"/>
        </w:rPr>
        <w:t xml:space="preserve"> </w:t>
      </w:r>
      <w:r w:rsidR="006262FA" w:rsidRPr="00B37D3D">
        <w:rPr>
          <w:color w:val="000000" w:themeColor="text1"/>
        </w:rPr>
        <w:t>backup</w:t>
      </w:r>
      <w:r w:rsidR="009A0847">
        <w:rPr>
          <w:color w:val="000000" w:themeColor="text1"/>
        </w:rPr>
        <w:t xml:space="preserve"> </w:t>
      </w:r>
      <w:r w:rsidR="006262FA" w:rsidRPr="00B37D3D">
        <w:rPr>
          <w:color w:val="000000" w:themeColor="text1"/>
        </w:rPr>
        <w:t>source</w:t>
      </w:r>
      <w:r w:rsidR="009A0847">
        <w:rPr>
          <w:color w:val="000000" w:themeColor="text1"/>
        </w:rPr>
        <w:t xml:space="preserve"> </w:t>
      </w:r>
      <w:r w:rsidR="006262FA" w:rsidRPr="00B37D3D">
        <w:rPr>
          <w:color w:val="000000" w:themeColor="text1"/>
        </w:rPr>
        <w:t>of</w:t>
      </w:r>
      <w:r w:rsidR="009A0847">
        <w:rPr>
          <w:color w:val="000000" w:themeColor="text1"/>
        </w:rPr>
        <w:t xml:space="preserve"> </w:t>
      </w:r>
      <w:r w:rsidR="006262FA" w:rsidRPr="00B37D3D">
        <w:rPr>
          <w:color w:val="000000" w:themeColor="text1"/>
        </w:rPr>
        <w:t>funding.</w:t>
      </w:r>
    </w:p>
    <w:p w14:paraId="7E63AAB4" w14:textId="77777777" w:rsidR="00464079" w:rsidRDefault="00197D38" w:rsidP="00464079">
      <w:pPr>
        <w:pStyle w:val="Olivier1"/>
        <w:widowControl w:val="0"/>
        <w:spacing w:line="240" w:lineRule="auto"/>
        <w:ind w:firstLine="360"/>
        <w:rPr>
          <w:color w:val="000000" w:themeColor="text1"/>
        </w:rPr>
      </w:pPr>
      <w:r w:rsidRPr="00B37D3D">
        <w:rPr>
          <w:color w:val="000000" w:themeColor="text1"/>
        </w:rPr>
        <w:t>All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depository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institutions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that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maintain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a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reserves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account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at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the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Fed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(currently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in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excess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of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2,500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institutions)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are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entitled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to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borrow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at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the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DW.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These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include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any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FDIC-insured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bank,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savings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or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mutual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bank,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insured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credit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union,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and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U</w:t>
      </w:r>
      <w:r w:rsidR="00C230C3" w:rsidRPr="00B37D3D">
        <w:rPr>
          <w:color w:val="000000" w:themeColor="text1"/>
        </w:rPr>
        <w:t>.</w:t>
      </w:r>
      <w:r w:rsidRPr="00B37D3D">
        <w:rPr>
          <w:color w:val="000000" w:themeColor="text1"/>
        </w:rPr>
        <w:t>S</w:t>
      </w:r>
      <w:r w:rsidR="00C230C3" w:rsidRPr="00B37D3D">
        <w:rPr>
          <w:color w:val="000000" w:themeColor="text1"/>
        </w:rPr>
        <w:t>.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branch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and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agency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of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a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foreign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bank.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DW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loans</w:t>
      </w:r>
      <w:r w:rsidR="009A0847">
        <w:rPr>
          <w:color w:val="000000" w:themeColor="text1"/>
        </w:rPr>
        <w:t xml:space="preserve"> </w:t>
      </w:r>
      <w:r w:rsidR="003B5326" w:rsidRPr="00B37D3D">
        <w:rPr>
          <w:color w:val="000000" w:themeColor="text1"/>
        </w:rPr>
        <w:t>are</w:t>
      </w:r>
      <w:r w:rsidR="009A0847">
        <w:rPr>
          <w:color w:val="000000" w:themeColor="text1"/>
        </w:rPr>
        <w:t xml:space="preserve"> </w:t>
      </w:r>
      <w:r w:rsidR="00C230C3" w:rsidRPr="00B37D3D">
        <w:rPr>
          <w:color w:val="000000" w:themeColor="text1"/>
        </w:rPr>
        <w:t>extended</w:t>
      </w:r>
      <w:r w:rsidR="009A0847">
        <w:rPr>
          <w:color w:val="000000" w:themeColor="text1"/>
        </w:rPr>
        <w:t xml:space="preserve"> </w:t>
      </w:r>
      <w:r w:rsidR="003B5326" w:rsidRPr="00B37D3D">
        <w:rPr>
          <w:color w:val="000000" w:themeColor="text1"/>
        </w:rPr>
        <w:t>on</w:t>
      </w:r>
      <w:r w:rsidR="009A0847">
        <w:rPr>
          <w:color w:val="000000" w:themeColor="text1"/>
        </w:rPr>
        <w:t xml:space="preserve"> </w:t>
      </w:r>
      <w:r w:rsidR="003B5326" w:rsidRPr="00B37D3D">
        <w:rPr>
          <w:color w:val="000000" w:themeColor="text1"/>
        </w:rPr>
        <w:t>an</w:t>
      </w:r>
      <w:r w:rsidR="009A0847">
        <w:rPr>
          <w:color w:val="000000" w:themeColor="text1"/>
        </w:rPr>
        <w:t xml:space="preserve"> </w:t>
      </w:r>
      <w:r w:rsidR="003B5326" w:rsidRPr="00B37D3D">
        <w:rPr>
          <w:color w:val="000000" w:themeColor="text1"/>
        </w:rPr>
        <w:t>overnight</w:t>
      </w:r>
      <w:r w:rsidR="009A0847">
        <w:rPr>
          <w:color w:val="000000" w:themeColor="text1"/>
        </w:rPr>
        <w:t xml:space="preserve"> </w:t>
      </w:r>
      <w:r w:rsidR="003B5326" w:rsidRPr="00B37D3D">
        <w:rPr>
          <w:color w:val="000000" w:themeColor="text1"/>
        </w:rPr>
        <w:t>basis</w:t>
      </w:r>
      <w:r w:rsidRPr="00B37D3D">
        <w:rPr>
          <w:color w:val="000000" w:themeColor="text1"/>
        </w:rPr>
        <w:t>,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with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a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few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historical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exceptions.</w:t>
      </w:r>
    </w:p>
    <w:p w14:paraId="27C931EF" w14:textId="77777777" w:rsidR="00464079" w:rsidRDefault="00464079" w:rsidP="00464079">
      <w:pPr>
        <w:pStyle w:val="Olivier1"/>
        <w:widowControl w:val="0"/>
        <w:spacing w:line="240" w:lineRule="auto"/>
        <w:ind w:firstLine="360"/>
        <w:rPr>
          <w:color w:val="000000" w:themeColor="text1"/>
        </w:rPr>
      </w:pPr>
      <w:r w:rsidRPr="00B37D3D">
        <w:rPr>
          <w:color w:val="000000" w:themeColor="text1"/>
        </w:rPr>
        <w:t xml:space="preserve"> </w:t>
      </w:r>
      <w:r w:rsidR="00197D38" w:rsidRPr="00B37D3D">
        <w:rPr>
          <w:color w:val="000000" w:themeColor="text1"/>
        </w:rPr>
        <w:t>In</w:t>
      </w:r>
      <w:r w:rsidR="009A0847">
        <w:rPr>
          <w:color w:val="000000" w:themeColor="text1"/>
        </w:rPr>
        <w:t xml:space="preserve"> </w:t>
      </w:r>
      <w:r w:rsidR="00197D38" w:rsidRPr="00B37D3D">
        <w:rPr>
          <w:color w:val="000000" w:themeColor="text1"/>
        </w:rPr>
        <w:t>contrast</w:t>
      </w:r>
      <w:r w:rsidR="009A0847">
        <w:rPr>
          <w:color w:val="000000" w:themeColor="text1"/>
        </w:rPr>
        <w:t xml:space="preserve"> </w:t>
      </w:r>
      <w:r w:rsidR="00197D38" w:rsidRPr="00B37D3D">
        <w:rPr>
          <w:color w:val="000000" w:themeColor="text1"/>
        </w:rPr>
        <w:t>with</w:t>
      </w:r>
      <w:r w:rsidR="009A0847">
        <w:rPr>
          <w:color w:val="000000" w:themeColor="text1"/>
        </w:rPr>
        <w:t xml:space="preserve"> </w:t>
      </w:r>
      <w:r w:rsidR="00197D38" w:rsidRPr="00B37D3D">
        <w:rPr>
          <w:color w:val="000000" w:themeColor="text1"/>
        </w:rPr>
        <w:t>the</w:t>
      </w:r>
      <w:r w:rsidR="009A0847">
        <w:rPr>
          <w:color w:val="000000" w:themeColor="text1"/>
        </w:rPr>
        <w:t xml:space="preserve"> </w:t>
      </w:r>
      <w:r w:rsidR="00197D38" w:rsidRPr="00B37D3D">
        <w:rPr>
          <w:color w:val="000000" w:themeColor="text1"/>
        </w:rPr>
        <w:t>interbank</w:t>
      </w:r>
      <w:r w:rsidR="009A0847">
        <w:rPr>
          <w:color w:val="000000" w:themeColor="text1"/>
        </w:rPr>
        <w:t xml:space="preserve"> </w:t>
      </w:r>
      <w:r w:rsidR="00197D38" w:rsidRPr="00B37D3D">
        <w:rPr>
          <w:color w:val="000000" w:themeColor="text1"/>
        </w:rPr>
        <w:t>market</w:t>
      </w:r>
      <w:r w:rsidR="009A0847">
        <w:rPr>
          <w:color w:val="000000" w:themeColor="text1"/>
        </w:rPr>
        <w:t xml:space="preserve"> </w:t>
      </w:r>
      <w:r w:rsidR="00C230C3" w:rsidRPr="00B37D3D">
        <w:rPr>
          <w:color w:val="000000" w:themeColor="text1"/>
        </w:rPr>
        <w:t>for</w:t>
      </w:r>
      <w:r w:rsidR="009A0847">
        <w:rPr>
          <w:color w:val="000000" w:themeColor="text1"/>
        </w:rPr>
        <w:t xml:space="preserve"> </w:t>
      </w:r>
      <w:r w:rsidR="00C230C3" w:rsidRPr="00B37D3D">
        <w:rPr>
          <w:color w:val="000000" w:themeColor="text1"/>
        </w:rPr>
        <w:t>Federal</w:t>
      </w:r>
      <w:r w:rsidR="009A0847">
        <w:rPr>
          <w:color w:val="000000" w:themeColor="text1"/>
        </w:rPr>
        <w:t xml:space="preserve"> </w:t>
      </w:r>
      <w:r w:rsidR="00C230C3" w:rsidRPr="00B37D3D">
        <w:rPr>
          <w:color w:val="000000" w:themeColor="text1"/>
        </w:rPr>
        <w:t>funds</w:t>
      </w:r>
      <w:r w:rsidR="00197D38" w:rsidRPr="00B37D3D">
        <w:rPr>
          <w:color w:val="000000" w:themeColor="text1"/>
        </w:rPr>
        <w:t>,</w:t>
      </w:r>
      <w:r w:rsidR="009A0847">
        <w:rPr>
          <w:color w:val="000000" w:themeColor="text1"/>
        </w:rPr>
        <w:t xml:space="preserve"> </w:t>
      </w:r>
      <w:r w:rsidR="00197D38" w:rsidRPr="00B37D3D">
        <w:rPr>
          <w:color w:val="000000" w:themeColor="text1"/>
        </w:rPr>
        <w:t>DW</w:t>
      </w:r>
      <w:r w:rsidR="009A0847">
        <w:rPr>
          <w:color w:val="000000" w:themeColor="text1"/>
        </w:rPr>
        <w:t xml:space="preserve"> </w:t>
      </w:r>
      <w:r w:rsidR="00197D38" w:rsidRPr="00B37D3D">
        <w:rPr>
          <w:color w:val="000000" w:themeColor="text1"/>
        </w:rPr>
        <w:t>loans</w:t>
      </w:r>
      <w:r w:rsidR="009A0847">
        <w:rPr>
          <w:color w:val="000000" w:themeColor="text1"/>
        </w:rPr>
        <w:t xml:space="preserve"> </w:t>
      </w:r>
      <w:r w:rsidR="00197D38" w:rsidRPr="00B37D3D">
        <w:rPr>
          <w:color w:val="000000" w:themeColor="text1"/>
        </w:rPr>
        <w:t>are</w:t>
      </w:r>
      <w:r w:rsidR="009A0847">
        <w:rPr>
          <w:color w:val="000000" w:themeColor="text1"/>
        </w:rPr>
        <w:t xml:space="preserve"> </w:t>
      </w:r>
      <w:r w:rsidR="00197D38" w:rsidRPr="00B37D3D">
        <w:rPr>
          <w:color w:val="000000" w:themeColor="text1"/>
        </w:rPr>
        <w:t>fully</w:t>
      </w:r>
      <w:r w:rsidR="009A0847">
        <w:rPr>
          <w:color w:val="000000" w:themeColor="text1"/>
        </w:rPr>
        <w:t xml:space="preserve"> </w:t>
      </w:r>
      <w:r w:rsidR="00197D38" w:rsidRPr="00B37D3D">
        <w:rPr>
          <w:color w:val="000000" w:themeColor="text1"/>
        </w:rPr>
        <w:t>collateralized.</w:t>
      </w:r>
      <w:r w:rsidR="009A0847">
        <w:rPr>
          <w:color w:val="000000" w:themeColor="text1"/>
        </w:rPr>
        <w:t xml:space="preserve"> </w:t>
      </w:r>
      <w:r w:rsidR="003B5326" w:rsidRPr="00B37D3D">
        <w:rPr>
          <w:color w:val="000000" w:themeColor="text1"/>
        </w:rPr>
        <w:t>Before</w:t>
      </w:r>
      <w:r w:rsidR="009A0847">
        <w:rPr>
          <w:color w:val="000000" w:themeColor="text1"/>
        </w:rPr>
        <w:t xml:space="preserve"> </w:t>
      </w:r>
      <w:r w:rsidR="003B5326" w:rsidRPr="00B37D3D">
        <w:rPr>
          <w:color w:val="000000" w:themeColor="text1"/>
        </w:rPr>
        <w:t>they</w:t>
      </w:r>
      <w:r w:rsidR="009A0847">
        <w:rPr>
          <w:color w:val="000000" w:themeColor="text1"/>
        </w:rPr>
        <w:t xml:space="preserve"> </w:t>
      </w:r>
      <w:r w:rsidR="003B5326" w:rsidRPr="00B37D3D">
        <w:rPr>
          <w:color w:val="000000" w:themeColor="text1"/>
        </w:rPr>
        <w:t>can</w:t>
      </w:r>
      <w:r w:rsidR="009A0847">
        <w:rPr>
          <w:color w:val="000000" w:themeColor="text1"/>
        </w:rPr>
        <w:t xml:space="preserve"> </w:t>
      </w:r>
      <w:r w:rsidR="003B5326" w:rsidRPr="00B37D3D">
        <w:rPr>
          <w:color w:val="000000" w:themeColor="text1"/>
        </w:rPr>
        <w:t>borrow</w:t>
      </w:r>
      <w:r w:rsidR="009A0847">
        <w:rPr>
          <w:color w:val="000000" w:themeColor="text1"/>
        </w:rPr>
        <w:t xml:space="preserve"> </w:t>
      </w:r>
      <w:r w:rsidR="003B5326" w:rsidRPr="00B37D3D">
        <w:rPr>
          <w:color w:val="000000" w:themeColor="text1"/>
        </w:rPr>
        <w:t>at</w:t>
      </w:r>
      <w:r w:rsidR="009A0847">
        <w:rPr>
          <w:color w:val="000000" w:themeColor="text1"/>
        </w:rPr>
        <w:t xml:space="preserve"> </w:t>
      </w:r>
      <w:r w:rsidR="003B5326" w:rsidRPr="00B37D3D">
        <w:rPr>
          <w:color w:val="000000" w:themeColor="text1"/>
        </w:rPr>
        <w:t>the</w:t>
      </w:r>
      <w:r w:rsidR="009A0847">
        <w:rPr>
          <w:color w:val="000000" w:themeColor="text1"/>
        </w:rPr>
        <w:t xml:space="preserve"> </w:t>
      </w:r>
      <w:r w:rsidR="003B5326" w:rsidRPr="00B37D3D">
        <w:rPr>
          <w:color w:val="000000" w:themeColor="text1"/>
        </w:rPr>
        <w:t>DW,</w:t>
      </w:r>
      <w:r w:rsidR="009A0847">
        <w:rPr>
          <w:color w:val="000000" w:themeColor="text1"/>
        </w:rPr>
        <w:t xml:space="preserve"> </w:t>
      </w:r>
      <w:r w:rsidR="003B5326" w:rsidRPr="00B37D3D">
        <w:rPr>
          <w:color w:val="000000" w:themeColor="text1"/>
        </w:rPr>
        <w:t>eligible</w:t>
      </w:r>
      <w:r w:rsidR="009A0847">
        <w:rPr>
          <w:color w:val="000000" w:themeColor="text1"/>
        </w:rPr>
        <w:t xml:space="preserve"> </w:t>
      </w:r>
      <w:r w:rsidR="003B5326" w:rsidRPr="00B37D3D">
        <w:rPr>
          <w:color w:val="000000" w:themeColor="text1"/>
        </w:rPr>
        <w:t>institutions</w:t>
      </w:r>
      <w:r w:rsidR="009A0847">
        <w:rPr>
          <w:color w:val="000000" w:themeColor="text1"/>
        </w:rPr>
        <w:t xml:space="preserve"> </w:t>
      </w:r>
      <w:r w:rsidR="003B5326" w:rsidRPr="00B37D3D">
        <w:rPr>
          <w:color w:val="000000" w:themeColor="text1"/>
        </w:rPr>
        <w:t>must</w:t>
      </w:r>
      <w:r w:rsidR="009A0847">
        <w:rPr>
          <w:color w:val="000000" w:themeColor="text1"/>
        </w:rPr>
        <w:t xml:space="preserve"> </w:t>
      </w:r>
      <w:r w:rsidR="003B5326" w:rsidRPr="00B37D3D">
        <w:rPr>
          <w:color w:val="000000" w:themeColor="text1"/>
        </w:rPr>
        <w:t>first</w:t>
      </w:r>
      <w:r w:rsidR="009A0847">
        <w:rPr>
          <w:color w:val="000000" w:themeColor="text1"/>
        </w:rPr>
        <w:t xml:space="preserve"> </w:t>
      </w:r>
      <w:r w:rsidR="003B5326" w:rsidRPr="00B37D3D">
        <w:rPr>
          <w:color w:val="000000" w:themeColor="text1"/>
        </w:rPr>
        <w:t>pledge</w:t>
      </w:r>
      <w:r w:rsidR="009A0847">
        <w:rPr>
          <w:color w:val="000000" w:themeColor="text1"/>
        </w:rPr>
        <w:t xml:space="preserve"> </w:t>
      </w:r>
      <w:r w:rsidR="003B5326" w:rsidRPr="00B37D3D">
        <w:rPr>
          <w:color w:val="000000" w:themeColor="text1"/>
        </w:rPr>
        <w:t>assets</w:t>
      </w:r>
      <w:r w:rsidR="009A0847">
        <w:rPr>
          <w:color w:val="000000" w:themeColor="text1"/>
        </w:rPr>
        <w:t xml:space="preserve"> </w:t>
      </w:r>
      <w:r w:rsidR="003B5326" w:rsidRPr="00B37D3D">
        <w:rPr>
          <w:color w:val="000000" w:themeColor="text1"/>
        </w:rPr>
        <w:t>as</w:t>
      </w:r>
      <w:r w:rsidR="009A0847">
        <w:rPr>
          <w:color w:val="000000" w:themeColor="text1"/>
        </w:rPr>
        <w:t xml:space="preserve"> </w:t>
      </w:r>
      <w:r w:rsidR="003B5326" w:rsidRPr="00B37D3D">
        <w:rPr>
          <w:color w:val="000000" w:themeColor="text1"/>
        </w:rPr>
        <w:t>collateral.</w:t>
      </w:r>
      <w:r w:rsidR="009A0847">
        <w:rPr>
          <w:color w:val="000000" w:themeColor="text1"/>
        </w:rPr>
        <w:t xml:space="preserve"> </w:t>
      </w:r>
      <w:r w:rsidR="003B5326" w:rsidRPr="00B37D3D">
        <w:rPr>
          <w:color w:val="000000" w:themeColor="text1"/>
        </w:rPr>
        <w:t>A</w:t>
      </w:r>
      <w:r w:rsidR="009A0847">
        <w:rPr>
          <w:color w:val="000000" w:themeColor="text1"/>
        </w:rPr>
        <w:t xml:space="preserve"> </w:t>
      </w:r>
      <w:r w:rsidR="003B5326" w:rsidRPr="00B37D3D">
        <w:rPr>
          <w:color w:val="000000" w:themeColor="text1"/>
        </w:rPr>
        <w:t>broad</w:t>
      </w:r>
      <w:r w:rsidR="009A0847">
        <w:rPr>
          <w:color w:val="000000" w:themeColor="text1"/>
        </w:rPr>
        <w:t xml:space="preserve"> </w:t>
      </w:r>
      <w:r w:rsidR="003B5326" w:rsidRPr="00B37D3D">
        <w:rPr>
          <w:color w:val="000000" w:themeColor="text1"/>
        </w:rPr>
        <w:t>range</w:t>
      </w:r>
      <w:r w:rsidR="009A0847">
        <w:rPr>
          <w:color w:val="000000" w:themeColor="text1"/>
        </w:rPr>
        <w:t xml:space="preserve"> </w:t>
      </w:r>
      <w:r w:rsidR="003B5326" w:rsidRPr="00B37D3D">
        <w:rPr>
          <w:color w:val="000000" w:themeColor="text1"/>
        </w:rPr>
        <w:t>of</w:t>
      </w:r>
      <w:r w:rsidR="009A0847">
        <w:rPr>
          <w:color w:val="000000" w:themeColor="text1"/>
        </w:rPr>
        <w:t xml:space="preserve"> </w:t>
      </w:r>
      <w:r w:rsidR="003B5326" w:rsidRPr="00B37D3D">
        <w:rPr>
          <w:color w:val="000000" w:themeColor="text1"/>
        </w:rPr>
        <w:t>marketable</w:t>
      </w:r>
      <w:r w:rsidR="009A0847">
        <w:rPr>
          <w:color w:val="000000" w:themeColor="text1"/>
        </w:rPr>
        <w:t xml:space="preserve"> </w:t>
      </w:r>
      <w:r w:rsidR="003B5326" w:rsidRPr="00B37D3D">
        <w:rPr>
          <w:color w:val="000000" w:themeColor="text1"/>
        </w:rPr>
        <w:t>and</w:t>
      </w:r>
      <w:r w:rsidR="009A0847">
        <w:rPr>
          <w:color w:val="000000" w:themeColor="text1"/>
        </w:rPr>
        <w:t xml:space="preserve"> </w:t>
      </w:r>
      <w:r w:rsidR="003B5326" w:rsidRPr="00B37D3D">
        <w:rPr>
          <w:color w:val="000000" w:themeColor="text1"/>
        </w:rPr>
        <w:t>non-marketable</w:t>
      </w:r>
      <w:r w:rsidR="009A0847">
        <w:rPr>
          <w:color w:val="000000" w:themeColor="text1"/>
        </w:rPr>
        <w:t xml:space="preserve"> </w:t>
      </w:r>
      <w:r w:rsidR="003B5326" w:rsidRPr="00B37D3D">
        <w:rPr>
          <w:color w:val="000000" w:themeColor="text1"/>
        </w:rPr>
        <w:t>assets</w:t>
      </w:r>
      <w:r w:rsidR="009A0847">
        <w:rPr>
          <w:color w:val="000000" w:themeColor="text1"/>
        </w:rPr>
        <w:t xml:space="preserve"> </w:t>
      </w:r>
      <w:r w:rsidR="003B5326" w:rsidRPr="00B37D3D">
        <w:rPr>
          <w:color w:val="000000" w:themeColor="text1"/>
        </w:rPr>
        <w:t>are</w:t>
      </w:r>
      <w:r w:rsidR="009A0847">
        <w:rPr>
          <w:color w:val="000000" w:themeColor="text1"/>
        </w:rPr>
        <w:t xml:space="preserve"> </w:t>
      </w:r>
      <w:r w:rsidR="003B5326" w:rsidRPr="00B37D3D">
        <w:rPr>
          <w:color w:val="000000" w:themeColor="text1"/>
        </w:rPr>
        <w:t>accepted</w:t>
      </w:r>
      <w:r w:rsidR="009A0847">
        <w:rPr>
          <w:color w:val="000000" w:themeColor="text1"/>
        </w:rPr>
        <w:t xml:space="preserve"> </w:t>
      </w:r>
      <w:r w:rsidR="003B5326" w:rsidRPr="00B37D3D">
        <w:rPr>
          <w:color w:val="000000" w:themeColor="text1"/>
        </w:rPr>
        <w:t>as</w:t>
      </w:r>
      <w:r w:rsidR="009A0847">
        <w:rPr>
          <w:color w:val="000000" w:themeColor="text1"/>
        </w:rPr>
        <w:t xml:space="preserve"> </w:t>
      </w:r>
      <w:r w:rsidR="00E36D46">
        <w:rPr>
          <w:color w:val="000000" w:themeColor="text1"/>
        </w:rPr>
        <w:t>DW</w:t>
      </w:r>
      <w:r w:rsidR="009A0847">
        <w:rPr>
          <w:color w:val="000000" w:themeColor="text1"/>
        </w:rPr>
        <w:t xml:space="preserve"> </w:t>
      </w:r>
      <w:r w:rsidR="003B5326" w:rsidRPr="00B37D3D">
        <w:rPr>
          <w:color w:val="000000" w:themeColor="text1"/>
        </w:rPr>
        <w:t>collateral.</w:t>
      </w:r>
      <w:r w:rsidR="009A0847">
        <w:rPr>
          <w:color w:val="000000" w:themeColor="text1"/>
        </w:rPr>
        <w:t xml:space="preserve"> </w:t>
      </w:r>
      <w:r w:rsidR="003B5326" w:rsidRPr="00B37D3D">
        <w:rPr>
          <w:color w:val="000000" w:themeColor="text1"/>
        </w:rPr>
        <w:t>The</w:t>
      </w:r>
      <w:r w:rsidR="009A0847">
        <w:rPr>
          <w:color w:val="000000" w:themeColor="text1"/>
        </w:rPr>
        <w:t xml:space="preserve"> </w:t>
      </w:r>
      <w:r w:rsidR="00FD648E">
        <w:rPr>
          <w:color w:val="000000" w:themeColor="text1"/>
        </w:rPr>
        <w:t>assets</w:t>
      </w:r>
      <w:r w:rsidR="009A0847">
        <w:rPr>
          <w:color w:val="000000" w:themeColor="text1"/>
        </w:rPr>
        <w:t xml:space="preserve"> </w:t>
      </w:r>
      <w:r w:rsidR="003B5326" w:rsidRPr="00B37D3D">
        <w:rPr>
          <w:color w:val="000000" w:themeColor="text1"/>
        </w:rPr>
        <w:t>most</w:t>
      </w:r>
      <w:r w:rsidR="009A0847">
        <w:rPr>
          <w:color w:val="000000" w:themeColor="text1"/>
        </w:rPr>
        <w:t xml:space="preserve"> </w:t>
      </w:r>
      <w:r w:rsidR="003B5326" w:rsidRPr="00B37D3D">
        <w:rPr>
          <w:color w:val="000000" w:themeColor="text1"/>
        </w:rPr>
        <w:t>commonly</w:t>
      </w:r>
      <w:r w:rsidR="009A0847">
        <w:rPr>
          <w:color w:val="000000" w:themeColor="text1"/>
        </w:rPr>
        <w:t xml:space="preserve"> </w:t>
      </w:r>
      <w:r w:rsidR="003B5326" w:rsidRPr="00B37D3D">
        <w:rPr>
          <w:color w:val="000000" w:themeColor="text1"/>
        </w:rPr>
        <w:t>pledged</w:t>
      </w:r>
      <w:r w:rsidR="009A0847">
        <w:rPr>
          <w:color w:val="000000" w:themeColor="text1"/>
        </w:rPr>
        <w:t xml:space="preserve"> </w:t>
      </w:r>
      <w:r w:rsidR="003B5326" w:rsidRPr="00B37D3D">
        <w:rPr>
          <w:color w:val="000000" w:themeColor="text1"/>
        </w:rPr>
        <w:t>include</w:t>
      </w:r>
      <w:r w:rsidR="009A0847">
        <w:rPr>
          <w:color w:val="000000" w:themeColor="text1"/>
        </w:rPr>
        <w:t xml:space="preserve"> </w:t>
      </w:r>
      <w:r w:rsidR="00F76B46" w:rsidRPr="00B37D3D">
        <w:rPr>
          <w:color w:val="000000" w:themeColor="text1"/>
        </w:rPr>
        <w:t>U.S.</w:t>
      </w:r>
      <w:r w:rsidR="009A0847">
        <w:rPr>
          <w:color w:val="000000" w:themeColor="text1"/>
        </w:rPr>
        <w:t xml:space="preserve"> </w:t>
      </w:r>
      <w:r w:rsidR="00F76B46" w:rsidRPr="00B37D3D">
        <w:rPr>
          <w:color w:val="000000" w:themeColor="text1"/>
        </w:rPr>
        <w:t>Treasuries</w:t>
      </w:r>
      <w:r w:rsidR="00FD648E">
        <w:rPr>
          <w:color w:val="000000" w:themeColor="text1"/>
        </w:rPr>
        <w:t>,</w:t>
      </w:r>
      <w:r w:rsidR="009A0847">
        <w:rPr>
          <w:color w:val="000000" w:themeColor="text1"/>
        </w:rPr>
        <w:t xml:space="preserve"> </w:t>
      </w:r>
      <w:r w:rsidR="003B5326" w:rsidRPr="00B37D3D">
        <w:rPr>
          <w:color w:val="000000" w:themeColor="text1"/>
        </w:rPr>
        <w:t>agencies</w:t>
      </w:r>
      <w:r w:rsidR="009A0847">
        <w:rPr>
          <w:color w:val="000000" w:themeColor="text1"/>
        </w:rPr>
        <w:t xml:space="preserve"> </w:t>
      </w:r>
      <w:r w:rsidR="003B5326" w:rsidRPr="00B37D3D">
        <w:rPr>
          <w:color w:val="000000" w:themeColor="text1"/>
        </w:rPr>
        <w:t>and</w:t>
      </w:r>
      <w:r w:rsidR="009A0847">
        <w:rPr>
          <w:color w:val="000000" w:themeColor="text1"/>
        </w:rPr>
        <w:t xml:space="preserve"> </w:t>
      </w:r>
      <w:r w:rsidR="003B5326" w:rsidRPr="00B37D3D">
        <w:rPr>
          <w:color w:val="000000" w:themeColor="text1"/>
        </w:rPr>
        <w:t>government-sponsored</w:t>
      </w:r>
      <w:r w:rsidR="009A0847">
        <w:rPr>
          <w:color w:val="000000" w:themeColor="text1"/>
        </w:rPr>
        <w:t xml:space="preserve"> </w:t>
      </w:r>
      <w:r w:rsidR="003B5326" w:rsidRPr="00B37D3D">
        <w:rPr>
          <w:color w:val="000000" w:themeColor="text1"/>
        </w:rPr>
        <w:t>enterprises</w:t>
      </w:r>
      <w:r w:rsidR="009A0847">
        <w:rPr>
          <w:color w:val="000000" w:themeColor="text1"/>
        </w:rPr>
        <w:t xml:space="preserve"> </w:t>
      </w:r>
      <w:r w:rsidR="00F76B46" w:rsidRPr="00B37D3D">
        <w:rPr>
          <w:color w:val="000000" w:themeColor="text1"/>
        </w:rPr>
        <w:t>obligations</w:t>
      </w:r>
      <w:r w:rsidR="00FD648E">
        <w:rPr>
          <w:color w:val="000000" w:themeColor="text1"/>
        </w:rPr>
        <w:t>,</w:t>
      </w:r>
      <w:r w:rsidR="009A0847">
        <w:rPr>
          <w:color w:val="000000" w:themeColor="text1"/>
        </w:rPr>
        <w:t xml:space="preserve"> </w:t>
      </w:r>
      <w:r w:rsidR="00F76B46" w:rsidRPr="00B37D3D">
        <w:rPr>
          <w:color w:val="000000" w:themeColor="text1"/>
        </w:rPr>
        <w:t>corporate</w:t>
      </w:r>
      <w:r w:rsidR="009A0847">
        <w:rPr>
          <w:color w:val="000000" w:themeColor="text1"/>
        </w:rPr>
        <w:t xml:space="preserve"> </w:t>
      </w:r>
      <w:r w:rsidR="00F76B46" w:rsidRPr="00B37D3D">
        <w:rPr>
          <w:color w:val="000000" w:themeColor="text1"/>
        </w:rPr>
        <w:t>and</w:t>
      </w:r>
      <w:r w:rsidR="009A0847">
        <w:rPr>
          <w:color w:val="000000" w:themeColor="text1"/>
        </w:rPr>
        <w:t xml:space="preserve"> </w:t>
      </w:r>
      <w:r w:rsidR="00F76B46" w:rsidRPr="00B37D3D">
        <w:rPr>
          <w:color w:val="000000" w:themeColor="text1"/>
        </w:rPr>
        <w:t>municipal</w:t>
      </w:r>
      <w:r w:rsidR="009A0847">
        <w:rPr>
          <w:color w:val="000000" w:themeColor="text1"/>
        </w:rPr>
        <w:t xml:space="preserve"> </w:t>
      </w:r>
      <w:r w:rsidR="00F76B46" w:rsidRPr="00B37D3D">
        <w:rPr>
          <w:color w:val="000000" w:themeColor="text1"/>
        </w:rPr>
        <w:t>bonds</w:t>
      </w:r>
      <w:r w:rsidR="00FD648E">
        <w:rPr>
          <w:color w:val="000000" w:themeColor="text1"/>
        </w:rPr>
        <w:t>,</w:t>
      </w:r>
      <w:r w:rsidR="009A0847">
        <w:rPr>
          <w:color w:val="000000" w:themeColor="text1"/>
        </w:rPr>
        <w:t xml:space="preserve"> </w:t>
      </w:r>
      <w:r w:rsidR="00FD648E">
        <w:rPr>
          <w:color w:val="000000" w:themeColor="text1"/>
        </w:rPr>
        <w:t>asset-backed</w:t>
      </w:r>
      <w:r w:rsidR="009A0847">
        <w:rPr>
          <w:color w:val="000000" w:themeColor="text1"/>
        </w:rPr>
        <w:t xml:space="preserve"> </w:t>
      </w:r>
      <w:r w:rsidR="00FD648E">
        <w:rPr>
          <w:color w:val="000000" w:themeColor="text1"/>
        </w:rPr>
        <w:t>securities,</w:t>
      </w:r>
      <w:r w:rsidR="009A0847">
        <w:rPr>
          <w:color w:val="000000" w:themeColor="text1"/>
        </w:rPr>
        <w:t xml:space="preserve"> </w:t>
      </w:r>
      <w:r w:rsidR="003B5326" w:rsidRPr="00B37D3D">
        <w:rPr>
          <w:color w:val="000000" w:themeColor="text1"/>
        </w:rPr>
        <w:t>commercial,</w:t>
      </w:r>
      <w:r w:rsidR="009A0847">
        <w:rPr>
          <w:color w:val="000000" w:themeColor="text1"/>
        </w:rPr>
        <w:t xml:space="preserve"> </w:t>
      </w:r>
      <w:r w:rsidR="003B5326" w:rsidRPr="00B37D3D">
        <w:rPr>
          <w:color w:val="000000" w:themeColor="text1"/>
        </w:rPr>
        <w:t>in</w:t>
      </w:r>
      <w:r w:rsidR="00FD648E">
        <w:rPr>
          <w:color w:val="000000" w:themeColor="text1"/>
        </w:rPr>
        <w:t>dustrial,</w:t>
      </w:r>
      <w:r w:rsidR="009A0847">
        <w:rPr>
          <w:color w:val="000000" w:themeColor="text1"/>
        </w:rPr>
        <w:t xml:space="preserve"> </w:t>
      </w:r>
      <w:r w:rsidR="00FD648E">
        <w:rPr>
          <w:color w:val="000000" w:themeColor="text1"/>
        </w:rPr>
        <w:t>or</w:t>
      </w:r>
      <w:r w:rsidR="009A0847">
        <w:rPr>
          <w:color w:val="000000" w:themeColor="text1"/>
        </w:rPr>
        <w:t xml:space="preserve"> </w:t>
      </w:r>
      <w:r w:rsidR="00FD648E">
        <w:rPr>
          <w:color w:val="000000" w:themeColor="text1"/>
        </w:rPr>
        <w:t>agricultural</w:t>
      </w:r>
      <w:r w:rsidR="009A0847">
        <w:rPr>
          <w:color w:val="000000" w:themeColor="text1"/>
        </w:rPr>
        <w:t xml:space="preserve"> </w:t>
      </w:r>
      <w:r w:rsidR="00FD648E">
        <w:rPr>
          <w:color w:val="000000" w:themeColor="text1"/>
        </w:rPr>
        <w:t>loans,</w:t>
      </w:r>
      <w:r w:rsidR="009A0847">
        <w:rPr>
          <w:color w:val="000000" w:themeColor="text1"/>
        </w:rPr>
        <w:t xml:space="preserve"> </w:t>
      </w:r>
      <w:r w:rsidR="00FD648E">
        <w:rPr>
          <w:color w:val="000000" w:themeColor="text1"/>
        </w:rPr>
        <w:t>consumer</w:t>
      </w:r>
      <w:r w:rsidR="009A0847">
        <w:rPr>
          <w:color w:val="000000" w:themeColor="text1"/>
        </w:rPr>
        <w:t xml:space="preserve"> </w:t>
      </w:r>
      <w:r w:rsidR="00FD648E">
        <w:rPr>
          <w:color w:val="000000" w:themeColor="text1"/>
        </w:rPr>
        <w:t>loans,</w:t>
      </w:r>
      <w:r w:rsidR="009A0847">
        <w:rPr>
          <w:color w:val="000000" w:themeColor="text1"/>
        </w:rPr>
        <w:t xml:space="preserve"> </w:t>
      </w:r>
      <w:r w:rsidR="00FD648E">
        <w:rPr>
          <w:color w:val="000000" w:themeColor="text1"/>
        </w:rPr>
        <w:t>as</w:t>
      </w:r>
      <w:r w:rsidR="009A0847">
        <w:rPr>
          <w:color w:val="000000" w:themeColor="text1"/>
        </w:rPr>
        <w:t xml:space="preserve"> </w:t>
      </w:r>
      <w:r w:rsidR="00FD648E">
        <w:rPr>
          <w:color w:val="000000" w:themeColor="text1"/>
        </w:rPr>
        <w:t>well</w:t>
      </w:r>
      <w:r w:rsidR="009A0847">
        <w:rPr>
          <w:color w:val="000000" w:themeColor="text1"/>
        </w:rPr>
        <w:t xml:space="preserve"> </w:t>
      </w:r>
      <w:r w:rsidR="00FD648E">
        <w:rPr>
          <w:color w:val="000000" w:themeColor="text1"/>
        </w:rPr>
        <w:t>as</w:t>
      </w:r>
      <w:r w:rsidR="009A0847">
        <w:rPr>
          <w:color w:val="000000" w:themeColor="text1"/>
        </w:rPr>
        <w:t xml:space="preserve"> </w:t>
      </w:r>
      <w:r w:rsidR="003B5326" w:rsidRPr="00B37D3D">
        <w:rPr>
          <w:color w:val="000000" w:themeColor="text1"/>
        </w:rPr>
        <w:t>residential</w:t>
      </w:r>
      <w:r w:rsidR="009A0847">
        <w:rPr>
          <w:color w:val="000000" w:themeColor="text1"/>
        </w:rPr>
        <w:t xml:space="preserve"> </w:t>
      </w:r>
      <w:r w:rsidR="003B5326" w:rsidRPr="00B37D3D">
        <w:rPr>
          <w:color w:val="000000" w:themeColor="text1"/>
        </w:rPr>
        <w:t>and</w:t>
      </w:r>
      <w:r w:rsidR="009A0847">
        <w:rPr>
          <w:color w:val="000000" w:themeColor="text1"/>
        </w:rPr>
        <w:t xml:space="preserve"> </w:t>
      </w:r>
      <w:r w:rsidR="003B5326" w:rsidRPr="00B37D3D">
        <w:rPr>
          <w:color w:val="000000" w:themeColor="text1"/>
        </w:rPr>
        <w:t>commercial</w:t>
      </w:r>
      <w:r w:rsidR="009A0847">
        <w:rPr>
          <w:color w:val="000000" w:themeColor="text1"/>
        </w:rPr>
        <w:t xml:space="preserve"> </w:t>
      </w:r>
      <w:r w:rsidR="003B5326" w:rsidRPr="00B37D3D">
        <w:rPr>
          <w:color w:val="000000" w:themeColor="text1"/>
        </w:rPr>
        <w:t>real</w:t>
      </w:r>
      <w:r w:rsidR="009A0847">
        <w:rPr>
          <w:color w:val="000000" w:themeColor="text1"/>
        </w:rPr>
        <w:t xml:space="preserve"> </w:t>
      </w:r>
      <w:r w:rsidR="003B5326" w:rsidRPr="00B37D3D">
        <w:rPr>
          <w:color w:val="000000" w:themeColor="text1"/>
        </w:rPr>
        <w:t>estate</w:t>
      </w:r>
      <w:r w:rsidR="009A0847">
        <w:rPr>
          <w:color w:val="000000" w:themeColor="text1"/>
        </w:rPr>
        <w:t xml:space="preserve"> </w:t>
      </w:r>
      <w:r w:rsidR="003B5326" w:rsidRPr="00B37D3D">
        <w:rPr>
          <w:color w:val="000000" w:themeColor="text1"/>
        </w:rPr>
        <w:t>loans.</w:t>
      </w:r>
      <w:r w:rsidR="009A0847">
        <w:rPr>
          <w:color w:val="000000" w:themeColor="text1"/>
        </w:rPr>
        <w:t xml:space="preserve"> </w:t>
      </w:r>
      <w:r w:rsidR="00C230C3" w:rsidRPr="00B37D3D">
        <w:rPr>
          <w:color w:val="000000" w:themeColor="text1"/>
        </w:rPr>
        <w:t>The</w:t>
      </w:r>
      <w:r w:rsidR="009A0847">
        <w:rPr>
          <w:color w:val="000000" w:themeColor="text1"/>
        </w:rPr>
        <w:t xml:space="preserve"> </w:t>
      </w:r>
      <w:r w:rsidR="00C230C3" w:rsidRPr="00B37D3D">
        <w:rPr>
          <w:color w:val="000000" w:themeColor="text1"/>
        </w:rPr>
        <w:t>assets</w:t>
      </w:r>
      <w:r w:rsidR="009A0847">
        <w:rPr>
          <w:color w:val="000000" w:themeColor="text1"/>
        </w:rPr>
        <w:t xml:space="preserve"> </w:t>
      </w:r>
      <w:r w:rsidR="00C230C3" w:rsidRPr="00B37D3D">
        <w:rPr>
          <w:color w:val="000000" w:themeColor="text1"/>
        </w:rPr>
        <w:t>pledged</w:t>
      </w:r>
      <w:r w:rsidR="009A0847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by a bank </w:t>
      </w:r>
      <w:r w:rsidR="00C230C3" w:rsidRPr="00B37D3D">
        <w:rPr>
          <w:color w:val="000000" w:themeColor="text1"/>
        </w:rPr>
        <w:t>as</w:t>
      </w:r>
      <w:r w:rsidR="009A0847">
        <w:rPr>
          <w:color w:val="000000" w:themeColor="text1"/>
        </w:rPr>
        <w:t xml:space="preserve"> </w:t>
      </w:r>
      <w:r w:rsidR="00C230C3" w:rsidRPr="00B37D3D">
        <w:rPr>
          <w:color w:val="000000" w:themeColor="text1"/>
        </w:rPr>
        <w:t>collateral</w:t>
      </w:r>
      <w:r w:rsidR="009A0847">
        <w:rPr>
          <w:color w:val="000000" w:themeColor="text1"/>
        </w:rPr>
        <w:t xml:space="preserve"> </w:t>
      </w:r>
      <w:r w:rsidR="00C230C3" w:rsidRPr="00B37D3D">
        <w:rPr>
          <w:color w:val="000000" w:themeColor="text1"/>
        </w:rPr>
        <w:t>are</w:t>
      </w:r>
      <w:r w:rsidR="009A0847">
        <w:rPr>
          <w:color w:val="000000" w:themeColor="text1"/>
        </w:rPr>
        <w:t xml:space="preserve"> </w:t>
      </w:r>
      <w:r w:rsidR="00C230C3" w:rsidRPr="00B37D3D">
        <w:rPr>
          <w:color w:val="000000" w:themeColor="text1"/>
        </w:rPr>
        <w:t>assigned</w:t>
      </w:r>
      <w:r w:rsidR="009A0847">
        <w:rPr>
          <w:color w:val="000000" w:themeColor="text1"/>
        </w:rPr>
        <w:t xml:space="preserve"> </w:t>
      </w:r>
      <w:r w:rsidR="00C230C3" w:rsidRPr="00B37D3D">
        <w:rPr>
          <w:color w:val="000000" w:themeColor="text1"/>
        </w:rPr>
        <w:t>a</w:t>
      </w:r>
      <w:r w:rsidR="009A0847">
        <w:rPr>
          <w:color w:val="000000" w:themeColor="text1"/>
        </w:rPr>
        <w:t xml:space="preserve"> </w:t>
      </w:r>
      <w:r w:rsidR="00C230C3" w:rsidRPr="00B37D3D">
        <w:rPr>
          <w:color w:val="000000" w:themeColor="text1"/>
        </w:rPr>
        <w:t>lendable</w:t>
      </w:r>
      <w:r w:rsidR="009A0847">
        <w:rPr>
          <w:color w:val="000000" w:themeColor="text1"/>
        </w:rPr>
        <w:t xml:space="preserve"> </w:t>
      </w:r>
      <w:r w:rsidR="00C230C3" w:rsidRPr="00B37D3D">
        <w:rPr>
          <w:color w:val="000000" w:themeColor="text1"/>
        </w:rPr>
        <w:t>value</w:t>
      </w:r>
      <w:r w:rsidR="009A0847">
        <w:rPr>
          <w:color w:val="000000" w:themeColor="text1"/>
        </w:rPr>
        <w:t xml:space="preserve"> </w:t>
      </w:r>
      <w:r w:rsidR="00C230C3" w:rsidRPr="00B37D3D">
        <w:rPr>
          <w:color w:val="000000" w:themeColor="text1"/>
        </w:rPr>
        <w:t>(i.e.</w:t>
      </w:r>
      <w:r w:rsidR="009A0847">
        <w:rPr>
          <w:color w:val="000000" w:themeColor="text1"/>
        </w:rPr>
        <w:t xml:space="preserve"> </w:t>
      </w:r>
      <w:r w:rsidR="00C230C3" w:rsidRPr="00B37D3D">
        <w:rPr>
          <w:color w:val="000000" w:themeColor="text1"/>
        </w:rPr>
        <w:t>a</w:t>
      </w:r>
      <w:r w:rsidR="009A0847">
        <w:rPr>
          <w:color w:val="000000" w:themeColor="text1"/>
        </w:rPr>
        <w:t xml:space="preserve"> </w:t>
      </w:r>
      <w:r w:rsidR="00C230C3" w:rsidRPr="00B37D3D">
        <w:rPr>
          <w:color w:val="000000" w:themeColor="text1"/>
        </w:rPr>
        <w:t>fair</w:t>
      </w:r>
      <w:r w:rsidR="009A0847">
        <w:rPr>
          <w:color w:val="000000" w:themeColor="text1"/>
        </w:rPr>
        <w:t xml:space="preserve"> </w:t>
      </w:r>
      <w:r w:rsidR="00C230C3" w:rsidRPr="00B37D3D">
        <w:rPr>
          <w:color w:val="000000" w:themeColor="text1"/>
        </w:rPr>
        <w:t>market</w:t>
      </w:r>
      <w:r w:rsidR="009A0847">
        <w:rPr>
          <w:color w:val="000000" w:themeColor="text1"/>
        </w:rPr>
        <w:t xml:space="preserve"> </w:t>
      </w:r>
      <w:r w:rsidR="00C230C3" w:rsidRPr="00B37D3D">
        <w:rPr>
          <w:color w:val="000000" w:themeColor="text1"/>
        </w:rPr>
        <w:t>value</w:t>
      </w:r>
      <w:r w:rsidR="009A0847">
        <w:rPr>
          <w:color w:val="000000" w:themeColor="text1"/>
        </w:rPr>
        <w:t xml:space="preserve"> </w:t>
      </w:r>
      <w:r w:rsidR="00C230C3" w:rsidRPr="00B37D3D">
        <w:rPr>
          <w:color w:val="000000" w:themeColor="text1"/>
        </w:rPr>
        <w:t>estimate</w:t>
      </w:r>
      <w:r w:rsidR="009A0847">
        <w:rPr>
          <w:color w:val="000000" w:themeColor="text1"/>
        </w:rPr>
        <w:t xml:space="preserve"> </w:t>
      </w:r>
      <w:r w:rsidR="00C230C3" w:rsidRPr="00B37D3D">
        <w:rPr>
          <w:color w:val="000000" w:themeColor="text1"/>
        </w:rPr>
        <w:t>adjusted</w:t>
      </w:r>
      <w:r w:rsidR="009A0847">
        <w:rPr>
          <w:color w:val="000000" w:themeColor="text1"/>
        </w:rPr>
        <w:t xml:space="preserve"> </w:t>
      </w:r>
      <w:r w:rsidR="00C230C3" w:rsidRPr="00B37D3D">
        <w:rPr>
          <w:color w:val="000000" w:themeColor="text1"/>
        </w:rPr>
        <w:t>by</w:t>
      </w:r>
      <w:r w:rsidR="009A0847">
        <w:rPr>
          <w:color w:val="000000" w:themeColor="text1"/>
        </w:rPr>
        <w:t xml:space="preserve"> </w:t>
      </w:r>
      <w:r w:rsidR="00C230C3" w:rsidRPr="00B37D3D">
        <w:rPr>
          <w:color w:val="000000" w:themeColor="text1"/>
        </w:rPr>
        <w:t>a</w:t>
      </w:r>
      <w:r w:rsidR="009A0847">
        <w:rPr>
          <w:color w:val="000000" w:themeColor="text1"/>
        </w:rPr>
        <w:t xml:space="preserve"> </w:t>
      </w:r>
      <w:r w:rsidR="00C230C3" w:rsidRPr="00B37D3D">
        <w:rPr>
          <w:color w:val="000000" w:themeColor="text1"/>
        </w:rPr>
        <w:t>haircut)</w:t>
      </w:r>
      <w:r w:rsidR="009A0847">
        <w:rPr>
          <w:color w:val="000000" w:themeColor="text1"/>
        </w:rPr>
        <w:t xml:space="preserve"> </w:t>
      </w:r>
      <w:r w:rsidR="00FD648E">
        <w:rPr>
          <w:color w:val="000000" w:themeColor="text1"/>
        </w:rPr>
        <w:t>against</w:t>
      </w:r>
      <w:r w:rsidR="009A0847">
        <w:rPr>
          <w:color w:val="000000" w:themeColor="text1"/>
        </w:rPr>
        <w:t xml:space="preserve"> </w:t>
      </w:r>
      <w:r w:rsidR="00FD648E">
        <w:rPr>
          <w:color w:val="000000" w:themeColor="text1"/>
        </w:rPr>
        <w:t>which</w:t>
      </w:r>
      <w:r w:rsidR="009A0847">
        <w:rPr>
          <w:color w:val="000000" w:themeColor="text1"/>
        </w:rPr>
        <w:t xml:space="preserve"> </w:t>
      </w:r>
      <w:r w:rsidR="00FD648E">
        <w:rPr>
          <w:color w:val="000000" w:themeColor="text1"/>
        </w:rPr>
        <w:t>the</w:t>
      </w:r>
      <w:r w:rsidR="009A0847">
        <w:rPr>
          <w:color w:val="000000" w:themeColor="text1"/>
        </w:rPr>
        <w:t xml:space="preserve"> </w:t>
      </w:r>
      <w:r w:rsidR="00FD648E">
        <w:rPr>
          <w:color w:val="000000" w:themeColor="text1"/>
        </w:rPr>
        <w:t>institution</w:t>
      </w:r>
      <w:r w:rsidR="009A0847">
        <w:rPr>
          <w:color w:val="000000" w:themeColor="text1"/>
        </w:rPr>
        <w:t xml:space="preserve"> </w:t>
      </w:r>
      <w:r w:rsidR="00FD648E">
        <w:rPr>
          <w:color w:val="000000" w:themeColor="text1"/>
        </w:rPr>
        <w:t>can</w:t>
      </w:r>
      <w:r w:rsidR="009A0847">
        <w:rPr>
          <w:color w:val="000000" w:themeColor="text1"/>
        </w:rPr>
        <w:t xml:space="preserve"> </w:t>
      </w:r>
      <w:r w:rsidR="00FD648E">
        <w:rPr>
          <w:color w:val="000000" w:themeColor="text1"/>
        </w:rPr>
        <w:t>borrow</w:t>
      </w:r>
      <w:r w:rsidR="00C230C3" w:rsidRPr="00B37D3D">
        <w:rPr>
          <w:color w:val="000000" w:themeColor="text1"/>
        </w:rPr>
        <w:t>.</w:t>
      </w:r>
    </w:p>
    <w:p w14:paraId="593BAD41" w14:textId="77777777" w:rsidR="00464079" w:rsidRDefault="00F76B46" w:rsidP="00464079">
      <w:pPr>
        <w:pStyle w:val="Olivier1"/>
        <w:widowControl w:val="0"/>
        <w:spacing w:line="240" w:lineRule="auto"/>
        <w:ind w:firstLine="360"/>
        <w:rPr>
          <w:color w:val="000000" w:themeColor="text1"/>
        </w:rPr>
      </w:pPr>
      <w:r w:rsidRPr="00B37D3D">
        <w:rPr>
          <w:color w:val="000000" w:themeColor="text1"/>
        </w:rPr>
        <w:t>Until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2010,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DW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borrowing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was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fully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anonymous.</w:t>
      </w:r>
      <w:r w:rsidR="009A0847">
        <w:rPr>
          <w:color w:val="000000" w:themeColor="text1"/>
        </w:rPr>
        <w:t xml:space="preserve"> </w:t>
      </w:r>
      <w:r w:rsidR="00C230C3" w:rsidRPr="00B37D3D">
        <w:rPr>
          <w:color w:val="000000" w:themeColor="text1"/>
        </w:rPr>
        <w:t>Neither</w:t>
      </w:r>
      <w:r w:rsidR="009A0847">
        <w:rPr>
          <w:color w:val="000000" w:themeColor="text1"/>
        </w:rPr>
        <w:t xml:space="preserve"> </w:t>
      </w:r>
      <w:r w:rsidR="00C230C3" w:rsidRPr="00B37D3D">
        <w:rPr>
          <w:color w:val="000000" w:themeColor="text1"/>
        </w:rPr>
        <w:t>t</w:t>
      </w:r>
      <w:r w:rsidRPr="00B37D3D">
        <w:rPr>
          <w:color w:val="000000" w:themeColor="text1"/>
        </w:rPr>
        <w:t>he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amounts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borrowed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by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individual</w:t>
      </w:r>
      <w:r w:rsidR="009A0847">
        <w:rPr>
          <w:color w:val="000000" w:themeColor="text1"/>
        </w:rPr>
        <w:t xml:space="preserve"> </w:t>
      </w:r>
      <w:r w:rsidR="00C230C3" w:rsidRPr="00B37D3D">
        <w:rPr>
          <w:color w:val="000000" w:themeColor="text1"/>
        </w:rPr>
        <w:t>institutions</w:t>
      </w:r>
      <w:r w:rsidR="009A0847">
        <w:rPr>
          <w:color w:val="000000" w:themeColor="text1"/>
        </w:rPr>
        <w:t xml:space="preserve"> </w:t>
      </w:r>
      <w:r w:rsidR="00C230C3" w:rsidRPr="00B37D3D">
        <w:rPr>
          <w:color w:val="000000" w:themeColor="text1"/>
        </w:rPr>
        <w:t>nor</w:t>
      </w:r>
      <w:r w:rsidR="009A0847">
        <w:rPr>
          <w:color w:val="000000" w:themeColor="text1"/>
        </w:rPr>
        <w:t xml:space="preserve"> </w:t>
      </w:r>
      <w:r w:rsidR="00C230C3" w:rsidRPr="00B37D3D">
        <w:rPr>
          <w:color w:val="000000" w:themeColor="text1"/>
        </w:rPr>
        <w:t>their</w:t>
      </w:r>
      <w:r w:rsidR="009A0847">
        <w:rPr>
          <w:color w:val="000000" w:themeColor="text1"/>
        </w:rPr>
        <w:t xml:space="preserve"> </w:t>
      </w:r>
      <w:r w:rsidR="00C230C3" w:rsidRPr="00B37D3D">
        <w:rPr>
          <w:color w:val="000000" w:themeColor="text1"/>
        </w:rPr>
        <w:t>identities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w</w:t>
      </w:r>
      <w:r w:rsidR="00C230C3" w:rsidRPr="00B37D3D">
        <w:rPr>
          <w:color w:val="000000" w:themeColor="text1"/>
        </w:rPr>
        <w:t>ere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ever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disclosed.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The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only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information</w:t>
      </w:r>
      <w:r w:rsidR="009A0847">
        <w:rPr>
          <w:color w:val="000000" w:themeColor="text1"/>
        </w:rPr>
        <w:t xml:space="preserve"> </w:t>
      </w:r>
      <w:r w:rsidR="00C230C3" w:rsidRPr="00B37D3D">
        <w:rPr>
          <w:color w:val="000000" w:themeColor="text1"/>
        </w:rPr>
        <w:t>made</w:t>
      </w:r>
      <w:r w:rsidR="009A0847">
        <w:rPr>
          <w:color w:val="000000" w:themeColor="text1"/>
        </w:rPr>
        <w:t xml:space="preserve"> </w:t>
      </w:r>
      <w:r w:rsidR="00C230C3" w:rsidRPr="00B37D3D">
        <w:rPr>
          <w:color w:val="000000" w:themeColor="text1"/>
        </w:rPr>
        <w:t>public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was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the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weekly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aggre</w:t>
      </w:r>
      <w:r w:rsidR="00C230C3" w:rsidRPr="00B37D3D">
        <w:rPr>
          <w:color w:val="000000" w:themeColor="text1"/>
        </w:rPr>
        <w:t>g</w:t>
      </w:r>
      <w:r w:rsidRPr="00B37D3D">
        <w:rPr>
          <w:color w:val="000000" w:themeColor="text1"/>
        </w:rPr>
        <w:t>ate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amount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borrowed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in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each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Federal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Reserve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District.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In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accordance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with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the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provisions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of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the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Dodd-Frank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Act,</w:t>
      </w:r>
      <w:r w:rsidR="009A0847">
        <w:rPr>
          <w:color w:val="000000" w:themeColor="text1"/>
        </w:rPr>
        <w:t xml:space="preserve"> </w:t>
      </w:r>
      <w:r w:rsidR="00C230C3" w:rsidRPr="00B37D3D">
        <w:rPr>
          <w:color w:val="000000" w:themeColor="text1"/>
        </w:rPr>
        <w:t>the</w:t>
      </w:r>
      <w:r w:rsidR="009A0847">
        <w:rPr>
          <w:color w:val="000000" w:themeColor="text1"/>
        </w:rPr>
        <w:t xml:space="preserve"> </w:t>
      </w:r>
      <w:r w:rsidR="00C230C3" w:rsidRPr="00B37D3D">
        <w:rPr>
          <w:color w:val="000000" w:themeColor="text1"/>
        </w:rPr>
        <w:t>Federal</w:t>
      </w:r>
      <w:r w:rsidR="009A0847">
        <w:rPr>
          <w:color w:val="000000" w:themeColor="text1"/>
        </w:rPr>
        <w:t xml:space="preserve"> </w:t>
      </w:r>
      <w:r w:rsidR="00C230C3" w:rsidRPr="00B37D3D">
        <w:rPr>
          <w:color w:val="000000" w:themeColor="text1"/>
        </w:rPr>
        <w:t>Reserve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changed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its</w:t>
      </w:r>
      <w:r w:rsidR="009A0847">
        <w:rPr>
          <w:color w:val="000000" w:themeColor="text1"/>
        </w:rPr>
        <w:t xml:space="preserve"> </w:t>
      </w:r>
      <w:r w:rsidR="00C230C3" w:rsidRPr="00B37D3D">
        <w:rPr>
          <w:color w:val="000000" w:themeColor="text1"/>
        </w:rPr>
        <w:t>DW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disclosure</w:t>
      </w:r>
      <w:r w:rsidR="009A0847">
        <w:rPr>
          <w:color w:val="000000" w:themeColor="text1"/>
        </w:rPr>
        <w:t xml:space="preserve"> </w:t>
      </w:r>
      <w:r w:rsidR="00C230C3" w:rsidRPr="00B37D3D">
        <w:rPr>
          <w:color w:val="000000" w:themeColor="text1"/>
        </w:rPr>
        <w:t>practices</w:t>
      </w:r>
      <w:r w:rsidRPr="00B37D3D">
        <w:rPr>
          <w:color w:val="000000" w:themeColor="text1"/>
        </w:rPr>
        <w:t>.</w:t>
      </w:r>
      <w:r w:rsidR="009A0847">
        <w:rPr>
          <w:color w:val="000000" w:themeColor="text1"/>
        </w:rPr>
        <w:t xml:space="preserve"> </w:t>
      </w:r>
      <w:r w:rsidR="00E2615A" w:rsidRPr="00B37D3D">
        <w:rPr>
          <w:color w:val="000000" w:themeColor="text1"/>
        </w:rPr>
        <w:t>Starting</w:t>
      </w:r>
      <w:r w:rsidR="009A0847">
        <w:rPr>
          <w:color w:val="000000" w:themeColor="text1"/>
        </w:rPr>
        <w:t xml:space="preserve"> </w:t>
      </w:r>
      <w:r w:rsidR="00E2615A" w:rsidRPr="00B37D3D">
        <w:rPr>
          <w:color w:val="000000" w:themeColor="text1"/>
        </w:rPr>
        <w:t>on</w:t>
      </w:r>
      <w:r w:rsidR="009A0847">
        <w:rPr>
          <w:color w:val="000000" w:themeColor="text1"/>
        </w:rPr>
        <w:t xml:space="preserve"> </w:t>
      </w:r>
      <w:r w:rsidR="00E2615A" w:rsidRPr="00B37D3D">
        <w:rPr>
          <w:color w:val="000000" w:themeColor="text1"/>
        </w:rPr>
        <w:t>July</w:t>
      </w:r>
      <w:r w:rsidR="009A0847">
        <w:rPr>
          <w:color w:val="000000" w:themeColor="text1"/>
        </w:rPr>
        <w:t xml:space="preserve"> </w:t>
      </w:r>
      <w:r w:rsidR="00E2615A" w:rsidRPr="00B37D3D">
        <w:rPr>
          <w:color w:val="000000" w:themeColor="text1"/>
        </w:rPr>
        <w:t>21,</w:t>
      </w:r>
      <w:r w:rsidR="009A0847">
        <w:rPr>
          <w:color w:val="000000" w:themeColor="text1"/>
        </w:rPr>
        <w:t xml:space="preserve"> </w:t>
      </w:r>
      <w:r w:rsidR="00E2615A" w:rsidRPr="00B37D3D">
        <w:rPr>
          <w:color w:val="000000" w:themeColor="text1"/>
        </w:rPr>
        <w:t>2010</w:t>
      </w:r>
      <w:r w:rsidR="009A0847">
        <w:rPr>
          <w:color w:val="000000" w:themeColor="text1"/>
        </w:rPr>
        <w:t xml:space="preserve"> </w:t>
      </w:r>
      <w:r w:rsidR="00E2615A" w:rsidRPr="00B37D3D">
        <w:rPr>
          <w:color w:val="000000" w:themeColor="text1"/>
        </w:rPr>
        <w:t>the</w:t>
      </w:r>
      <w:r w:rsidR="009A0847">
        <w:rPr>
          <w:color w:val="000000" w:themeColor="text1"/>
        </w:rPr>
        <w:t xml:space="preserve"> </w:t>
      </w:r>
      <w:r w:rsidR="00E2615A" w:rsidRPr="00B37D3D">
        <w:rPr>
          <w:color w:val="000000" w:themeColor="text1"/>
        </w:rPr>
        <w:t>identity</w:t>
      </w:r>
      <w:r w:rsidR="009A0847">
        <w:rPr>
          <w:color w:val="000000" w:themeColor="text1"/>
        </w:rPr>
        <w:t xml:space="preserve"> </w:t>
      </w:r>
      <w:r w:rsidR="00E2615A" w:rsidRPr="00B37D3D">
        <w:rPr>
          <w:color w:val="000000" w:themeColor="text1"/>
        </w:rPr>
        <w:t>of</w:t>
      </w:r>
      <w:r w:rsidR="009A0847">
        <w:rPr>
          <w:color w:val="000000" w:themeColor="text1"/>
        </w:rPr>
        <w:t xml:space="preserve"> </w:t>
      </w:r>
      <w:r w:rsidR="00E2615A" w:rsidRPr="00B37D3D">
        <w:rPr>
          <w:color w:val="000000" w:themeColor="text1"/>
        </w:rPr>
        <w:t>the</w:t>
      </w:r>
      <w:r w:rsidR="009A0847">
        <w:rPr>
          <w:color w:val="000000" w:themeColor="text1"/>
        </w:rPr>
        <w:t xml:space="preserve"> </w:t>
      </w:r>
      <w:r w:rsidR="00E2615A" w:rsidRPr="00B37D3D">
        <w:rPr>
          <w:color w:val="000000" w:themeColor="text1"/>
        </w:rPr>
        <w:t>borrower,</w:t>
      </w:r>
      <w:r w:rsidR="009A0847">
        <w:rPr>
          <w:color w:val="000000" w:themeColor="text1"/>
        </w:rPr>
        <w:t xml:space="preserve"> </w:t>
      </w:r>
      <w:r w:rsidR="00E2615A" w:rsidRPr="00B37D3D">
        <w:rPr>
          <w:color w:val="000000" w:themeColor="text1"/>
        </w:rPr>
        <w:t>the</w:t>
      </w:r>
      <w:r w:rsidR="009A0847">
        <w:rPr>
          <w:color w:val="000000" w:themeColor="text1"/>
        </w:rPr>
        <w:t xml:space="preserve"> </w:t>
      </w:r>
      <w:r w:rsidR="00E2615A" w:rsidRPr="00B37D3D">
        <w:rPr>
          <w:color w:val="000000" w:themeColor="text1"/>
        </w:rPr>
        <w:t>amount</w:t>
      </w:r>
      <w:r w:rsidR="009A0847">
        <w:rPr>
          <w:color w:val="000000" w:themeColor="text1"/>
        </w:rPr>
        <w:t xml:space="preserve"> </w:t>
      </w:r>
      <w:r w:rsidR="00E2615A" w:rsidRPr="00B37D3D">
        <w:rPr>
          <w:color w:val="000000" w:themeColor="text1"/>
        </w:rPr>
        <w:t>borrowed</w:t>
      </w:r>
      <w:r w:rsidR="009A0847">
        <w:rPr>
          <w:color w:val="000000" w:themeColor="text1"/>
        </w:rPr>
        <w:t xml:space="preserve"> </w:t>
      </w:r>
      <w:r w:rsidR="00E2615A" w:rsidRPr="00B37D3D">
        <w:rPr>
          <w:color w:val="000000" w:themeColor="text1"/>
        </w:rPr>
        <w:t>and</w:t>
      </w:r>
      <w:r w:rsidR="009A0847">
        <w:rPr>
          <w:color w:val="000000" w:themeColor="text1"/>
        </w:rPr>
        <w:t xml:space="preserve"> </w:t>
      </w:r>
      <w:r w:rsidR="00E2615A" w:rsidRPr="00B37D3D">
        <w:rPr>
          <w:color w:val="000000" w:themeColor="text1"/>
        </w:rPr>
        <w:t>the</w:t>
      </w:r>
      <w:r w:rsidR="009A0847">
        <w:rPr>
          <w:color w:val="000000" w:themeColor="text1"/>
        </w:rPr>
        <w:t xml:space="preserve"> </w:t>
      </w:r>
      <w:r w:rsidR="00E2615A" w:rsidRPr="00B37D3D">
        <w:rPr>
          <w:color w:val="000000" w:themeColor="text1"/>
        </w:rPr>
        <w:t>collateral</w:t>
      </w:r>
      <w:r w:rsidR="009A0847">
        <w:rPr>
          <w:color w:val="000000" w:themeColor="text1"/>
        </w:rPr>
        <w:t xml:space="preserve"> </w:t>
      </w:r>
      <w:r w:rsidR="00E2615A" w:rsidRPr="00B37D3D">
        <w:rPr>
          <w:color w:val="000000" w:themeColor="text1"/>
        </w:rPr>
        <w:t>pledged</w:t>
      </w:r>
      <w:r w:rsidR="009A0847">
        <w:rPr>
          <w:color w:val="000000" w:themeColor="text1"/>
        </w:rPr>
        <w:t xml:space="preserve"> </w:t>
      </w:r>
      <w:r w:rsidR="00E2615A" w:rsidRPr="00B37D3D">
        <w:rPr>
          <w:color w:val="000000" w:themeColor="text1"/>
        </w:rPr>
        <w:t>in</w:t>
      </w:r>
      <w:r w:rsidR="009A0847">
        <w:rPr>
          <w:color w:val="000000" w:themeColor="text1"/>
        </w:rPr>
        <w:t xml:space="preserve"> </w:t>
      </w:r>
      <w:r w:rsidR="00E2615A" w:rsidRPr="00B37D3D">
        <w:rPr>
          <w:color w:val="000000" w:themeColor="text1"/>
        </w:rPr>
        <w:t>connection</w:t>
      </w:r>
      <w:r w:rsidR="009A0847">
        <w:rPr>
          <w:color w:val="000000" w:themeColor="text1"/>
        </w:rPr>
        <w:t xml:space="preserve"> </w:t>
      </w:r>
      <w:r w:rsidR="00E2615A" w:rsidRPr="00B37D3D">
        <w:rPr>
          <w:color w:val="000000" w:themeColor="text1"/>
        </w:rPr>
        <w:t>with</w:t>
      </w:r>
      <w:r w:rsidR="009A0847">
        <w:rPr>
          <w:color w:val="000000" w:themeColor="text1"/>
        </w:rPr>
        <w:t xml:space="preserve"> </w:t>
      </w:r>
      <w:r w:rsidR="00E36D46">
        <w:rPr>
          <w:color w:val="000000" w:themeColor="text1"/>
        </w:rPr>
        <w:t>a</w:t>
      </w:r>
      <w:r w:rsidR="009A0847">
        <w:rPr>
          <w:color w:val="000000" w:themeColor="text1"/>
        </w:rPr>
        <w:t xml:space="preserve"> </w:t>
      </w:r>
      <w:r w:rsidR="00E2615A" w:rsidRPr="00B37D3D">
        <w:rPr>
          <w:color w:val="000000" w:themeColor="text1"/>
        </w:rPr>
        <w:t>DW</w:t>
      </w:r>
      <w:r w:rsidR="009A0847">
        <w:rPr>
          <w:color w:val="000000" w:themeColor="text1"/>
        </w:rPr>
        <w:t xml:space="preserve"> </w:t>
      </w:r>
      <w:r w:rsidR="00E2615A" w:rsidRPr="00B37D3D">
        <w:rPr>
          <w:color w:val="000000" w:themeColor="text1"/>
        </w:rPr>
        <w:t>loan</w:t>
      </w:r>
      <w:r w:rsidR="009A0847">
        <w:rPr>
          <w:color w:val="000000" w:themeColor="text1"/>
        </w:rPr>
        <w:t xml:space="preserve"> </w:t>
      </w:r>
      <w:r w:rsidR="00E2615A" w:rsidRPr="00B37D3D">
        <w:rPr>
          <w:color w:val="000000" w:themeColor="text1"/>
        </w:rPr>
        <w:t>are</w:t>
      </w:r>
      <w:r w:rsidR="009A0847">
        <w:rPr>
          <w:color w:val="000000" w:themeColor="text1"/>
        </w:rPr>
        <w:t xml:space="preserve"> </w:t>
      </w:r>
      <w:r w:rsidR="00FD648E">
        <w:rPr>
          <w:color w:val="000000" w:themeColor="text1"/>
        </w:rPr>
        <w:t>all</w:t>
      </w:r>
      <w:r w:rsidR="009A0847">
        <w:rPr>
          <w:color w:val="000000" w:themeColor="text1"/>
        </w:rPr>
        <w:t xml:space="preserve"> </w:t>
      </w:r>
      <w:r w:rsidR="00E2615A" w:rsidRPr="00B37D3D">
        <w:rPr>
          <w:color w:val="000000" w:themeColor="text1"/>
        </w:rPr>
        <w:t>disclosed</w:t>
      </w:r>
      <w:r w:rsidR="009A0847">
        <w:rPr>
          <w:color w:val="000000" w:themeColor="text1"/>
        </w:rPr>
        <w:t xml:space="preserve"> </w:t>
      </w:r>
      <w:r w:rsidR="00C230C3" w:rsidRPr="00B37D3D">
        <w:rPr>
          <w:color w:val="000000" w:themeColor="text1"/>
        </w:rPr>
        <w:t>public</w:t>
      </w:r>
      <w:r w:rsidR="00E2615A" w:rsidRPr="00B37D3D">
        <w:rPr>
          <w:color w:val="000000" w:themeColor="text1"/>
        </w:rPr>
        <w:t>l</w:t>
      </w:r>
      <w:r w:rsidR="00C230C3" w:rsidRPr="00B37D3D">
        <w:rPr>
          <w:color w:val="000000" w:themeColor="text1"/>
        </w:rPr>
        <w:t>y</w:t>
      </w:r>
      <w:r w:rsidR="009A0847">
        <w:rPr>
          <w:color w:val="000000" w:themeColor="text1"/>
        </w:rPr>
        <w:t xml:space="preserve"> </w:t>
      </w:r>
      <w:r w:rsidR="00C230C3" w:rsidRPr="00B37D3D">
        <w:rPr>
          <w:color w:val="000000" w:themeColor="text1"/>
        </w:rPr>
        <w:t>after</w:t>
      </w:r>
      <w:r w:rsidR="009A0847">
        <w:rPr>
          <w:color w:val="000000" w:themeColor="text1"/>
        </w:rPr>
        <w:t xml:space="preserve"> </w:t>
      </w:r>
      <w:r w:rsidR="00E2615A" w:rsidRPr="00B37D3D">
        <w:rPr>
          <w:color w:val="000000" w:themeColor="text1"/>
        </w:rPr>
        <w:t>a</w:t>
      </w:r>
      <w:r w:rsidR="009A0847">
        <w:rPr>
          <w:color w:val="000000" w:themeColor="text1"/>
        </w:rPr>
        <w:t xml:space="preserve"> </w:t>
      </w:r>
      <w:r w:rsidR="00E2615A" w:rsidRPr="00B37D3D">
        <w:rPr>
          <w:color w:val="000000" w:themeColor="text1"/>
        </w:rPr>
        <w:t>two</w:t>
      </w:r>
      <w:r w:rsidR="009A0847">
        <w:rPr>
          <w:color w:val="000000" w:themeColor="text1"/>
        </w:rPr>
        <w:t xml:space="preserve"> </w:t>
      </w:r>
      <w:r w:rsidR="00E2615A" w:rsidRPr="00B37D3D">
        <w:rPr>
          <w:color w:val="000000" w:themeColor="text1"/>
        </w:rPr>
        <w:t>years</w:t>
      </w:r>
      <w:r w:rsidR="009A0847">
        <w:rPr>
          <w:color w:val="000000" w:themeColor="text1"/>
        </w:rPr>
        <w:t xml:space="preserve"> </w:t>
      </w:r>
      <w:r w:rsidR="00E2615A" w:rsidRPr="00B37D3D">
        <w:rPr>
          <w:color w:val="000000" w:themeColor="text1"/>
        </w:rPr>
        <w:t>lag.</w:t>
      </w:r>
      <w:r w:rsidR="009A0847">
        <w:rPr>
          <w:color w:val="000000" w:themeColor="text1"/>
        </w:rPr>
        <w:t xml:space="preserve"> </w:t>
      </w:r>
    </w:p>
    <w:p w14:paraId="7A2E7870" w14:textId="527BD6BB" w:rsidR="00464079" w:rsidRDefault="00532E13" w:rsidP="00464079">
      <w:pPr>
        <w:pStyle w:val="Olivier1"/>
        <w:widowControl w:val="0"/>
        <w:spacing w:line="240" w:lineRule="auto"/>
        <w:ind w:firstLine="360"/>
        <w:rPr>
          <w:color w:val="000000" w:themeColor="text1"/>
        </w:rPr>
      </w:pPr>
      <w:r w:rsidRPr="00B37D3D">
        <w:rPr>
          <w:color w:val="000000" w:themeColor="text1"/>
        </w:rPr>
        <w:t>The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question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of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stigma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has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been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a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lingering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issue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throughout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the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history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of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the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DW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and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led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to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lastRenderedPageBreak/>
        <w:t>fundamental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reforms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in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2003.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Prior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to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2003,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banks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in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distress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could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borrow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from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the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DW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at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a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rate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below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the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Fed</w:t>
      </w:r>
      <w:r w:rsidR="00464079">
        <w:rPr>
          <w:color w:val="000000" w:themeColor="text1"/>
        </w:rPr>
        <w:t>’s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target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rate.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Because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of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the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subsidized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rate,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the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Fed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was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con</w:t>
      </w:r>
      <w:r w:rsidR="00E36D46">
        <w:rPr>
          <w:color w:val="000000" w:themeColor="text1"/>
        </w:rPr>
        <w:t>cerned</w:t>
      </w:r>
      <w:r w:rsidR="009A0847">
        <w:rPr>
          <w:color w:val="000000" w:themeColor="text1"/>
        </w:rPr>
        <w:t xml:space="preserve"> </w:t>
      </w:r>
      <w:r w:rsidR="00E36D46">
        <w:rPr>
          <w:color w:val="000000" w:themeColor="text1"/>
        </w:rPr>
        <w:t>about</w:t>
      </w:r>
      <w:r w:rsidR="009A0847">
        <w:rPr>
          <w:color w:val="000000" w:themeColor="text1"/>
        </w:rPr>
        <w:t xml:space="preserve"> </w:t>
      </w:r>
      <w:r w:rsidR="00E36D46">
        <w:rPr>
          <w:color w:val="000000" w:themeColor="text1"/>
        </w:rPr>
        <w:t>“opportunistic</w:t>
      </w:r>
      <w:r w:rsidR="00FD648E">
        <w:rPr>
          <w:color w:val="000000" w:themeColor="text1"/>
        </w:rPr>
        <w:t>”</w:t>
      </w:r>
      <w:r w:rsidR="009A0847">
        <w:rPr>
          <w:color w:val="000000" w:themeColor="text1"/>
        </w:rPr>
        <w:t xml:space="preserve"> </w:t>
      </w:r>
      <w:r w:rsidR="00FD648E">
        <w:rPr>
          <w:color w:val="000000" w:themeColor="text1"/>
        </w:rPr>
        <w:t>DW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bo</w:t>
      </w:r>
      <w:r w:rsidR="00FD648E">
        <w:rPr>
          <w:color w:val="000000" w:themeColor="text1"/>
        </w:rPr>
        <w:t>rrowing</w:t>
      </w:r>
      <w:r w:rsidRPr="00B37D3D">
        <w:rPr>
          <w:color w:val="000000" w:themeColor="text1"/>
        </w:rPr>
        <w:t>.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Accordingly,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before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accessing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the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DW,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a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bank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had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to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satisfy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the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Fed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that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it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had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exhausted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private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sources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of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funding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and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that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it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had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a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genuine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business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need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for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the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funds.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Hence,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if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market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participants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learned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that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a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bank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had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accessed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the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DW,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then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they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could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conclude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that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the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bank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had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limited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sources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of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funding.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These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concerns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may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have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deterred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banks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from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accessing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the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DW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even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if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they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had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an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urgent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need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for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funds.</w:t>
      </w:r>
      <w:r w:rsidR="00A078E3">
        <w:rPr>
          <w:color w:val="000000" w:themeColor="text1"/>
        </w:rPr>
        <w:t xml:space="preserve"> </w:t>
      </w:r>
      <w:r w:rsidR="00A078E3" w:rsidRPr="00B37D3D">
        <w:rPr>
          <w:color w:val="000000" w:themeColor="text1"/>
        </w:rPr>
        <w:t>The</w:t>
      </w:r>
      <w:r w:rsidR="00A078E3">
        <w:rPr>
          <w:color w:val="000000" w:themeColor="text1"/>
        </w:rPr>
        <w:t xml:space="preserve"> </w:t>
      </w:r>
      <w:r w:rsidR="00A078E3" w:rsidRPr="00E36D46">
        <w:rPr>
          <w:i/>
          <w:color w:val="000000" w:themeColor="text1"/>
        </w:rPr>
        <w:t>old</w:t>
      </w:r>
      <w:r w:rsidR="00A078E3">
        <w:rPr>
          <w:color w:val="000000" w:themeColor="text1"/>
        </w:rPr>
        <w:t xml:space="preserve"> </w:t>
      </w:r>
      <w:r w:rsidR="00A078E3" w:rsidRPr="00B37D3D">
        <w:rPr>
          <w:color w:val="000000" w:themeColor="text1"/>
        </w:rPr>
        <w:t>DW</w:t>
      </w:r>
      <w:r w:rsidR="00A078E3">
        <w:rPr>
          <w:color w:val="000000" w:themeColor="text1"/>
        </w:rPr>
        <w:t xml:space="preserve"> </w:t>
      </w:r>
      <w:r w:rsidR="00A078E3" w:rsidRPr="00B37D3D">
        <w:rPr>
          <w:color w:val="000000" w:themeColor="text1"/>
        </w:rPr>
        <w:t>regime</w:t>
      </w:r>
      <w:r w:rsidR="00A078E3">
        <w:rPr>
          <w:color w:val="000000" w:themeColor="text1"/>
        </w:rPr>
        <w:t xml:space="preserve"> </w:t>
      </w:r>
      <w:r w:rsidR="00A078E3" w:rsidRPr="00B37D3D">
        <w:rPr>
          <w:color w:val="000000" w:themeColor="text1"/>
        </w:rPr>
        <w:t>therefore</w:t>
      </w:r>
      <w:r w:rsidR="00A078E3">
        <w:rPr>
          <w:color w:val="000000" w:themeColor="text1"/>
        </w:rPr>
        <w:t xml:space="preserve"> </w:t>
      </w:r>
      <w:r w:rsidR="00A078E3" w:rsidRPr="00B37D3D">
        <w:rPr>
          <w:color w:val="000000" w:themeColor="text1"/>
        </w:rPr>
        <w:t>created</w:t>
      </w:r>
      <w:r w:rsidR="00A078E3">
        <w:rPr>
          <w:color w:val="000000" w:themeColor="text1"/>
        </w:rPr>
        <w:t xml:space="preserve"> </w:t>
      </w:r>
      <w:r w:rsidR="00A078E3" w:rsidRPr="00B37D3D">
        <w:rPr>
          <w:color w:val="000000" w:themeColor="text1"/>
        </w:rPr>
        <w:t>a</w:t>
      </w:r>
      <w:r w:rsidR="00A078E3">
        <w:rPr>
          <w:color w:val="000000" w:themeColor="text1"/>
        </w:rPr>
        <w:t xml:space="preserve"> </w:t>
      </w:r>
      <w:r w:rsidR="00A078E3" w:rsidRPr="00B37D3D">
        <w:rPr>
          <w:color w:val="000000" w:themeColor="text1"/>
        </w:rPr>
        <w:t>perception</w:t>
      </w:r>
      <w:r w:rsidR="00A078E3">
        <w:rPr>
          <w:color w:val="000000" w:themeColor="text1"/>
        </w:rPr>
        <w:t xml:space="preserve"> </w:t>
      </w:r>
      <w:r w:rsidR="00A078E3" w:rsidRPr="00B37D3D">
        <w:rPr>
          <w:color w:val="000000" w:themeColor="text1"/>
        </w:rPr>
        <w:t>of</w:t>
      </w:r>
      <w:r w:rsidR="00A078E3">
        <w:rPr>
          <w:color w:val="000000" w:themeColor="text1"/>
        </w:rPr>
        <w:t xml:space="preserve"> </w:t>
      </w:r>
      <w:r w:rsidR="00A078E3" w:rsidRPr="00B37D3D">
        <w:rPr>
          <w:color w:val="000000" w:themeColor="text1"/>
        </w:rPr>
        <w:t>stigma</w:t>
      </w:r>
    </w:p>
    <w:p w14:paraId="1C7EDD21" w14:textId="778CC0ED" w:rsidR="00464079" w:rsidRDefault="00532E13" w:rsidP="00464079">
      <w:pPr>
        <w:pStyle w:val="Olivier1"/>
        <w:widowControl w:val="0"/>
        <w:spacing w:line="240" w:lineRule="auto"/>
        <w:ind w:firstLine="360"/>
        <w:rPr>
          <w:color w:val="000000" w:themeColor="text1"/>
        </w:rPr>
      </w:pPr>
      <w:r w:rsidRPr="00B37D3D">
        <w:rPr>
          <w:color w:val="000000" w:themeColor="text1"/>
        </w:rPr>
        <w:t>To</w:t>
      </w:r>
      <w:r w:rsidR="009A0847">
        <w:rPr>
          <w:color w:val="000000" w:themeColor="text1"/>
        </w:rPr>
        <w:t xml:space="preserve"> </w:t>
      </w:r>
      <w:r w:rsidR="00A078E3">
        <w:rPr>
          <w:color w:val="000000" w:themeColor="text1"/>
        </w:rPr>
        <w:t xml:space="preserve">address stigma </w:t>
      </w:r>
      <w:r w:rsidRPr="00B37D3D">
        <w:rPr>
          <w:color w:val="000000" w:themeColor="text1"/>
        </w:rPr>
        <w:t>concerns,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the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Fed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fundamentally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changed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its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DW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policy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on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January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9,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2003.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In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Regulation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A,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the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Fed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classified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DW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loans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into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primary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credit,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secondary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credit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and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seasonal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credit.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Financially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strong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and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well-capitalized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banks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can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borrow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under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the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primary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credit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program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at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a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penalty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rate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above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the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target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fed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funds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rate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(rather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than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a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subsidized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rate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under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the</w:t>
      </w:r>
      <w:r w:rsidR="009A0847">
        <w:rPr>
          <w:color w:val="000000" w:themeColor="text1"/>
        </w:rPr>
        <w:t xml:space="preserve"> </w:t>
      </w:r>
      <w:r w:rsidRPr="00E36D46">
        <w:rPr>
          <w:i/>
          <w:color w:val="000000" w:themeColor="text1"/>
        </w:rPr>
        <w:t>old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DW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regime).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Other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banks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use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the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secondary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credit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program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and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pay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a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rate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higher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than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the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primary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credit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rate.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Finally,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seasonal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credit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is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for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relatively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small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banks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with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seasonal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fluctuations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in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reserves.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By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far,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the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most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com</w:t>
      </w:r>
      <w:r w:rsidR="00E36D46">
        <w:rPr>
          <w:color w:val="000000" w:themeColor="text1"/>
        </w:rPr>
        <w:t>mon</w:t>
      </w:r>
      <w:r w:rsidR="009A0847">
        <w:rPr>
          <w:color w:val="000000" w:themeColor="text1"/>
        </w:rPr>
        <w:t xml:space="preserve"> </w:t>
      </w:r>
      <w:r w:rsidR="00E36D46">
        <w:rPr>
          <w:color w:val="000000" w:themeColor="text1"/>
        </w:rPr>
        <w:t>form</w:t>
      </w:r>
      <w:r w:rsidR="009A0847">
        <w:rPr>
          <w:color w:val="000000" w:themeColor="text1"/>
        </w:rPr>
        <w:t xml:space="preserve"> </w:t>
      </w:r>
      <w:r w:rsidR="00E36D46">
        <w:rPr>
          <w:color w:val="000000" w:themeColor="text1"/>
        </w:rPr>
        <w:t>of</w:t>
      </w:r>
      <w:r w:rsidR="009A0847">
        <w:rPr>
          <w:color w:val="000000" w:themeColor="text1"/>
        </w:rPr>
        <w:t xml:space="preserve"> </w:t>
      </w:r>
      <w:r w:rsidR="00E36D46">
        <w:rPr>
          <w:color w:val="000000" w:themeColor="text1"/>
        </w:rPr>
        <w:t>DW</w:t>
      </w:r>
      <w:r w:rsidR="009A0847">
        <w:rPr>
          <w:color w:val="000000" w:themeColor="text1"/>
        </w:rPr>
        <w:t xml:space="preserve"> </w:t>
      </w:r>
      <w:r w:rsidR="00E36D46">
        <w:rPr>
          <w:color w:val="000000" w:themeColor="text1"/>
        </w:rPr>
        <w:t>borrowing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is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through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the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primary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credit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program.</w:t>
      </w:r>
      <w:r w:rsidR="009A0847">
        <w:rPr>
          <w:color w:val="000000" w:themeColor="text1"/>
        </w:rPr>
        <w:t xml:space="preserve"> </w:t>
      </w:r>
      <w:r w:rsidR="00E36D46">
        <w:rPr>
          <w:color w:val="000000" w:themeColor="text1"/>
        </w:rPr>
        <w:t>O</w:t>
      </w:r>
      <w:r w:rsidRPr="00B37D3D">
        <w:rPr>
          <w:color w:val="000000" w:themeColor="text1"/>
        </w:rPr>
        <w:t>ur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focus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is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exclusively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on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the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primary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credit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facility.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Further,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whenever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we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refer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to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the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DW,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we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mean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the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DW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primary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credit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facility.</w:t>
      </w:r>
    </w:p>
    <w:p w14:paraId="386C4D29" w14:textId="0A637CE1" w:rsidR="00464079" w:rsidRDefault="00532E13" w:rsidP="00464079">
      <w:pPr>
        <w:pStyle w:val="Olivier1"/>
        <w:widowControl w:val="0"/>
        <w:spacing w:line="240" w:lineRule="auto"/>
        <w:ind w:firstLine="360"/>
        <w:rPr>
          <w:color w:val="000000" w:themeColor="text1"/>
        </w:rPr>
      </w:pPr>
      <w:r w:rsidRPr="00B37D3D">
        <w:rPr>
          <w:color w:val="000000" w:themeColor="text1"/>
        </w:rPr>
        <w:t>The</w:t>
      </w:r>
      <w:r w:rsidR="009A0847">
        <w:rPr>
          <w:color w:val="000000" w:themeColor="text1"/>
        </w:rPr>
        <w:t xml:space="preserve"> </w:t>
      </w:r>
      <w:r w:rsidRPr="00E36D46">
        <w:rPr>
          <w:i/>
          <w:color w:val="000000" w:themeColor="text1"/>
        </w:rPr>
        <w:t>new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DW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is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a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“no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questions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asked”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facility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for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primary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credit.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Namely,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the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Fed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no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longer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establishes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a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bank’s</w:t>
      </w:r>
      <w:r w:rsidR="009A0847">
        <w:rPr>
          <w:color w:val="000000" w:themeColor="text1"/>
        </w:rPr>
        <w:t xml:space="preserve"> </w:t>
      </w:r>
      <w:r w:rsidR="00A078E3">
        <w:rPr>
          <w:color w:val="000000" w:themeColor="text1"/>
        </w:rPr>
        <w:t xml:space="preserve">funding needs, </w:t>
      </w:r>
      <w:r w:rsidRPr="00B37D3D">
        <w:rPr>
          <w:color w:val="000000" w:themeColor="text1"/>
        </w:rPr>
        <w:t>sources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and</w:t>
      </w:r>
      <w:r w:rsidR="009A0847">
        <w:rPr>
          <w:color w:val="000000" w:themeColor="text1"/>
        </w:rPr>
        <w:t xml:space="preserve"> </w:t>
      </w:r>
      <w:r w:rsidR="00A078E3">
        <w:rPr>
          <w:color w:val="000000" w:themeColor="text1"/>
        </w:rPr>
        <w:t>usage</w:t>
      </w:r>
      <w:r w:rsidRPr="00B37D3D">
        <w:rPr>
          <w:color w:val="000000" w:themeColor="text1"/>
        </w:rPr>
        <w:t>.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Instead,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primary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credit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for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overnight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maturity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is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allocated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with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minimal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administrative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burden.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Hence,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borrowing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from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the</w:t>
      </w:r>
      <w:r w:rsidR="009A0847">
        <w:rPr>
          <w:color w:val="000000" w:themeColor="text1"/>
        </w:rPr>
        <w:t xml:space="preserve"> </w:t>
      </w:r>
      <w:r w:rsidRPr="00E36D46">
        <w:rPr>
          <w:i/>
          <w:color w:val="000000" w:themeColor="text1"/>
        </w:rPr>
        <w:t>new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DW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need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not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be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motivated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by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pressing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funding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needs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or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signal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financial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weakness.</w:t>
      </w:r>
    </w:p>
    <w:p w14:paraId="1DA0E989" w14:textId="5AC00EA1" w:rsidR="00464079" w:rsidRDefault="00532E13" w:rsidP="00464079">
      <w:pPr>
        <w:pStyle w:val="Olivier1"/>
        <w:widowControl w:val="0"/>
        <w:spacing w:line="240" w:lineRule="auto"/>
        <w:ind w:firstLine="360"/>
        <w:rPr>
          <w:color w:val="000000" w:themeColor="text1"/>
        </w:rPr>
      </w:pPr>
      <w:r w:rsidRPr="00B37D3D">
        <w:rPr>
          <w:color w:val="000000" w:themeColor="text1"/>
        </w:rPr>
        <w:t>Despite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these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changes,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DW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borrowing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remained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sparse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after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2003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and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perceptions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of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stigma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resurfaced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at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the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onset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of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the</w:t>
      </w:r>
      <w:r w:rsidR="009A0847">
        <w:rPr>
          <w:color w:val="000000" w:themeColor="text1"/>
        </w:rPr>
        <w:t xml:space="preserve"> </w:t>
      </w:r>
      <w:r w:rsidR="00A078E3">
        <w:rPr>
          <w:color w:val="000000" w:themeColor="text1"/>
        </w:rPr>
        <w:t>2007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financial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crisis.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By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the</w:t>
      </w:r>
      <w:r w:rsidR="009A0847">
        <w:rPr>
          <w:color w:val="000000" w:themeColor="text1"/>
        </w:rPr>
        <w:t xml:space="preserve"> </w:t>
      </w:r>
      <w:r w:rsidR="00E36D46">
        <w:rPr>
          <w:color w:val="000000" w:themeColor="text1"/>
        </w:rPr>
        <w:t>mid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2007,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financial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institutions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were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perceived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to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face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serious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liquidity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shortages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for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term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funding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(Hilton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and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McAndrews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2011).</w:t>
      </w:r>
      <w:r w:rsidR="009A0847">
        <w:rPr>
          <w:color w:val="000000" w:themeColor="text1"/>
        </w:rPr>
        <w:t xml:space="preserve"> </w:t>
      </w:r>
      <w:r w:rsidR="00A078E3">
        <w:rPr>
          <w:color w:val="000000" w:themeColor="text1"/>
        </w:rPr>
        <w:t xml:space="preserve">The DW however, remained scarcely visited. </w:t>
      </w:r>
      <w:r w:rsidRPr="00B37D3D">
        <w:rPr>
          <w:color w:val="000000" w:themeColor="text1"/>
        </w:rPr>
        <w:t>To</w:t>
      </w:r>
      <w:r w:rsidR="009A0847">
        <w:rPr>
          <w:color w:val="000000" w:themeColor="text1"/>
        </w:rPr>
        <w:t xml:space="preserve"> </w:t>
      </w:r>
      <w:r w:rsidR="00A078E3">
        <w:rPr>
          <w:color w:val="000000" w:themeColor="text1"/>
        </w:rPr>
        <w:t>stimulate DW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borrowing,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the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Fed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reduced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the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DW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spread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over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the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target</w:t>
      </w:r>
      <w:r w:rsidR="009A0847">
        <w:rPr>
          <w:color w:val="000000" w:themeColor="text1"/>
        </w:rPr>
        <w:t xml:space="preserve"> </w:t>
      </w:r>
      <w:r w:rsidR="00A078E3">
        <w:rPr>
          <w:color w:val="000000" w:themeColor="text1"/>
        </w:rPr>
        <w:t>rate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from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100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basis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points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to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50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basis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points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on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August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17,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2007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and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increased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the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term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of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DW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financing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from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overnight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to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as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long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as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30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days.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In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addition,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the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Fed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issued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statements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that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DW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borrowing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would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be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viewed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as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a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sign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of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strength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and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not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a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sign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of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weakness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(Hilton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and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McAndrews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2011).</w:t>
      </w:r>
      <w:r w:rsidR="009A0847">
        <w:rPr>
          <w:color w:val="000000" w:themeColor="text1"/>
        </w:rPr>
        <w:t xml:space="preserve"> </w:t>
      </w:r>
      <w:r w:rsidR="00FD648E">
        <w:rPr>
          <w:color w:val="000000" w:themeColor="text1"/>
        </w:rPr>
        <w:t>Finally,</w:t>
      </w:r>
      <w:r w:rsidR="009A0847">
        <w:rPr>
          <w:color w:val="000000" w:themeColor="text1"/>
        </w:rPr>
        <w:t xml:space="preserve"> </w:t>
      </w:r>
      <w:r w:rsidR="00FD648E">
        <w:rPr>
          <w:color w:val="000000" w:themeColor="text1"/>
        </w:rPr>
        <w:t>the</w:t>
      </w:r>
      <w:r w:rsidR="009A0847">
        <w:rPr>
          <w:color w:val="000000" w:themeColor="text1"/>
        </w:rPr>
        <w:t xml:space="preserve"> </w:t>
      </w:r>
      <w:r w:rsidR="00FD648E">
        <w:rPr>
          <w:color w:val="000000" w:themeColor="text1"/>
        </w:rPr>
        <w:t>Fed</w:t>
      </w:r>
      <w:r w:rsidR="009A0847">
        <w:rPr>
          <w:color w:val="000000" w:themeColor="text1"/>
        </w:rPr>
        <w:t xml:space="preserve"> </w:t>
      </w:r>
      <w:r w:rsidR="00FD648E">
        <w:rPr>
          <w:color w:val="000000" w:themeColor="text1"/>
        </w:rPr>
        <w:t>encouraged</w:t>
      </w:r>
      <w:r w:rsidR="009A0847">
        <w:rPr>
          <w:color w:val="000000" w:themeColor="text1"/>
        </w:rPr>
        <w:t xml:space="preserve"> </w:t>
      </w:r>
      <w:r w:rsidR="00FD648E">
        <w:rPr>
          <w:color w:val="000000" w:themeColor="text1"/>
        </w:rPr>
        <w:t>the</w:t>
      </w:r>
      <w:r w:rsidR="009A0847">
        <w:rPr>
          <w:color w:val="000000" w:themeColor="text1"/>
        </w:rPr>
        <w:t xml:space="preserve"> </w:t>
      </w:r>
      <w:r w:rsidR="00FD648E">
        <w:rPr>
          <w:color w:val="000000" w:themeColor="text1"/>
        </w:rPr>
        <w:t>four</w:t>
      </w:r>
      <w:r w:rsidR="009A0847">
        <w:rPr>
          <w:color w:val="000000" w:themeColor="text1"/>
        </w:rPr>
        <w:t xml:space="preserve"> </w:t>
      </w:r>
      <w:r w:rsidR="00FD648E">
        <w:rPr>
          <w:color w:val="000000" w:themeColor="text1"/>
        </w:rPr>
        <w:t>biggest</w:t>
      </w:r>
      <w:r w:rsidR="009A0847">
        <w:rPr>
          <w:color w:val="000000" w:themeColor="text1"/>
        </w:rPr>
        <w:t xml:space="preserve"> </w:t>
      </w:r>
      <w:r w:rsidR="00FD648E">
        <w:rPr>
          <w:color w:val="000000" w:themeColor="text1"/>
        </w:rPr>
        <w:t>U.S.</w:t>
      </w:r>
      <w:r w:rsidR="009A0847">
        <w:rPr>
          <w:color w:val="000000" w:themeColor="text1"/>
        </w:rPr>
        <w:t xml:space="preserve"> </w:t>
      </w:r>
      <w:r w:rsidR="00FD648E">
        <w:rPr>
          <w:color w:val="000000" w:themeColor="text1"/>
        </w:rPr>
        <w:t>banks</w:t>
      </w:r>
      <w:r w:rsidR="009A0847">
        <w:rPr>
          <w:color w:val="000000" w:themeColor="text1"/>
        </w:rPr>
        <w:t xml:space="preserve"> </w:t>
      </w:r>
      <w:r w:rsidR="00FD648E">
        <w:rPr>
          <w:color w:val="000000" w:themeColor="text1"/>
        </w:rPr>
        <w:t>to</w:t>
      </w:r>
      <w:r w:rsidR="009A0847">
        <w:rPr>
          <w:color w:val="000000" w:themeColor="text1"/>
        </w:rPr>
        <w:t xml:space="preserve"> </w:t>
      </w:r>
      <w:r w:rsidR="00FD648E">
        <w:rPr>
          <w:color w:val="000000" w:themeColor="text1"/>
        </w:rPr>
        <w:t>take</w:t>
      </w:r>
      <w:r w:rsidR="009A0847">
        <w:rPr>
          <w:color w:val="000000" w:themeColor="text1"/>
        </w:rPr>
        <w:t xml:space="preserve"> </w:t>
      </w:r>
      <w:r w:rsidR="00FD648E">
        <w:rPr>
          <w:color w:val="000000" w:themeColor="text1"/>
        </w:rPr>
        <w:t>a</w:t>
      </w:r>
      <w:r w:rsidR="009A0847">
        <w:rPr>
          <w:color w:val="000000" w:themeColor="text1"/>
        </w:rPr>
        <w:t xml:space="preserve"> </w:t>
      </w:r>
      <w:r w:rsidR="00FD648E">
        <w:rPr>
          <w:color w:val="000000" w:themeColor="text1"/>
        </w:rPr>
        <w:t>leadership</w:t>
      </w:r>
      <w:r w:rsidR="009A0847">
        <w:rPr>
          <w:color w:val="000000" w:themeColor="text1"/>
        </w:rPr>
        <w:t xml:space="preserve"> </w:t>
      </w:r>
      <w:r w:rsidR="00FD648E">
        <w:rPr>
          <w:color w:val="000000" w:themeColor="text1"/>
        </w:rPr>
        <w:t>role</w:t>
      </w:r>
      <w:r w:rsidR="009A0847">
        <w:rPr>
          <w:color w:val="000000" w:themeColor="text1"/>
        </w:rPr>
        <w:t xml:space="preserve"> </w:t>
      </w:r>
      <w:r w:rsidR="00FD648E">
        <w:rPr>
          <w:color w:val="000000" w:themeColor="text1"/>
        </w:rPr>
        <w:t>and</w:t>
      </w:r>
      <w:r w:rsidR="009A0847">
        <w:rPr>
          <w:color w:val="000000" w:themeColor="text1"/>
        </w:rPr>
        <w:t xml:space="preserve"> </w:t>
      </w:r>
      <w:r w:rsidR="00FD648E">
        <w:rPr>
          <w:color w:val="000000" w:themeColor="text1"/>
        </w:rPr>
        <w:t>set</w:t>
      </w:r>
      <w:r w:rsidR="009A0847">
        <w:rPr>
          <w:color w:val="000000" w:themeColor="text1"/>
        </w:rPr>
        <w:t xml:space="preserve"> </w:t>
      </w:r>
      <w:r w:rsidR="00A078E3">
        <w:rPr>
          <w:color w:val="000000" w:themeColor="text1"/>
        </w:rPr>
        <w:t>an</w:t>
      </w:r>
      <w:r w:rsidR="009A0847">
        <w:rPr>
          <w:color w:val="000000" w:themeColor="text1"/>
        </w:rPr>
        <w:t xml:space="preserve"> </w:t>
      </w:r>
      <w:r w:rsidR="00FD648E">
        <w:rPr>
          <w:color w:val="000000" w:themeColor="text1"/>
        </w:rPr>
        <w:t>example</w:t>
      </w:r>
      <w:r w:rsidR="009A0847">
        <w:rPr>
          <w:color w:val="000000" w:themeColor="text1"/>
        </w:rPr>
        <w:t xml:space="preserve"> </w:t>
      </w:r>
      <w:r w:rsidR="00FD648E">
        <w:rPr>
          <w:color w:val="000000" w:themeColor="text1"/>
        </w:rPr>
        <w:t>by</w:t>
      </w:r>
      <w:r w:rsidR="009A0847">
        <w:rPr>
          <w:color w:val="000000" w:themeColor="text1"/>
        </w:rPr>
        <w:t xml:space="preserve"> </w:t>
      </w:r>
      <w:r w:rsidR="00FD648E">
        <w:rPr>
          <w:color w:val="000000" w:themeColor="text1"/>
        </w:rPr>
        <w:t>borrowing</w:t>
      </w:r>
      <w:r w:rsidR="009A0847">
        <w:rPr>
          <w:color w:val="000000" w:themeColor="text1"/>
        </w:rPr>
        <w:t xml:space="preserve"> </w:t>
      </w:r>
      <w:r w:rsidR="00FD648E">
        <w:rPr>
          <w:color w:val="000000" w:themeColor="text1"/>
        </w:rPr>
        <w:t>$500</w:t>
      </w:r>
      <w:r w:rsidR="009A0847">
        <w:rPr>
          <w:color w:val="000000" w:themeColor="text1"/>
        </w:rPr>
        <w:t xml:space="preserve"> </w:t>
      </w:r>
      <w:r w:rsidR="00FD648E">
        <w:rPr>
          <w:color w:val="000000" w:themeColor="text1"/>
        </w:rPr>
        <w:t>million</w:t>
      </w:r>
      <w:r w:rsidR="009A0847">
        <w:rPr>
          <w:color w:val="000000" w:themeColor="text1"/>
        </w:rPr>
        <w:t xml:space="preserve"> </w:t>
      </w:r>
      <w:r w:rsidR="00FD648E">
        <w:rPr>
          <w:color w:val="000000" w:themeColor="text1"/>
        </w:rPr>
        <w:t>each</w:t>
      </w:r>
      <w:r w:rsidR="009A0847">
        <w:rPr>
          <w:color w:val="000000" w:themeColor="text1"/>
        </w:rPr>
        <w:t xml:space="preserve"> </w:t>
      </w:r>
      <w:r w:rsidR="00FD648E">
        <w:rPr>
          <w:color w:val="000000" w:themeColor="text1"/>
        </w:rPr>
        <w:t>at</w:t>
      </w:r>
      <w:r w:rsidR="009A0847">
        <w:rPr>
          <w:color w:val="000000" w:themeColor="text1"/>
        </w:rPr>
        <w:t xml:space="preserve"> </w:t>
      </w:r>
      <w:r w:rsidR="00FD648E">
        <w:rPr>
          <w:color w:val="000000" w:themeColor="text1"/>
        </w:rPr>
        <w:t>the</w:t>
      </w:r>
      <w:r w:rsidR="009A0847">
        <w:rPr>
          <w:color w:val="000000" w:themeColor="text1"/>
        </w:rPr>
        <w:t xml:space="preserve"> </w:t>
      </w:r>
      <w:r w:rsidR="00FD648E">
        <w:rPr>
          <w:color w:val="000000" w:themeColor="text1"/>
        </w:rPr>
        <w:t>DW</w:t>
      </w:r>
      <w:r w:rsidR="009A0847">
        <w:rPr>
          <w:color w:val="000000" w:themeColor="text1"/>
        </w:rPr>
        <w:t xml:space="preserve"> </w:t>
      </w:r>
      <w:r w:rsidR="00FD648E" w:rsidRPr="00B37D3D">
        <w:rPr>
          <w:color w:val="000000" w:themeColor="text1"/>
        </w:rPr>
        <w:t>on</w:t>
      </w:r>
      <w:r w:rsidR="009A0847">
        <w:rPr>
          <w:color w:val="000000" w:themeColor="text1"/>
        </w:rPr>
        <w:t xml:space="preserve"> </w:t>
      </w:r>
      <w:r w:rsidR="00FD648E" w:rsidRPr="00B37D3D">
        <w:rPr>
          <w:color w:val="000000" w:themeColor="text1"/>
        </w:rPr>
        <w:t>August</w:t>
      </w:r>
      <w:r w:rsidR="009A0847">
        <w:rPr>
          <w:color w:val="000000" w:themeColor="text1"/>
        </w:rPr>
        <w:t xml:space="preserve"> </w:t>
      </w:r>
      <w:r w:rsidR="00FD648E" w:rsidRPr="00B37D3D">
        <w:rPr>
          <w:color w:val="000000" w:themeColor="text1"/>
        </w:rPr>
        <w:t>17,</w:t>
      </w:r>
      <w:r w:rsidR="009A0847">
        <w:rPr>
          <w:color w:val="000000" w:themeColor="text1"/>
        </w:rPr>
        <w:t xml:space="preserve"> </w:t>
      </w:r>
      <w:r w:rsidR="00FD648E" w:rsidRPr="00B37D3D">
        <w:rPr>
          <w:color w:val="000000" w:themeColor="text1"/>
        </w:rPr>
        <w:t>2007</w:t>
      </w:r>
      <w:r w:rsidR="00FD648E">
        <w:rPr>
          <w:color w:val="000000" w:themeColor="text1"/>
        </w:rPr>
        <w:t>.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These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policy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changes,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however,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generated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little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DW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borrowing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in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the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second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half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of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2007.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Stigma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was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believed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to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be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the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main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contributing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factor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to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the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persistent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reluctance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in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accessing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the</w:t>
      </w:r>
      <w:r w:rsidR="009A0847">
        <w:rPr>
          <w:color w:val="000000" w:themeColor="text1"/>
        </w:rPr>
        <w:t xml:space="preserve"> </w:t>
      </w:r>
      <w:r w:rsidRPr="00B37D3D">
        <w:rPr>
          <w:color w:val="000000" w:themeColor="text1"/>
        </w:rPr>
        <w:t>DW.</w:t>
      </w:r>
    </w:p>
    <w:p w14:paraId="4B172444" w14:textId="70EDA1E2" w:rsidR="00B37D3D" w:rsidRDefault="00D30720" w:rsidP="00464079">
      <w:pPr>
        <w:pStyle w:val="Olivier1"/>
        <w:widowControl w:val="0"/>
        <w:spacing w:line="240" w:lineRule="auto"/>
        <w:ind w:firstLine="360"/>
        <w:rPr>
          <w:rFonts w:eastAsiaTheme="minorEastAsia"/>
          <w:color w:val="000000" w:themeColor="text1"/>
        </w:rPr>
      </w:pPr>
      <w:r w:rsidRPr="00B37D3D">
        <w:rPr>
          <w:rFonts w:eastAsiaTheme="minorEastAsia"/>
          <w:color w:val="000000" w:themeColor="text1"/>
        </w:rPr>
        <w:t>In</w:t>
      </w:r>
      <w:r w:rsidR="009A0847">
        <w:rPr>
          <w:rFonts w:eastAsiaTheme="minorEastAsia"/>
          <w:color w:val="000000" w:themeColor="text1"/>
        </w:rPr>
        <w:t xml:space="preserve"> </w:t>
      </w:r>
      <w:r w:rsidRPr="00B37D3D">
        <w:rPr>
          <w:rFonts w:eastAsiaTheme="minorEastAsia"/>
          <w:color w:val="000000" w:themeColor="text1"/>
        </w:rPr>
        <w:t>response</w:t>
      </w:r>
      <w:r w:rsidR="009A0847">
        <w:rPr>
          <w:rFonts w:eastAsiaTheme="minorEastAsia"/>
          <w:color w:val="000000" w:themeColor="text1"/>
        </w:rPr>
        <w:t xml:space="preserve"> </w:t>
      </w:r>
      <w:r w:rsidRPr="00B37D3D">
        <w:rPr>
          <w:rFonts w:eastAsiaTheme="minorEastAsia"/>
          <w:color w:val="000000" w:themeColor="text1"/>
        </w:rPr>
        <w:t>to</w:t>
      </w:r>
      <w:r w:rsidR="009A0847">
        <w:rPr>
          <w:rFonts w:eastAsiaTheme="minorEastAsia"/>
          <w:color w:val="000000" w:themeColor="text1"/>
        </w:rPr>
        <w:t xml:space="preserve"> </w:t>
      </w:r>
      <w:r w:rsidRPr="00B37D3D">
        <w:rPr>
          <w:rFonts w:eastAsiaTheme="minorEastAsia"/>
          <w:color w:val="000000" w:themeColor="text1"/>
        </w:rPr>
        <w:t>persistently</w:t>
      </w:r>
      <w:r w:rsidR="009A0847">
        <w:rPr>
          <w:rFonts w:eastAsiaTheme="minorEastAsia"/>
          <w:color w:val="000000" w:themeColor="text1"/>
        </w:rPr>
        <w:t xml:space="preserve"> </w:t>
      </w:r>
      <w:r w:rsidRPr="00B37D3D">
        <w:rPr>
          <w:rFonts w:eastAsiaTheme="minorEastAsia"/>
          <w:color w:val="000000" w:themeColor="text1"/>
        </w:rPr>
        <w:t>adverse</w:t>
      </w:r>
      <w:r w:rsidR="009A0847">
        <w:rPr>
          <w:rFonts w:eastAsiaTheme="minorEastAsia"/>
          <w:color w:val="000000" w:themeColor="text1"/>
        </w:rPr>
        <w:t xml:space="preserve"> </w:t>
      </w:r>
      <w:r w:rsidRPr="00B37D3D">
        <w:rPr>
          <w:rFonts w:eastAsiaTheme="minorEastAsia"/>
          <w:color w:val="000000" w:themeColor="text1"/>
        </w:rPr>
        <w:t>liquidity</w:t>
      </w:r>
      <w:r w:rsidR="009A0847">
        <w:rPr>
          <w:rFonts w:eastAsiaTheme="minorEastAsia"/>
          <w:color w:val="000000" w:themeColor="text1"/>
        </w:rPr>
        <w:t xml:space="preserve"> </w:t>
      </w:r>
      <w:r w:rsidRPr="00B37D3D">
        <w:rPr>
          <w:rFonts w:eastAsiaTheme="minorEastAsia"/>
          <w:color w:val="000000" w:themeColor="text1"/>
        </w:rPr>
        <w:t>conditions</w:t>
      </w:r>
      <w:r w:rsidR="009A0847">
        <w:rPr>
          <w:rFonts w:eastAsiaTheme="minorEastAsia"/>
          <w:color w:val="000000" w:themeColor="text1"/>
        </w:rPr>
        <w:t xml:space="preserve"> </w:t>
      </w:r>
      <w:r w:rsidRPr="00B37D3D">
        <w:rPr>
          <w:rFonts w:eastAsiaTheme="minorEastAsia"/>
          <w:color w:val="000000" w:themeColor="text1"/>
        </w:rPr>
        <w:t>in</w:t>
      </w:r>
      <w:r w:rsidR="009A0847">
        <w:rPr>
          <w:rFonts w:eastAsiaTheme="minorEastAsia"/>
          <w:color w:val="000000" w:themeColor="text1"/>
        </w:rPr>
        <w:t xml:space="preserve"> </w:t>
      </w:r>
      <w:r w:rsidRPr="00B37D3D">
        <w:rPr>
          <w:rFonts w:eastAsiaTheme="minorEastAsia"/>
          <w:color w:val="000000" w:themeColor="text1"/>
        </w:rPr>
        <w:t>the</w:t>
      </w:r>
      <w:r w:rsidR="009A0847">
        <w:rPr>
          <w:rFonts w:eastAsiaTheme="minorEastAsia"/>
          <w:color w:val="000000" w:themeColor="text1"/>
        </w:rPr>
        <w:t xml:space="preserve"> </w:t>
      </w:r>
      <w:r w:rsidRPr="00B37D3D">
        <w:rPr>
          <w:rFonts w:eastAsiaTheme="minorEastAsia"/>
          <w:color w:val="000000" w:themeColor="text1"/>
        </w:rPr>
        <w:t>interbank</w:t>
      </w:r>
      <w:r w:rsidR="009A0847">
        <w:rPr>
          <w:rFonts w:eastAsiaTheme="minorEastAsia"/>
          <w:color w:val="000000" w:themeColor="text1"/>
        </w:rPr>
        <w:t xml:space="preserve"> </w:t>
      </w:r>
      <w:r w:rsidRPr="00B37D3D">
        <w:rPr>
          <w:rFonts w:eastAsiaTheme="minorEastAsia"/>
          <w:color w:val="000000" w:themeColor="text1"/>
        </w:rPr>
        <w:t>markets,</w:t>
      </w:r>
      <w:r w:rsidR="009A0847">
        <w:rPr>
          <w:rFonts w:eastAsiaTheme="minorEastAsia"/>
          <w:color w:val="000000" w:themeColor="text1"/>
        </w:rPr>
        <w:t xml:space="preserve"> </w:t>
      </w:r>
      <w:r w:rsidRPr="00B37D3D">
        <w:rPr>
          <w:rFonts w:eastAsiaTheme="minorEastAsia"/>
          <w:color w:val="000000" w:themeColor="text1"/>
        </w:rPr>
        <w:t>the</w:t>
      </w:r>
      <w:r w:rsidR="009A0847">
        <w:rPr>
          <w:rFonts w:eastAsiaTheme="minorEastAsia"/>
          <w:color w:val="000000" w:themeColor="text1"/>
        </w:rPr>
        <w:t xml:space="preserve"> </w:t>
      </w:r>
      <w:r w:rsidRPr="00B37D3D">
        <w:rPr>
          <w:rFonts w:eastAsiaTheme="minorEastAsia"/>
          <w:color w:val="000000" w:themeColor="text1"/>
        </w:rPr>
        <w:t>Fed</w:t>
      </w:r>
      <w:r w:rsidR="009A0847">
        <w:rPr>
          <w:rFonts w:eastAsiaTheme="minorEastAsia"/>
          <w:color w:val="000000" w:themeColor="text1"/>
        </w:rPr>
        <w:t xml:space="preserve"> </w:t>
      </w:r>
      <w:r w:rsidRPr="00B37D3D">
        <w:rPr>
          <w:rFonts w:eastAsiaTheme="minorEastAsia"/>
          <w:color w:val="000000" w:themeColor="text1"/>
        </w:rPr>
        <w:t>announced</w:t>
      </w:r>
      <w:r w:rsidR="009A0847">
        <w:rPr>
          <w:rFonts w:eastAsiaTheme="minorEastAsia"/>
          <w:color w:val="000000" w:themeColor="text1"/>
        </w:rPr>
        <w:t xml:space="preserve"> </w:t>
      </w:r>
      <w:r w:rsidRPr="00B37D3D">
        <w:rPr>
          <w:rFonts w:eastAsiaTheme="minorEastAsia"/>
          <w:color w:val="000000" w:themeColor="text1"/>
        </w:rPr>
        <w:t>the</w:t>
      </w:r>
      <w:r w:rsidR="009A0847">
        <w:rPr>
          <w:rFonts w:eastAsiaTheme="minorEastAsia"/>
          <w:color w:val="000000" w:themeColor="text1"/>
        </w:rPr>
        <w:t xml:space="preserve"> </w:t>
      </w:r>
      <w:r w:rsidRPr="00B37D3D">
        <w:rPr>
          <w:rFonts w:eastAsiaTheme="minorEastAsia"/>
          <w:color w:val="000000" w:themeColor="text1"/>
        </w:rPr>
        <w:t>creation</w:t>
      </w:r>
      <w:r w:rsidR="009A0847">
        <w:rPr>
          <w:rFonts w:eastAsiaTheme="minorEastAsia"/>
          <w:color w:val="000000" w:themeColor="text1"/>
        </w:rPr>
        <w:t xml:space="preserve"> </w:t>
      </w:r>
      <w:r w:rsidRPr="00B37D3D">
        <w:rPr>
          <w:rFonts w:eastAsiaTheme="minorEastAsia"/>
          <w:color w:val="000000" w:themeColor="text1"/>
        </w:rPr>
        <w:t>of</w:t>
      </w:r>
      <w:r w:rsidR="009A0847">
        <w:rPr>
          <w:rFonts w:eastAsiaTheme="minorEastAsia"/>
          <w:color w:val="000000" w:themeColor="text1"/>
        </w:rPr>
        <w:t xml:space="preserve"> </w:t>
      </w:r>
      <w:r w:rsidRPr="00B37D3D">
        <w:rPr>
          <w:rFonts w:eastAsiaTheme="minorEastAsia"/>
          <w:color w:val="000000" w:themeColor="text1"/>
        </w:rPr>
        <w:t>the</w:t>
      </w:r>
      <w:r w:rsidR="009A0847">
        <w:rPr>
          <w:rFonts w:eastAsiaTheme="minorEastAsia"/>
          <w:color w:val="000000" w:themeColor="text1"/>
        </w:rPr>
        <w:t xml:space="preserve"> </w:t>
      </w:r>
      <w:r w:rsidR="00FD648E">
        <w:rPr>
          <w:rFonts w:eastAsiaTheme="minorEastAsia"/>
          <w:color w:val="000000" w:themeColor="text1"/>
        </w:rPr>
        <w:t>Term</w:t>
      </w:r>
      <w:r w:rsidR="009A0847">
        <w:rPr>
          <w:rFonts w:eastAsiaTheme="minorEastAsia"/>
          <w:color w:val="000000" w:themeColor="text1"/>
        </w:rPr>
        <w:t xml:space="preserve"> </w:t>
      </w:r>
      <w:r w:rsidR="00FD648E">
        <w:rPr>
          <w:rFonts w:eastAsiaTheme="minorEastAsia"/>
          <w:color w:val="000000" w:themeColor="text1"/>
        </w:rPr>
        <w:t>Auction</w:t>
      </w:r>
      <w:r w:rsidR="009A0847">
        <w:rPr>
          <w:rFonts w:eastAsiaTheme="minorEastAsia"/>
          <w:color w:val="000000" w:themeColor="text1"/>
        </w:rPr>
        <w:t xml:space="preserve"> </w:t>
      </w:r>
      <w:r w:rsidR="00FD648E">
        <w:rPr>
          <w:rFonts w:eastAsiaTheme="minorEastAsia"/>
          <w:color w:val="000000" w:themeColor="text1"/>
        </w:rPr>
        <w:t>Facility</w:t>
      </w:r>
      <w:r w:rsidR="009A0847">
        <w:rPr>
          <w:rFonts w:eastAsiaTheme="minorEastAsia"/>
          <w:color w:val="000000" w:themeColor="text1"/>
        </w:rPr>
        <w:t xml:space="preserve"> </w:t>
      </w:r>
      <w:r w:rsidR="00FD648E">
        <w:rPr>
          <w:rFonts w:eastAsiaTheme="minorEastAsia"/>
          <w:color w:val="000000" w:themeColor="text1"/>
        </w:rPr>
        <w:t>(</w:t>
      </w:r>
      <w:r w:rsidRPr="00B37D3D">
        <w:rPr>
          <w:rFonts w:eastAsiaTheme="minorEastAsia"/>
          <w:color w:val="000000" w:themeColor="text1"/>
        </w:rPr>
        <w:t>TAF</w:t>
      </w:r>
      <w:r w:rsidR="00FD648E">
        <w:rPr>
          <w:rFonts w:eastAsiaTheme="minorEastAsia"/>
          <w:color w:val="000000" w:themeColor="text1"/>
        </w:rPr>
        <w:t>)</w:t>
      </w:r>
      <w:r w:rsidR="009A0847">
        <w:rPr>
          <w:rFonts w:eastAsiaTheme="minorEastAsia"/>
          <w:color w:val="000000" w:themeColor="text1"/>
        </w:rPr>
        <w:t xml:space="preserve"> </w:t>
      </w:r>
      <w:r w:rsidRPr="00B37D3D">
        <w:rPr>
          <w:rFonts w:eastAsiaTheme="minorEastAsia"/>
          <w:color w:val="000000" w:themeColor="text1"/>
        </w:rPr>
        <w:t>on</w:t>
      </w:r>
      <w:r w:rsidR="009A0847">
        <w:rPr>
          <w:rFonts w:eastAsiaTheme="minorEastAsia"/>
          <w:color w:val="000000" w:themeColor="text1"/>
        </w:rPr>
        <w:t xml:space="preserve"> </w:t>
      </w:r>
      <w:r w:rsidRPr="00B37D3D">
        <w:rPr>
          <w:rFonts w:eastAsiaTheme="minorEastAsia"/>
          <w:color w:val="000000" w:themeColor="text1"/>
        </w:rPr>
        <w:t>December</w:t>
      </w:r>
      <w:r w:rsidR="009A0847">
        <w:rPr>
          <w:rFonts w:eastAsiaTheme="minorEastAsia"/>
          <w:color w:val="000000" w:themeColor="text1"/>
        </w:rPr>
        <w:t xml:space="preserve"> </w:t>
      </w:r>
      <w:r w:rsidRPr="00B37D3D">
        <w:rPr>
          <w:rFonts w:eastAsiaTheme="minorEastAsia"/>
          <w:color w:val="000000" w:themeColor="text1"/>
        </w:rPr>
        <w:t>12,</w:t>
      </w:r>
      <w:r w:rsidR="009A0847">
        <w:rPr>
          <w:rFonts w:eastAsiaTheme="minorEastAsia"/>
          <w:color w:val="000000" w:themeColor="text1"/>
        </w:rPr>
        <w:t xml:space="preserve"> </w:t>
      </w:r>
      <w:r w:rsidRPr="00B37D3D">
        <w:rPr>
          <w:rFonts w:eastAsiaTheme="minorEastAsia"/>
          <w:color w:val="000000" w:themeColor="text1"/>
        </w:rPr>
        <w:t>2007.</w:t>
      </w:r>
      <w:r w:rsidR="009A0847">
        <w:rPr>
          <w:rFonts w:eastAsiaTheme="minorEastAsia"/>
          <w:color w:val="000000" w:themeColor="text1"/>
        </w:rPr>
        <w:t xml:space="preserve"> </w:t>
      </w:r>
      <w:r w:rsidRPr="00B37D3D">
        <w:rPr>
          <w:rFonts w:eastAsiaTheme="minorEastAsia"/>
          <w:color w:val="000000" w:themeColor="text1"/>
        </w:rPr>
        <w:t>The</w:t>
      </w:r>
      <w:r w:rsidR="009A0847">
        <w:rPr>
          <w:rFonts w:eastAsiaTheme="minorEastAsia"/>
          <w:color w:val="000000" w:themeColor="text1"/>
        </w:rPr>
        <w:t xml:space="preserve"> </w:t>
      </w:r>
      <w:r w:rsidRPr="00B37D3D">
        <w:rPr>
          <w:rFonts w:eastAsiaTheme="minorEastAsia"/>
          <w:color w:val="000000" w:themeColor="text1"/>
        </w:rPr>
        <w:t>TAF</w:t>
      </w:r>
      <w:r w:rsidR="009A0847">
        <w:rPr>
          <w:rFonts w:eastAsiaTheme="minorEastAsia"/>
          <w:color w:val="000000" w:themeColor="text1"/>
        </w:rPr>
        <w:t xml:space="preserve"> </w:t>
      </w:r>
      <w:r w:rsidRPr="00B37D3D">
        <w:rPr>
          <w:rFonts w:eastAsiaTheme="minorEastAsia"/>
          <w:color w:val="000000" w:themeColor="text1"/>
        </w:rPr>
        <w:t>was</w:t>
      </w:r>
      <w:r w:rsidR="009A0847">
        <w:rPr>
          <w:rFonts w:eastAsiaTheme="minorEastAsia"/>
          <w:color w:val="000000" w:themeColor="text1"/>
        </w:rPr>
        <w:t xml:space="preserve"> </w:t>
      </w:r>
      <w:r w:rsidRPr="00B37D3D">
        <w:rPr>
          <w:rFonts w:eastAsiaTheme="minorEastAsia"/>
          <w:color w:val="000000" w:themeColor="text1"/>
        </w:rPr>
        <w:t>designed</w:t>
      </w:r>
      <w:r w:rsidR="009A0847">
        <w:rPr>
          <w:rFonts w:eastAsiaTheme="minorEastAsia"/>
          <w:color w:val="000000" w:themeColor="text1"/>
        </w:rPr>
        <w:t xml:space="preserve"> </w:t>
      </w:r>
      <w:r w:rsidRPr="00B37D3D">
        <w:rPr>
          <w:rFonts w:eastAsiaTheme="minorEastAsia"/>
          <w:color w:val="000000" w:themeColor="text1"/>
        </w:rPr>
        <w:t>as</w:t>
      </w:r>
      <w:r w:rsidR="009A0847">
        <w:rPr>
          <w:rFonts w:eastAsiaTheme="minorEastAsia"/>
          <w:color w:val="000000" w:themeColor="text1"/>
        </w:rPr>
        <w:t xml:space="preserve"> </w:t>
      </w:r>
      <w:r w:rsidRPr="00B37D3D">
        <w:rPr>
          <w:rFonts w:eastAsiaTheme="minorEastAsia"/>
          <w:color w:val="000000" w:themeColor="text1"/>
        </w:rPr>
        <w:t>an</w:t>
      </w:r>
      <w:r w:rsidR="009A0847">
        <w:rPr>
          <w:rFonts w:eastAsiaTheme="minorEastAsia"/>
          <w:color w:val="000000" w:themeColor="text1"/>
        </w:rPr>
        <w:t xml:space="preserve"> </w:t>
      </w:r>
      <w:r w:rsidRPr="00B37D3D">
        <w:rPr>
          <w:rFonts w:eastAsiaTheme="minorEastAsia"/>
          <w:color w:val="000000" w:themeColor="text1"/>
        </w:rPr>
        <w:t>alternative</w:t>
      </w:r>
      <w:r w:rsidR="009A0847">
        <w:rPr>
          <w:rFonts w:eastAsiaTheme="minorEastAsia"/>
          <w:color w:val="000000" w:themeColor="text1"/>
        </w:rPr>
        <w:t xml:space="preserve"> </w:t>
      </w:r>
      <w:r w:rsidRPr="00B37D3D">
        <w:rPr>
          <w:rFonts w:eastAsiaTheme="minorEastAsia"/>
          <w:color w:val="000000" w:themeColor="text1"/>
        </w:rPr>
        <w:t>to</w:t>
      </w:r>
      <w:r w:rsidR="009A0847">
        <w:rPr>
          <w:rFonts w:eastAsiaTheme="minorEastAsia"/>
          <w:color w:val="000000" w:themeColor="text1"/>
        </w:rPr>
        <w:t xml:space="preserve"> </w:t>
      </w:r>
      <w:r w:rsidRPr="00B37D3D">
        <w:rPr>
          <w:rFonts w:eastAsiaTheme="minorEastAsia"/>
          <w:color w:val="000000" w:themeColor="text1"/>
        </w:rPr>
        <w:t>the</w:t>
      </w:r>
      <w:r w:rsidR="009A0847">
        <w:rPr>
          <w:rFonts w:eastAsiaTheme="minorEastAsia"/>
          <w:color w:val="000000" w:themeColor="text1"/>
        </w:rPr>
        <w:t xml:space="preserve"> </w:t>
      </w:r>
      <w:r w:rsidRPr="00B37D3D">
        <w:rPr>
          <w:rFonts w:eastAsiaTheme="minorEastAsia"/>
          <w:color w:val="000000" w:themeColor="text1"/>
        </w:rPr>
        <w:t>DW</w:t>
      </w:r>
      <w:r w:rsidR="009A0847">
        <w:rPr>
          <w:rFonts w:eastAsiaTheme="minorEastAsia"/>
          <w:color w:val="000000" w:themeColor="text1"/>
        </w:rPr>
        <w:t xml:space="preserve"> </w:t>
      </w:r>
      <w:r w:rsidRPr="00B37D3D">
        <w:rPr>
          <w:rFonts w:eastAsiaTheme="minorEastAsia"/>
          <w:color w:val="000000" w:themeColor="text1"/>
        </w:rPr>
        <w:t>to</w:t>
      </w:r>
      <w:r w:rsidR="009A0847">
        <w:rPr>
          <w:rFonts w:eastAsiaTheme="minorEastAsia"/>
          <w:color w:val="000000" w:themeColor="text1"/>
        </w:rPr>
        <w:t xml:space="preserve"> </w:t>
      </w:r>
      <w:r w:rsidRPr="00B37D3D">
        <w:rPr>
          <w:rFonts w:eastAsiaTheme="minorEastAsia"/>
          <w:color w:val="000000" w:themeColor="text1"/>
        </w:rPr>
        <w:t>provide</w:t>
      </w:r>
      <w:r w:rsidR="009A0847">
        <w:rPr>
          <w:rFonts w:eastAsiaTheme="minorEastAsia"/>
          <w:color w:val="000000" w:themeColor="text1"/>
        </w:rPr>
        <w:t xml:space="preserve"> </w:t>
      </w:r>
      <w:r w:rsidRPr="00B37D3D">
        <w:rPr>
          <w:rFonts w:eastAsiaTheme="minorEastAsia"/>
          <w:color w:val="000000" w:themeColor="text1"/>
        </w:rPr>
        <w:t>term</w:t>
      </w:r>
      <w:r w:rsidR="009A0847">
        <w:rPr>
          <w:rFonts w:eastAsiaTheme="minorEastAsia"/>
          <w:color w:val="000000" w:themeColor="text1"/>
        </w:rPr>
        <w:t xml:space="preserve"> </w:t>
      </w:r>
      <w:r w:rsidRPr="00B37D3D">
        <w:rPr>
          <w:rFonts w:eastAsiaTheme="minorEastAsia"/>
          <w:color w:val="000000" w:themeColor="text1"/>
        </w:rPr>
        <w:t>funding</w:t>
      </w:r>
      <w:r w:rsidR="009A0847">
        <w:rPr>
          <w:rFonts w:eastAsiaTheme="minorEastAsia"/>
          <w:color w:val="000000" w:themeColor="text1"/>
        </w:rPr>
        <w:t xml:space="preserve"> </w:t>
      </w:r>
      <w:r w:rsidRPr="00B37D3D">
        <w:rPr>
          <w:rFonts w:eastAsiaTheme="minorEastAsia"/>
          <w:color w:val="000000" w:themeColor="text1"/>
        </w:rPr>
        <w:t>with</w:t>
      </w:r>
      <w:r w:rsidR="009A0847">
        <w:rPr>
          <w:rFonts w:eastAsiaTheme="minorEastAsia"/>
          <w:color w:val="000000" w:themeColor="text1"/>
        </w:rPr>
        <w:t xml:space="preserve"> </w:t>
      </w:r>
      <w:r w:rsidRPr="00B37D3D">
        <w:rPr>
          <w:rFonts w:eastAsiaTheme="minorEastAsia"/>
          <w:color w:val="000000" w:themeColor="text1"/>
        </w:rPr>
        <w:t>a</w:t>
      </w:r>
      <w:r w:rsidR="009A0847">
        <w:rPr>
          <w:rFonts w:eastAsiaTheme="minorEastAsia"/>
          <w:color w:val="000000" w:themeColor="text1"/>
        </w:rPr>
        <w:t xml:space="preserve"> </w:t>
      </w:r>
      <w:r w:rsidRPr="00B37D3D">
        <w:rPr>
          <w:rFonts w:eastAsiaTheme="minorEastAsia"/>
          <w:color w:val="000000" w:themeColor="text1"/>
        </w:rPr>
        <w:t>primary</w:t>
      </w:r>
      <w:r w:rsidR="009A0847">
        <w:rPr>
          <w:rFonts w:eastAsiaTheme="minorEastAsia"/>
          <w:color w:val="000000" w:themeColor="text1"/>
        </w:rPr>
        <w:t xml:space="preserve"> </w:t>
      </w:r>
      <w:r w:rsidRPr="00B37D3D">
        <w:rPr>
          <w:rFonts w:eastAsiaTheme="minorEastAsia"/>
          <w:color w:val="000000" w:themeColor="text1"/>
        </w:rPr>
        <w:t>objective</w:t>
      </w:r>
      <w:r w:rsidR="009A0847">
        <w:rPr>
          <w:rFonts w:eastAsiaTheme="minorEastAsia"/>
          <w:color w:val="000000" w:themeColor="text1"/>
        </w:rPr>
        <w:t xml:space="preserve"> </w:t>
      </w:r>
      <w:r w:rsidRPr="00B37D3D">
        <w:rPr>
          <w:rFonts w:eastAsiaTheme="minorEastAsia"/>
          <w:color w:val="000000" w:themeColor="text1"/>
        </w:rPr>
        <w:t>of</w:t>
      </w:r>
      <w:r w:rsidR="009A0847">
        <w:rPr>
          <w:rFonts w:eastAsiaTheme="minorEastAsia"/>
          <w:color w:val="000000" w:themeColor="text1"/>
        </w:rPr>
        <w:t xml:space="preserve"> </w:t>
      </w:r>
      <w:r w:rsidRPr="00B37D3D">
        <w:rPr>
          <w:rFonts w:eastAsiaTheme="minorEastAsia"/>
          <w:color w:val="000000" w:themeColor="text1"/>
        </w:rPr>
        <w:t>eliminating</w:t>
      </w:r>
      <w:r w:rsidR="009A0847">
        <w:rPr>
          <w:rFonts w:eastAsiaTheme="minorEastAsia"/>
          <w:color w:val="000000" w:themeColor="text1"/>
        </w:rPr>
        <w:t xml:space="preserve"> </w:t>
      </w:r>
      <w:r w:rsidRPr="00B37D3D">
        <w:rPr>
          <w:rFonts w:eastAsiaTheme="minorEastAsia"/>
          <w:color w:val="000000" w:themeColor="text1"/>
        </w:rPr>
        <w:t>any</w:t>
      </w:r>
      <w:r w:rsidR="009A0847">
        <w:rPr>
          <w:rFonts w:eastAsiaTheme="minorEastAsia"/>
          <w:color w:val="000000" w:themeColor="text1"/>
        </w:rPr>
        <w:t xml:space="preserve"> </w:t>
      </w:r>
      <w:r w:rsidRPr="00B37D3D">
        <w:rPr>
          <w:rFonts w:eastAsiaTheme="minorEastAsia"/>
          <w:color w:val="000000" w:themeColor="text1"/>
        </w:rPr>
        <w:t>perception</w:t>
      </w:r>
      <w:r w:rsidR="009A0847">
        <w:rPr>
          <w:rFonts w:eastAsiaTheme="minorEastAsia"/>
          <w:color w:val="000000" w:themeColor="text1"/>
        </w:rPr>
        <w:t xml:space="preserve"> </w:t>
      </w:r>
      <w:r w:rsidRPr="00B37D3D">
        <w:rPr>
          <w:rFonts w:eastAsiaTheme="minorEastAsia"/>
          <w:color w:val="000000" w:themeColor="text1"/>
        </w:rPr>
        <w:t>of</w:t>
      </w:r>
      <w:r w:rsidR="009A0847">
        <w:rPr>
          <w:rFonts w:eastAsiaTheme="minorEastAsia"/>
          <w:color w:val="000000" w:themeColor="text1"/>
        </w:rPr>
        <w:t xml:space="preserve"> </w:t>
      </w:r>
      <w:r w:rsidRPr="00B37D3D">
        <w:rPr>
          <w:rFonts w:eastAsiaTheme="minorEastAsia"/>
          <w:color w:val="000000" w:themeColor="text1"/>
        </w:rPr>
        <w:t>stigma</w:t>
      </w:r>
      <w:r w:rsidR="009A0847">
        <w:rPr>
          <w:rFonts w:eastAsiaTheme="minorEastAsia"/>
          <w:color w:val="000000" w:themeColor="text1"/>
        </w:rPr>
        <w:t xml:space="preserve"> </w:t>
      </w:r>
      <w:r w:rsidRPr="00B37D3D">
        <w:rPr>
          <w:rFonts w:eastAsiaTheme="minorEastAsia"/>
          <w:color w:val="000000" w:themeColor="text1"/>
        </w:rPr>
        <w:t>attached</w:t>
      </w:r>
      <w:r w:rsidR="009A0847">
        <w:rPr>
          <w:rFonts w:eastAsiaTheme="minorEastAsia"/>
          <w:color w:val="000000" w:themeColor="text1"/>
        </w:rPr>
        <w:t xml:space="preserve"> </w:t>
      </w:r>
      <w:r w:rsidRPr="00B37D3D">
        <w:rPr>
          <w:rFonts w:eastAsiaTheme="minorEastAsia"/>
          <w:color w:val="000000" w:themeColor="text1"/>
        </w:rPr>
        <w:t>to</w:t>
      </w:r>
      <w:r w:rsidR="009A0847">
        <w:rPr>
          <w:rFonts w:eastAsiaTheme="minorEastAsia"/>
          <w:color w:val="000000" w:themeColor="text1"/>
        </w:rPr>
        <w:t xml:space="preserve"> </w:t>
      </w:r>
      <w:r w:rsidRPr="00B37D3D">
        <w:rPr>
          <w:rFonts w:eastAsiaTheme="minorEastAsia"/>
          <w:color w:val="000000" w:themeColor="text1"/>
        </w:rPr>
        <w:t>borrowing</w:t>
      </w:r>
      <w:r w:rsidR="009A0847">
        <w:rPr>
          <w:rFonts w:eastAsiaTheme="minorEastAsia"/>
          <w:color w:val="000000" w:themeColor="text1"/>
        </w:rPr>
        <w:t xml:space="preserve"> </w:t>
      </w:r>
      <w:r w:rsidRPr="00B37D3D">
        <w:rPr>
          <w:rFonts w:eastAsiaTheme="minorEastAsia"/>
          <w:color w:val="000000" w:themeColor="text1"/>
        </w:rPr>
        <w:t>from</w:t>
      </w:r>
      <w:r w:rsidR="009A0847">
        <w:rPr>
          <w:rFonts w:eastAsiaTheme="minorEastAsia"/>
          <w:color w:val="000000" w:themeColor="text1"/>
        </w:rPr>
        <w:t xml:space="preserve"> </w:t>
      </w:r>
      <w:r w:rsidRPr="00B37D3D">
        <w:rPr>
          <w:rFonts w:eastAsiaTheme="minorEastAsia"/>
          <w:color w:val="000000" w:themeColor="text1"/>
        </w:rPr>
        <w:t>the</w:t>
      </w:r>
      <w:r w:rsidR="009A0847">
        <w:rPr>
          <w:rFonts w:eastAsiaTheme="minorEastAsia"/>
          <w:color w:val="000000" w:themeColor="text1"/>
        </w:rPr>
        <w:t xml:space="preserve"> </w:t>
      </w:r>
      <w:r w:rsidRPr="00B37D3D">
        <w:rPr>
          <w:rFonts w:eastAsiaTheme="minorEastAsia"/>
          <w:color w:val="000000" w:themeColor="text1"/>
        </w:rPr>
        <w:t>DW.</w:t>
      </w:r>
      <w:r w:rsidR="009A0847">
        <w:rPr>
          <w:rFonts w:eastAsiaTheme="minorEastAsia"/>
          <w:color w:val="000000" w:themeColor="text1"/>
        </w:rPr>
        <w:t xml:space="preserve"> </w:t>
      </w:r>
      <w:r w:rsidRPr="00B37D3D">
        <w:rPr>
          <w:rFonts w:eastAsiaTheme="minorEastAsia"/>
          <w:color w:val="000000" w:themeColor="text1"/>
        </w:rPr>
        <w:t>A</w:t>
      </w:r>
      <w:r w:rsidR="009A0847">
        <w:rPr>
          <w:rFonts w:eastAsiaTheme="minorEastAsia"/>
          <w:color w:val="000000" w:themeColor="text1"/>
        </w:rPr>
        <w:t xml:space="preserve"> </w:t>
      </w:r>
      <w:r w:rsidRPr="00B37D3D">
        <w:rPr>
          <w:rFonts w:eastAsiaTheme="minorEastAsia"/>
          <w:color w:val="000000" w:themeColor="text1"/>
        </w:rPr>
        <w:t>total</w:t>
      </w:r>
      <w:r w:rsidR="009A0847">
        <w:rPr>
          <w:rFonts w:eastAsiaTheme="minorEastAsia"/>
          <w:color w:val="000000" w:themeColor="text1"/>
        </w:rPr>
        <w:t xml:space="preserve"> </w:t>
      </w:r>
      <w:r w:rsidRPr="00B37D3D">
        <w:rPr>
          <w:rFonts w:eastAsiaTheme="minorEastAsia"/>
          <w:color w:val="000000" w:themeColor="text1"/>
        </w:rPr>
        <w:t>of</w:t>
      </w:r>
      <w:r w:rsidR="009A0847">
        <w:rPr>
          <w:rFonts w:eastAsiaTheme="minorEastAsia"/>
          <w:color w:val="000000" w:themeColor="text1"/>
        </w:rPr>
        <w:t xml:space="preserve"> </w:t>
      </w:r>
      <w:r w:rsidRPr="00B37D3D">
        <w:rPr>
          <w:rFonts w:eastAsiaTheme="minorEastAsia"/>
          <w:color w:val="000000" w:themeColor="text1"/>
        </w:rPr>
        <w:t>60</w:t>
      </w:r>
      <w:r w:rsidR="009A0847">
        <w:rPr>
          <w:rFonts w:eastAsiaTheme="minorEastAsia"/>
          <w:color w:val="000000" w:themeColor="text1"/>
        </w:rPr>
        <w:t xml:space="preserve"> </w:t>
      </w:r>
      <w:r w:rsidRPr="00B37D3D">
        <w:rPr>
          <w:rFonts w:eastAsiaTheme="minorEastAsia"/>
          <w:color w:val="000000" w:themeColor="text1"/>
        </w:rPr>
        <w:t>TAF</w:t>
      </w:r>
      <w:r w:rsidR="009A0847">
        <w:rPr>
          <w:rFonts w:eastAsiaTheme="minorEastAsia"/>
          <w:color w:val="000000" w:themeColor="text1"/>
        </w:rPr>
        <w:t xml:space="preserve"> </w:t>
      </w:r>
      <w:r w:rsidRPr="00B37D3D">
        <w:rPr>
          <w:rFonts w:eastAsiaTheme="minorEastAsia"/>
          <w:color w:val="000000" w:themeColor="text1"/>
        </w:rPr>
        <w:t>auctions</w:t>
      </w:r>
      <w:r w:rsidR="009A0847">
        <w:rPr>
          <w:rFonts w:eastAsiaTheme="minorEastAsia"/>
          <w:color w:val="000000" w:themeColor="text1"/>
        </w:rPr>
        <w:t xml:space="preserve"> </w:t>
      </w:r>
      <w:r w:rsidRPr="00B37D3D">
        <w:rPr>
          <w:rFonts w:eastAsiaTheme="minorEastAsia"/>
          <w:color w:val="000000" w:themeColor="text1"/>
        </w:rPr>
        <w:t>were</w:t>
      </w:r>
      <w:r w:rsidR="009A0847">
        <w:rPr>
          <w:rFonts w:eastAsiaTheme="minorEastAsia"/>
          <w:color w:val="000000" w:themeColor="text1"/>
        </w:rPr>
        <w:t xml:space="preserve"> </w:t>
      </w:r>
      <w:r w:rsidRPr="00B37D3D">
        <w:rPr>
          <w:rFonts w:eastAsiaTheme="minorEastAsia"/>
          <w:color w:val="000000" w:themeColor="text1"/>
        </w:rPr>
        <w:t>conducted</w:t>
      </w:r>
      <w:r w:rsidR="009A0847">
        <w:rPr>
          <w:rFonts w:eastAsiaTheme="minorEastAsia"/>
          <w:color w:val="000000" w:themeColor="text1"/>
        </w:rPr>
        <w:t xml:space="preserve"> </w:t>
      </w:r>
      <w:r w:rsidRPr="00B37D3D">
        <w:rPr>
          <w:rFonts w:eastAsiaTheme="minorEastAsia"/>
          <w:color w:val="000000" w:themeColor="text1"/>
        </w:rPr>
        <w:t>every</w:t>
      </w:r>
      <w:r w:rsidR="009A0847">
        <w:rPr>
          <w:rFonts w:eastAsiaTheme="minorEastAsia"/>
          <w:color w:val="000000" w:themeColor="text1"/>
        </w:rPr>
        <w:t xml:space="preserve"> </w:t>
      </w:r>
      <w:r w:rsidRPr="00B37D3D">
        <w:rPr>
          <w:rFonts w:eastAsiaTheme="minorEastAsia"/>
          <w:color w:val="000000" w:themeColor="text1"/>
        </w:rPr>
        <w:t>two</w:t>
      </w:r>
      <w:r w:rsidR="009A0847">
        <w:rPr>
          <w:rFonts w:eastAsiaTheme="minorEastAsia"/>
          <w:color w:val="000000" w:themeColor="text1"/>
        </w:rPr>
        <w:t xml:space="preserve"> </w:t>
      </w:r>
      <w:r w:rsidRPr="00B37D3D">
        <w:rPr>
          <w:rFonts w:eastAsiaTheme="minorEastAsia"/>
          <w:color w:val="000000" w:themeColor="text1"/>
        </w:rPr>
        <w:t>weeks</w:t>
      </w:r>
      <w:r w:rsidR="009A0847">
        <w:rPr>
          <w:rFonts w:eastAsiaTheme="minorEastAsia"/>
          <w:color w:val="000000" w:themeColor="text1"/>
        </w:rPr>
        <w:t xml:space="preserve"> </w:t>
      </w:r>
      <w:r w:rsidRPr="00B37D3D">
        <w:rPr>
          <w:rFonts w:eastAsiaTheme="minorEastAsia"/>
          <w:color w:val="000000" w:themeColor="text1"/>
        </w:rPr>
        <w:t>between</w:t>
      </w:r>
      <w:r w:rsidR="009A0847">
        <w:rPr>
          <w:rFonts w:eastAsiaTheme="minorEastAsia"/>
          <w:color w:val="000000" w:themeColor="text1"/>
        </w:rPr>
        <w:t xml:space="preserve"> </w:t>
      </w:r>
      <w:r w:rsidRPr="00B37D3D">
        <w:rPr>
          <w:rFonts w:eastAsiaTheme="minorEastAsia"/>
          <w:color w:val="000000" w:themeColor="text1"/>
        </w:rPr>
        <w:t>December</w:t>
      </w:r>
      <w:r w:rsidR="009A0847">
        <w:rPr>
          <w:rFonts w:eastAsiaTheme="minorEastAsia"/>
          <w:color w:val="000000" w:themeColor="text1"/>
        </w:rPr>
        <w:t xml:space="preserve"> </w:t>
      </w:r>
      <w:r w:rsidRPr="00B37D3D">
        <w:rPr>
          <w:rFonts w:eastAsiaTheme="minorEastAsia"/>
          <w:color w:val="000000" w:themeColor="text1"/>
        </w:rPr>
        <w:t>17,</w:t>
      </w:r>
      <w:r w:rsidR="009A0847">
        <w:rPr>
          <w:rFonts w:eastAsiaTheme="minorEastAsia"/>
          <w:color w:val="000000" w:themeColor="text1"/>
        </w:rPr>
        <w:t xml:space="preserve"> </w:t>
      </w:r>
      <w:r w:rsidRPr="00B37D3D">
        <w:rPr>
          <w:rFonts w:eastAsiaTheme="minorEastAsia"/>
          <w:color w:val="000000" w:themeColor="text1"/>
        </w:rPr>
        <w:t>2007</w:t>
      </w:r>
      <w:r w:rsidR="009A0847">
        <w:rPr>
          <w:rFonts w:eastAsiaTheme="minorEastAsia"/>
          <w:color w:val="000000" w:themeColor="text1"/>
        </w:rPr>
        <w:t xml:space="preserve"> </w:t>
      </w:r>
      <w:r w:rsidRPr="00B37D3D">
        <w:rPr>
          <w:rFonts w:eastAsiaTheme="minorEastAsia"/>
          <w:color w:val="000000" w:themeColor="text1"/>
        </w:rPr>
        <w:t>and</w:t>
      </w:r>
      <w:r w:rsidR="009A0847">
        <w:rPr>
          <w:rFonts w:eastAsiaTheme="minorEastAsia"/>
          <w:color w:val="000000" w:themeColor="text1"/>
        </w:rPr>
        <w:t xml:space="preserve"> </w:t>
      </w:r>
      <w:r w:rsidRPr="00B37D3D">
        <w:rPr>
          <w:rFonts w:eastAsiaTheme="minorEastAsia"/>
          <w:color w:val="000000" w:themeColor="text1"/>
        </w:rPr>
        <w:t>March</w:t>
      </w:r>
      <w:r w:rsidR="009A0847">
        <w:rPr>
          <w:rFonts w:eastAsiaTheme="minorEastAsia"/>
          <w:color w:val="000000" w:themeColor="text1"/>
        </w:rPr>
        <w:t xml:space="preserve"> </w:t>
      </w:r>
      <w:r w:rsidRPr="00B37D3D">
        <w:rPr>
          <w:rFonts w:eastAsiaTheme="minorEastAsia"/>
          <w:color w:val="000000" w:themeColor="text1"/>
        </w:rPr>
        <w:t>8,</w:t>
      </w:r>
      <w:r w:rsidR="009A0847">
        <w:rPr>
          <w:rFonts w:eastAsiaTheme="minorEastAsia"/>
          <w:color w:val="000000" w:themeColor="text1"/>
        </w:rPr>
        <w:t xml:space="preserve"> </w:t>
      </w:r>
      <w:r w:rsidRPr="00B37D3D">
        <w:rPr>
          <w:rFonts w:eastAsiaTheme="minorEastAsia"/>
          <w:color w:val="000000" w:themeColor="text1"/>
        </w:rPr>
        <w:t>2010</w:t>
      </w:r>
      <w:r w:rsidR="009A0847">
        <w:rPr>
          <w:rFonts w:eastAsiaTheme="minorEastAsia"/>
          <w:color w:val="000000" w:themeColor="text1"/>
        </w:rPr>
        <w:t xml:space="preserve"> </w:t>
      </w:r>
      <w:r w:rsidRPr="00B37D3D">
        <w:rPr>
          <w:rFonts w:eastAsiaTheme="minorEastAsia"/>
          <w:color w:val="000000" w:themeColor="text1"/>
        </w:rPr>
        <w:t>when</w:t>
      </w:r>
      <w:r w:rsidR="009A0847">
        <w:rPr>
          <w:rFonts w:eastAsiaTheme="minorEastAsia"/>
          <w:color w:val="000000" w:themeColor="text1"/>
        </w:rPr>
        <w:t xml:space="preserve"> </w:t>
      </w:r>
      <w:r w:rsidRPr="00B37D3D">
        <w:rPr>
          <w:rFonts w:eastAsiaTheme="minorEastAsia"/>
          <w:color w:val="000000" w:themeColor="text1"/>
        </w:rPr>
        <w:t>the</w:t>
      </w:r>
      <w:r w:rsidR="009A0847">
        <w:rPr>
          <w:rFonts w:eastAsiaTheme="minorEastAsia"/>
          <w:color w:val="000000" w:themeColor="text1"/>
        </w:rPr>
        <w:t xml:space="preserve"> </w:t>
      </w:r>
      <w:r w:rsidRPr="00B37D3D">
        <w:rPr>
          <w:rFonts w:eastAsiaTheme="minorEastAsia"/>
          <w:color w:val="000000" w:themeColor="text1"/>
        </w:rPr>
        <w:t>TAF</w:t>
      </w:r>
      <w:r w:rsidR="009A0847">
        <w:rPr>
          <w:rFonts w:eastAsiaTheme="minorEastAsia"/>
          <w:color w:val="000000" w:themeColor="text1"/>
        </w:rPr>
        <w:t xml:space="preserve"> </w:t>
      </w:r>
      <w:r w:rsidRPr="00B37D3D">
        <w:rPr>
          <w:rFonts w:eastAsiaTheme="minorEastAsia"/>
          <w:color w:val="000000" w:themeColor="text1"/>
        </w:rPr>
        <w:t>program</w:t>
      </w:r>
      <w:r w:rsidR="009A0847">
        <w:rPr>
          <w:rFonts w:eastAsiaTheme="minorEastAsia"/>
          <w:color w:val="000000" w:themeColor="text1"/>
        </w:rPr>
        <w:t xml:space="preserve"> </w:t>
      </w:r>
      <w:r w:rsidRPr="00B37D3D">
        <w:rPr>
          <w:rFonts w:eastAsiaTheme="minorEastAsia"/>
          <w:color w:val="000000" w:themeColor="text1"/>
        </w:rPr>
        <w:t>was</w:t>
      </w:r>
      <w:r w:rsidR="009A0847">
        <w:rPr>
          <w:rFonts w:eastAsiaTheme="minorEastAsia"/>
          <w:color w:val="000000" w:themeColor="text1"/>
        </w:rPr>
        <w:t xml:space="preserve"> </w:t>
      </w:r>
      <w:r w:rsidRPr="00B37D3D">
        <w:rPr>
          <w:rFonts w:eastAsiaTheme="minorEastAsia"/>
          <w:color w:val="000000" w:themeColor="text1"/>
        </w:rPr>
        <w:t>terminated.</w:t>
      </w:r>
      <w:r w:rsidR="009A0847">
        <w:rPr>
          <w:rFonts w:eastAsiaTheme="minorEastAsia"/>
          <w:color w:val="000000" w:themeColor="text1"/>
        </w:rPr>
        <w:t xml:space="preserve"> </w:t>
      </w:r>
      <w:r w:rsidRPr="00B37D3D">
        <w:rPr>
          <w:rFonts w:eastAsiaTheme="minorEastAsia"/>
          <w:color w:val="000000" w:themeColor="text1"/>
        </w:rPr>
        <w:t>Funding</w:t>
      </w:r>
      <w:r w:rsidR="009A0847">
        <w:rPr>
          <w:rFonts w:eastAsiaTheme="minorEastAsia"/>
          <w:color w:val="000000" w:themeColor="text1"/>
        </w:rPr>
        <w:t xml:space="preserve"> </w:t>
      </w:r>
      <w:r w:rsidRPr="00B37D3D">
        <w:rPr>
          <w:rFonts w:eastAsiaTheme="minorEastAsia"/>
          <w:color w:val="000000" w:themeColor="text1"/>
        </w:rPr>
        <w:t>was</w:t>
      </w:r>
      <w:r w:rsidR="009A0847">
        <w:rPr>
          <w:rFonts w:eastAsiaTheme="minorEastAsia"/>
          <w:color w:val="000000" w:themeColor="text1"/>
        </w:rPr>
        <w:t xml:space="preserve"> </w:t>
      </w:r>
      <w:r w:rsidRPr="00B37D3D">
        <w:rPr>
          <w:rFonts w:eastAsiaTheme="minorEastAsia"/>
          <w:color w:val="000000" w:themeColor="text1"/>
        </w:rPr>
        <w:t>offered</w:t>
      </w:r>
      <w:r w:rsidR="009A0847">
        <w:rPr>
          <w:rFonts w:eastAsiaTheme="minorEastAsia"/>
          <w:color w:val="000000" w:themeColor="text1"/>
        </w:rPr>
        <w:t xml:space="preserve"> </w:t>
      </w:r>
      <w:r w:rsidRPr="00B37D3D">
        <w:rPr>
          <w:rFonts w:eastAsiaTheme="minorEastAsia"/>
          <w:color w:val="000000" w:themeColor="text1"/>
        </w:rPr>
        <w:t>against</w:t>
      </w:r>
      <w:r w:rsidR="009A0847">
        <w:rPr>
          <w:rFonts w:eastAsiaTheme="minorEastAsia"/>
          <w:color w:val="000000" w:themeColor="text1"/>
        </w:rPr>
        <w:t xml:space="preserve"> </w:t>
      </w:r>
      <w:r w:rsidRPr="00B37D3D">
        <w:rPr>
          <w:rFonts w:eastAsiaTheme="minorEastAsia"/>
          <w:color w:val="000000" w:themeColor="text1"/>
        </w:rPr>
        <w:t>the</w:t>
      </w:r>
      <w:r w:rsidR="009A0847">
        <w:rPr>
          <w:rFonts w:eastAsiaTheme="minorEastAsia"/>
          <w:color w:val="000000" w:themeColor="text1"/>
        </w:rPr>
        <w:t xml:space="preserve"> </w:t>
      </w:r>
      <w:r w:rsidRPr="00B37D3D">
        <w:rPr>
          <w:rFonts w:eastAsiaTheme="minorEastAsia"/>
          <w:color w:val="000000" w:themeColor="text1"/>
        </w:rPr>
        <w:t>same</w:t>
      </w:r>
      <w:r w:rsidR="009A0847">
        <w:rPr>
          <w:rFonts w:eastAsiaTheme="minorEastAsia"/>
          <w:color w:val="000000" w:themeColor="text1"/>
        </w:rPr>
        <w:t xml:space="preserve"> </w:t>
      </w:r>
      <w:r w:rsidRPr="00B37D3D">
        <w:rPr>
          <w:rFonts w:eastAsiaTheme="minorEastAsia"/>
          <w:color w:val="000000" w:themeColor="text1"/>
        </w:rPr>
        <w:t>terms</w:t>
      </w:r>
      <w:r w:rsidR="009A0847">
        <w:rPr>
          <w:rFonts w:eastAsiaTheme="minorEastAsia"/>
          <w:color w:val="000000" w:themeColor="text1"/>
        </w:rPr>
        <w:t xml:space="preserve"> </w:t>
      </w:r>
      <w:r w:rsidRPr="00B37D3D">
        <w:rPr>
          <w:rFonts w:eastAsiaTheme="minorEastAsia"/>
          <w:color w:val="000000" w:themeColor="text1"/>
        </w:rPr>
        <w:t>at</w:t>
      </w:r>
      <w:r w:rsidR="009A0847">
        <w:rPr>
          <w:rFonts w:eastAsiaTheme="minorEastAsia"/>
          <w:color w:val="000000" w:themeColor="text1"/>
        </w:rPr>
        <w:t xml:space="preserve"> </w:t>
      </w:r>
      <w:r w:rsidRPr="00B37D3D">
        <w:rPr>
          <w:rFonts w:eastAsiaTheme="minorEastAsia"/>
          <w:color w:val="000000" w:themeColor="text1"/>
        </w:rPr>
        <w:t>the</w:t>
      </w:r>
      <w:r w:rsidR="009A0847">
        <w:rPr>
          <w:rFonts w:eastAsiaTheme="minorEastAsia"/>
          <w:color w:val="000000" w:themeColor="text1"/>
        </w:rPr>
        <w:t xml:space="preserve"> </w:t>
      </w:r>
      <w:r w:rsidRPr="00B37D3D">
        <w:rPr>
          <w:rFonts w:eastAsiaTheme="minorEastAsia"/>
          <w:color w:val="000000" w:themeColor="text1"/>
        </w:rPr>
        <w:t>DW</w:t>
      </w:r>
      <w:r w:rsidR="009A0847">
        <w:rPr>
          <w:rFonts w:eastAsiaTheme="minorEastAsia"/>
          <w:color w:val="000000" w:themeColor="text1"/>
        </w:rPr>
        <w:t xml:space="preserve"> </w:t>
      </w:r>
      <w:r w:rsidRPr="00B37D3D">
        <w:rPr>
          <w:rFonts w:eastAsiaTheme="minorEastAsia"/>
          <w:color w:val="000000" w:themeColor="text1"/>
        </w:rPr>
        <w:t>and</w:t>
      </w:r>
      <w:r w:rsidR="009A0847">
        <w:rPr>
          <w:rFonts w:eastAsiaTheme="minorEastAsia"/>
          <w:color w:val="000000" w:themeColor="text1"/>
        </w:rPr>
        <w:t xml:space="preserve"> </w:t>
      </w:r>
      <w:r w:rsidRPr="00B37D3D">
        <w:rPr>
          <w:rFonts w:eastAsiaTheme="minorEastAsia"/>
          <w:color w:val="000000" w:themeColor="text1"/>
        </w:rPr>
        <w:t>at</w:t>
      </w:r>
      <w:r w:rsidR="009A0847">
        <w:rPr>
          <w:rFonts w:eastAsiaTheme="minorEastAsia"/>
          <w:color w:val="000000" w:themeColor="text1"/>
        </w:rPr>
        <w:t xml:space="preserve"> </w:t>
      </w:r>
      <w:r w:rsidRPr="00B37D3D">
        <w:rPr>
          <w:rFonts w:eastAsiaTheme="minorEastAsia"/>
          <w:color w:val="000000" w:themeColor="text1"/>
        </w:rPr>
        <w:t>the</w:t>
      </w:r>
      <w:r w:rsidR="009A0847">
        <w:rPr>
          <w:rFonts w:eastAsiaTheme="minorEastAsia"/>
          <w:color w:val="000000" w:themeColor="text1"/>
        </w:rPr>
        <w:t xml:space="preserve"> </w:t>
      </w:r>
      <w:r w:rsidRPr="00B37D3D">
        <w:rPr>
          <w:rFonts w:eastAsiaTheme="minorEastAsia"/>
          <w:color w:val="000000" w:themeColor="text1"/>
        </w:rPr>
        <w:t>TAF</w:t>
      </w:r>
      <w:r w:rsidR="009A0847">
        <w:rPr>
          <w:rFonts w:eastAsiaTheme="minorEastAsia"/>
          <w:color w:val="000000" w:themeColor="text1"/>
        </w:rPr>
        <w:t xml:space="preserve"> </w:t>
      </w:r>
      <w:r w:rsidRPr="00B37D3D">
        <w:rPr>
          <w:rFonts w:eastAsiaTheme="minorEastAsia"/>
          <w:color w:val="000000" w:themeColor="text1"/>
        </w:rPr>
        <w:t>(i.e.</w:t>
      </w:r>
      <w:r w:rsidR="009A0847">
        <w:rPr>
          <w:rFonts w:eastAsiaTheme="minorEastAsia"/>
          <w:color w:val="000000" w:themeColor="text1"/>
        </w:rPr>
        <w:t xml:space="preserve"> </w:t>
      </w:r>
      <w:r w:rsidRPr="00B37D3D">
        <w:rPr>
          <w:rFonts w:eastAsiaTheme="minorEastAsia"/>
          <w:color w:val="000000" w:themeColor="text1"/>
        </w:rPr>
        <w:t>same</w:t>
      </w:r>
      <w:r w:rsidR="009A0847">
        <w:rPr>
          <w:rFonts w:eastAsiaTheme="minorEastAsia"/>
          <w:color w:val="000000" w:themeColor="text1"/>
        </w:rPr>
        <w:t xml:space="preserve"> </w:t>
      </w:r>
      <w:r w:rsidR="00FD648E">
        <w:rPr>
          <w:rFonts w:eastAsiaTheme="minorEastAsia"/>
          <w:color w:val="000000" w:themeColor="text1"/>
        </w:rPr>
        <w:t>maturity,</w:t>
      </w:r>
      <w:r w:rsidR="009A0847">
        <w:rPr>
          <w:rFonts w:eastAsiaTheme="minorEastAsia"/>
          <w:color w:val="000000" w:themeColor="text1"/>
        </w:rPr>
        <w:t xml:space="preserve"> </w:t>
      </w:r>
      <w:r w:rsidRPr="00B37D3D">
        <w:rPr>
          <w:rFonts w:eastAsiaTheme="minorEastAsia"/>
          <w:color w:val="000000" w:themeColor="text1"/>
        </w:rPr>
        <w:t>collateral,</w:t>
      </w:r>
      <w:r w:rsidR="009A0847">
        <w:rPr>
          <w:rFonts w:eastAsiaTheme="minorEastAsia"/>
          <w:color w:val="000000" w:themeColor="text1"/>
        </w:rPr>
        <w:t xml:space="preserve"> </w:t>
      </w:r>
      <w:r w:rsidRPr="00B37D3D">
        <w:rPr>
          <w:rFonts w:eastAsiaTheme="minorEastAsia"/>
          <w:color w:val="000000" w:themeColor="text1"/>
        </w:rPr>
        <w:t>haircut</w:t>
      </w:r>
      <w:r w:rsidR="009A0847">
        <w:rPr>
          <w:rFonts w:eastAsiaTheme="minorEastAsia"/>
          <w:color w:val="000000" w:themeColor="text1"/>
        </w:rPr>
        <w:t xml:space="preserve"> </w:t>
      </w:r>
      <w:r w:rsidRPr="00B37D3D">
        <w:rPr>
          <w:rFonts w:eastAsiaTheme="minorEastAsia"/>
          <w:color w:val="000000" w:themeColor="text1"/>
        </w:rPr>
        <w:t>calculations</w:t>
      </w:r>
      <w:r w:rsidR="00B37D3D" w:rsidRPr="00B37D3D">
        <w:rPr>
          <w:rFonts w:eastAsiaTheme="minorEastAsia"/>
          <w:color w:val="000000" w:themeColor="text1"/>
        </w:rPr>
        <w:t>,</w:t>
      </w:r>
      <w:r w:rsidR="009A0847">
        <w:rPr>
          <w:rFonts w:eastAsiaTheme="minorEastAsia"/>
          <w:color w:val="000000" w:themeColor="text1"/>
        </w:rPr>
        <w:t xml:space="preserve"> </w:t>
      </w:r>
      <w:r w:rsidR="00B37D3D" w:rsidRPr="00B37D3D">
        <w:rPr>
          <w:rFonts w:eastAsiaTheme="minorEastAsia"/>
          <w:color w:val="000000" w:themeColor="text1"/>
        </w:rPr>
        <w:t>e</w:t>
      </w:r>
      <w:r w:rsidRPr="00B37D3D">
        <w:rPr>
          <w:rFonts w:eastAsiaTheme="minorEastAsia"/>
          <w:color w:val="000000" w:themeColor="text1"/>
        </w:rPr>
        <w:t>ligibility</w:t>
      </w:r>
      <w:r w:rsidR="009A0847">
        <w:rPr>
          <w:rFonts w:eastAsiaTheme="minorEastAsia"/>
          <w:color w:val="000000" w:themeColor="text1"/>
        </w:rPr>
        <w:t xml:space="preserve"> </w:t>
      </w:r>
      <w:r w:rsidR="00B37D3D" w:rsidRPr="00B37D3D">
        <w:rPr>
          <w:rFonts w:eastAsiaTheme="minorEastAsia"/>
          <w:color w:val="000000" w:themeColor="text1"/>
        </w:rPr>
        <w:t>and</w:t>
      </w:r>
      <w:r w:rsidR="009A0847">
        <w:rPr>
          <w:rFonts w:eastAsiaTheme="minorEastAsia"/>
          <w:color w:val="000000" w:themeColor="text1"/>
        </w:rPr>
        <w:t xml:space="preserve"> </w:t>
      </w:r>
      <w:r w:rsidR="00B37D3D" w:rsidRPr="00B37D3D">
        <w:rPr>
          <w:rFonts w:eastAsiaTheme="minorEastAsia"/>
          <w:color w:val="000000" w:themeColor="text1"/>
        </w:rPr>
        <w:t>disclosures</w:t>
      </w:r>
      <w:r w:rsidR="009A0847">
        <w:rPr>
          <w:rFonts w:eastAsiaTheme="minorEastAsia"/>
          <w:color w:val="000000" w:themeColor="text1"/>
        </w:rPr>
        <w:t xml:space="preserve"> </w:t>
      </w:r>
      <w:r w:rsidR="00B37D3D" w:rsidRPr="00B37D3D">
        <w:rPr>
          <w:rFonts w:eastAsiaTheme="minorEastAsia"/>
          <w:color w:val="000000" w:themeColor="text1"/>
        </w:rPr>
        <w:t>rules).</w:t>
      </w:r>
      <w:r w:rsidR="009A0847">
        <w:rPr>
          <w:rFonts w:eastAsiaTheme="minorEastAsia"/>
          <w:color w:val="000000" w:themeColor="text1"/>
        </w:rPr>
        <w:t xml:space="preserve"> </w:t>
      </w:r>
      <w:r w:rsidR="00B37D3D" w:rsidRPr="00B37D3D">
        <w:rPr>
          <w:rFonts w:eastAsiaTheme="minorEastAsia"/>
          <w:color w:val="000000" w:themeColor="text1"/>
        </w:rPr>
        <w:t>However,</w:t>
      </w:r>
      <w:r w:rsidR="009A0847">
        <w:rPr>
          <w:rFonts w:eastAsiaTheme="minorEastAsia"/>
          <w:color w:val="000000" w:themeColor="text1"/>
        </w:rPr>
        <w:t xml:space="preserve"> </w:t>
      </w:r>
      <w:r w:rsidR="00B37D3D" w:rsidRPr="00B37D3D">
        <w:rPr>
          <w:rFonts w:eastAsiaTheme="minorEastAsia"/>
          <w:color w:val="000000" w:themeColor="text1"/>
        </w:rPr>
        <w:t>having</w:t>
      </w:r>
      <w:r w:rsidR="009A0847">
        <w:rPr>
          <w:rFonts w:eastAsiaTheme="minorEastAsia"/>
          <w:color w:val="000000" w:themeColor="text1"/>
        </w:rPr>
        <w:t xml:space="preserve"> </w:t>
      </w:r>
      <w:r w:rsidR="00B37D3D" w:rsidRPr="00B37D3D">
        <w:rPr>
          <w:rFonts w:eastAsiaTheme="minorEastAsia"/>
          <w:color w:val="000000" w:themeColor="text1"/>
        </w:rPr>
        <w:t>banks</w:t>
      </w:r>
      <w:r w:rsidR="009A0847">
        <w:rPr>
          <w:rFonts w:eastAsiaTheme="minorEastAsia"/>
          <w:color w:val="000000" w:themeColor="text1"/>
        </w:rPr>
        <w:t xml:space="preserve"> </w:t>
      </w:r>
      <w:r w:rsidR="00B37D3D" w:rsidRPr="00B37D3D">
        <w:rPr>
          <w:rFonts w:eastAsiaTheme="minorEastAsia"/>
          <w:color w:val="000000" w:themeColor="text1"/>
        </w:rPr>
        <w:t>approach</w:t>
      </w:r>
      <w:r w:rsidR="009A0847">
        <w:rPr>
          <w:rFonts w:eastAsiaTheme="minorEastAsia"/>
          <w:color w:val="000000" w:themeColor="text1"/>
        </w:rPr>
        <w:t xml:space="preserve"> </w:t>
      </w:r>
      <w:r w:rsidR="00B37D3D" w:rsidRPr="00B37D3D">
        <w:rPr>
          <w:rFonts w:eastAsiaTheme="minorEastAsia"/>
          <w:color w:val="000000" w:themeColor="text1"/>
        </w:rPr>
        <w:t>the</w:t>
      </w:r>
      <w:r w:rsidR="009A0847">
        <w:rPr>
          <w:rFonts w:eastAsiaTheme="minorEastAsia"/>
          <w:color w:val="000000" w:themeColor="text1"/>
        </w:rPr>
        <w:t xml:space="preserve"> </w:t>
      </w:r>
      <w:r w:rsidR="00B37D3D" w:rsidRPr="00B37D3D">
        <w:rPr>
          <w:rFonts w:eastAsiaTheme="minorEastAsia"/>
          <w:color w:val="000000" w:themeColor="text1"/>
        </w:rPr>
        <w:t>Fed</w:t>
      </w:r>
      <w:r w:rsidR="009A0847">
        <w:rPr>
          <w:rFonts w:eastAsiaTheme="minorEastAsia"/>
          <w:color w:val="000000" w:themeColor="text1"/>
        </w:rPr>
        <w:t xml:space="preserve"> </w:t>
      </w:r>
      <w:r w:rsidR="00B37D3D" w:rsidRPr="00B37D3D">
        <w:rPr>
          <w:rFonts w:eastAsiaTheme="minorEastAsia"/>
          <w:color w:val="000000" w:themeColor="text1"/>
        </w:rPr>
        <w:t>collectively</w:t>
      </w:r>
      <w:r w:rsidR="009A0847">
        <w:rPr>
          <w:rFonts w:eastAsiaTheme="minorEastAsia"/>
          <w:color w:val="000000" w:themeColor="text1"/>
        </w:rPr>
        <w:t xml:space="preserve"> </w:t>
      </w:r>
      <w:r w:rsidR="00B37D3D" w:rsidRPr="00B37D3D">
        <w:rPr>
          <w:rFonts w:eastAsiaTheme="minorEastAsia"/>
          <w:color w:val="000000" w:themeColor="text1"/>
        </w:rPr>
        <w:t>at</w:t>
      </w:r>
      <w:r w:rsidR="009A0847">
        <w:rPr>
          <w:rFonts w:eastAsiaTheme="minorEastAsia"/>
          <w:color w:val="000000" w:themeColor="text1"/>
        </w:rPr>
        <w:t xml:space="preserve"> </w:t>
      </w:r>
      <w:r w:rsidR="00B37D3D" w:rsidRPr="00B37D3D">
        <w:rPr>
          <w:rFonts w:eastAsiaTheme="minorEastAsia"/>
          <w:color w:val="000000" w:themeColor="text1"/>
        </w:rPr>
        <w:t>TAF</w:t>
      </w:r>
      <w:r w:rsidR="009A0847">
        <w:rPr>
          <w:rFonts w:eastAsiaTheme="minorEastAsia"/>
          <w:color w:val="000000" w:themeColor="text1"/>
        </w:rPr>
        <w:t xml:space="preserve"> </w:t>
      </w:r>
      <w:r w:rsidR="00B37D3D" w:rsidRPr="00B37D3D">
        <w:rPr>
          <w:rFonts w:eastAsiaTheme="minorEastAsia"/>
          <w:color w:val="000000" w:themeColor="text1"/>
        </w:rPr>
        <w:t>(rather</w:t>
      </w:r>
      <w:r w:rsidR="009A0847">
        <w:rPr>
          <w:rFonts w:eastAsiaTheme="minorEastAsia"/>
          <w:color w:val="000000" w:themeColor="text1"/>
        </w:rPr>
        <w:t xml:space="preserve"> </w:t>
      </w:r>
      <w:r w:rsidR="00B37D3D" w:rsidRPr="00B37D3D">
        <w:rPr>
          <w:rFonts w:eastAsiaTheme="minorEastAsia"/>
          <w:color w:val="000000" w:themeColor="text1"/>
        </w:rPr>
        <w:t>than</w:t>
      </w:r>
      <w:r w:rsidR="009A0847">
        <w:rPr>
          <w:rFonts w:eastAsiaTheme="minorEastAsia"/>
          <w:color w:val="000000" w:themeColor="text1"/>
        </w:rPr>
        <w:t xml:space="preserve"> </w:t>
      </w:r>
      <w:r w:rsidR="00B37D3D" w:rsidRPr="00B37D3D">
        <w:rPr>
          <w:rFonts w:eastAsiaTheme="minorEastAsia"/>
          <w:color w:val="000000" w:themeColor="text1"/>
        </w:rPr>
        <w:t>individually)</w:t>
      </w:r>
      <w:r w:rsidR="009A0847">
        <w:rPr>
          <w:rFonts w:eastAsiaTheme="minorEastAsia"/>
          <w:color w:val="000000" w:themeColor="text1"/>
        </w:rPr>
        <w:t xml:space="preserve"> </w:t>
      </w:r>
      <w:r w:rsidR="00B37D3D" w:rsidRPr="00B37D3D">
        <w:rPr>
          <w:rFonts w:eastAsiaTheme="minorEastAsia"/>
          <w:color w:val="000000" w:themeColor="text1"/>
        </w:rPr>
        <w:t>and</w:t>
      </w:r>
      <w:r w:rsidR="009A0847">
        <w:rPr>
          <w:rFonts w:eastAsiaTheme="minorEastAsia"/>
          <w:color w:val="000000" w:themeColor="text1"/>
        </w:rPr>
        <w:t xml:space="preserve"> </w:t>
      </w:r>
      <w:r w:rsidR="00B37D3D" w:rsidRPr="00B37D3D">
        <w:rPr>
          <w:rFonts w:eastAsiaTheme="minorEastAsia"/>
          <w:color w:val="000000" w:themeColor="text1"/>
        </w:rPr>
        <w:t>obtaining</w:t>
      </w:r>
      <w:r w:rsidR="009A0847">
        <w:rPr>
          <w:rFonts w:eastAsiaTheme="minorEastAsia"/>
          <w:color w:val="000000" w:themeColor="text1"/>
        </w:rPr>
        <w:t xml:space="preserve"> </w:t>
      </w:r>
      <w:r w:rsidR="00B37D3D" w:rsidRPr="00B37D3D">
        <w:rPr>
          <w:rFonts w:eastAsiaTheme="minorEastAsia"/>
          <w:color w:val="000000" w:themeColor="text1"/>
        </w:rPr>
        <w:t>funds</w:t>
      </w:r>
      <w:r w:rsidR="009A0847">
        <w:rPr>
          <w:rFonts w:eastAsiaTheme="minorEastAsia"/>
          <w:color w:val="000000" w:themeColor="text1"/>
        </w:rPr>
        <w:t xml:space="preserve"> </w:t>
      </w:r>
      <w:r w:rsidR="00B37D3D" w:rsidRPr="00B37D3D">
        <w:rPr>
          <w:rFonts w:eastAsiaTheme="minorEastAsia"/>
          <w:color w:val="000000" w:themeColor="text1"/>
        </w:rPr>
        <w:t>at</w:t>
      </w:r>
      <w:r w:rsidR="009A0847">
        <w:rPr>
          <w:rFonts w:eastAsiaTheme="minorEastAsia"/>
          <w:color w:val="000000" w:themeColor="text1"/>
        </w:rPr>
        <w:t xml:space="preserve"> </w:t>
      </w:r>
      <w:r w:rsidR="00B37D3D" w:rsidRPr="00B37D3D">
        <w:rPr>
          <w:rFonts w:eastAsiaTheme="minorEastAsia"/>
          <w:color w:val="000000" w:themeColor="text1"/>
        </w:rPr>
        <w:t>a</w:t>
      </w:r>
      <w:r w:rsidR="009A0847">
        <w:rPr>
          <w:rFonts w:eastAsiaTheme="minorEastAsia"/>
          <w:color w:val="000000" w:themeColor="text1"/>
        </w:rPr>
        <w:t xml:space="preserve"> </w:t>
      </w:r>
      <w:r w:rsidR="00B37D3D" w:rsidRPr="00B37D3D">
        <w:rPr>
          <w:rFonts w:eastAsiaTheme="minorEastAsia"/>
          <w:color w:val="000000" w:themeColor="text1"/>
        </w:rPr>
        <w:t>competitive</w:t>
      </w:r>
      <w:r w:rsidR="009A0847">
        <w:rPr>
          <w:rFonts w:eastAsiaTheme="minorEastAsia"/>
          <w:color w:val="000000" w:themeColor="text1"/>
        </w:rPr>
        <w:t xml:space="preserve"> </w:t>
      </w:r>
      <w:r w:rsidR="00B37D3D" w:rsidRPr="00B37D3D">
        <w:rPr>
          <w:rFonts w:eastAsiaTheme="minorEastAsia"/>
          <w:color w:val="000000" w:themeColor="text1"/>
        </w:rPr>
        <w:t>rate</w:t>
      </w:r>
      <w:r w:rsidR="009A0847">
        <w:rPr>
          <w:rFonts w:eastAsiaTheme="minorEastAsia"/>
          <w:color w:val="000000" w:themeColor="text1"/>
        </w:rPr>
        <w:t xml:space="preserve"> </w:t>
      </w:r>
      <w:r w:rsidR="00B37D3D" w:rsidRPr="00B37D3D">
        <w:rPr>
          <w:rFonts w:eastAsiaTheme="minorEastAsia"/>
          <w:color w:val="000000" w:themeColor="text1"/>
        </w:rPr>
        <w:t>after</w:t>
      </w:r>
      <w:r w:rsidR="009A0847">
        <w:rPr>
          <w:rFonts w:eastAsiaTheme="minorEastAsia"/>
          <w:color w:val="000000" w:themeColor="text1"/>
        </w:rPr>
        <w:t xml:space="preserve"> </w:t>
      </w:r>
      <w:r w:rsidR="00B37D3D" w:rsidRPr="00B37D3D">
        <w:rPr>
          <w:rFonts w:eastAsiaTheme="minorEastAsia"/>
          <w:color w:val="000000" w:themeColor="text1"/>
        </w:rPr>
        <w:t>a</w:t>
      </w:r>
      <w:r w:rsidR="009A0847">
        <w:rPr>
          <w:rFonts w:eastAsiaTheme="minorEastAsia"/>
          <w:color w:val="000000" w:themeColor="text1"/>
        </w:rPr>
        <w:t xml:space="preserve"> </w:t>
      </w:r>
      <w:r w:rsidR="00B37D3D" w:rsidRPr="00B37D3D">
        <w:rPr>
          <w:rFonts w:eastAsiaTheme="minorEastAsia"/>
          <w:color w:val="000000" w:themeColor="text1"/>
        </w:rPr>
        <w:t>three</w:t>
      </w:r>
      <w:r w:rsidR="009A0847">
        <w:rPr>
          <w:rFonts w:eastAsiaTheme="minorEastAsia"/>
          <w:color w:val="000000" w:themeColor="text1"/>
        </w:rPr>
        <w:t xml:space="preserve"> </w:t>
      </w:r>
      <w:r w:rsidR="00B37D3D" w:rsidRPr="00B37D3D">
        <w:rPr>
          <w:rFonts w:eastAsiaTheme="minorEastAsia"/>
          <w:color w:val="000000" w:themeColor="text1"/>
        </w:rPr>
        <w:t>day</w:t>
      </w:r>
      <w:r w:rsidR="009A0847">
        <w:rPr>
          <w:rFonts w:eastAsiaTheme="minorEastAsia"/>
          <w:color w:val="000000" w:themeColor="text1"/>
        </w:rPr>
        <w:t xml:space="preserve"> </w:t>
      </w:r>
      <w:r w:rsidR="00B37D3D" w:rsidRPr="00B37D3D">
        <w:rPr>
          <w:rFonts w:eastAsiaTheme="minorEastAsia"/>
          <w:color w:val="000000" w:themeColor="text1"/>
        </w:rPr>
        <w:t>delay</w:t>
      </w:r>
      <w:r w:rsidR="009A0847">
        <w:rPr>
          <w:rFonts w:eastAsiaTheme="minorEastAsia"/>
          <w:color w:val="000000" w:themeColor="text1"/>
        </w:rPr>
        <w:t xml:space="preserve"> </w:t>
      </w:r>
      <w:r w:rsidR="00B37D3D" w:rsidRPr="00B37D3D">
        <w:rPr>
          <w:rFonts w:eastAsiaTheme="minorEastAsia"/>
          <w:color w:val="000000" w:themeColor="text1"/>
        </w:rPr>
        <w:t>(rather</w:t>
      </w:r>
      <w:r w:rsidR="009A0847">
        <w:rPr>
          <w:rFonts w:eastAsiaTheme="minorEastAsia"/>
          <w:color w:val="000000" w:themeColor="text1"/>
        </w:rPr>
        <w:t xml:space="preserve"> </w:t>
      </w:r>
      <w:r w:rsidR="00B37D3D" w:rsidRPr="00B37D3D">
        <w:rPr>
          <w:rFonts w:eastAsiaTheme="minorEastAsia"/>
          <w:color w:val="000000" w:themeColor="text1"/>
        </w:rPr>
        <w:t>than</w:t>
      </w:r>
      <w:r w:rsidR="009A0847">
        <w:rPr>
          <w:rFonts w:eastAsiaTheme="minorEastAsia"/>
          <w:color w:val="000000" w:themeColor="text1"/>
        </w:rPr>
        <w:t xml:space="preserve"> </w:t>
      </w:r>
      <w:r w:rsidR="00B37D3D" w:rsidRPr="00B37D3D">
        <w:rPr>
          <w:rFonts w:eastAsiaTheme="minorEastAsia"/>
          <w:color w:val="000000" w:themeColor="text1"/>
        </w:rPr>
        <w:t>immediately</w:t>
      </w:r>
      <w:r w:rsidR="009A0847">
        <w:rPr>
          <w:rFonts w:eastAsiaTheme="minorEastAsia"/>
          <w:color w:val="000000" w:themeColor="text1"/>
        </w:rPr>
        <w:t xml:space="preserve"> </w:t>
      </w:r>
      <w:r w:rsidR="00B37D3D" w:rsidRPr="00B37D3D">
        <w:rPr>
          <w:rFonts w:eastAsiaTheme="minorEastAsia"/>
          <w:color w:val="000000" w:themeColor="text1"/>
        </w:rPr>
        <w:t>at</w:t>
      </w:r>
      <w:r w:rsidR="009A0847">
        <w:rPr>
          <w:rFonts w:eastAsiaTheme="minorEastAsia"/>
          <w:color w:val="000000" w:themeColor="text1"/>
        </w:rPr>
        <w:t xml:space="preserve"> </w:t>
      </w:r>
      <w:r w:rsidR="00B37D3D" w:rsidRPr="00B37D3D">
        <w:rPr>
          <w:rFonts w:eastAsiaTheme="minorEastAsia"/>
          <w:color w:val="000000" w:themeColor="text1"/>
        </w:rPr>
        <w:t>a</w:t>
      </w:r>
      <w:r w:rsidR="009A0847">
        <w:rPr>
          <w:rFonts w:eastAsiaTheme="minorEastAsia"/>
          <w:color w:val="000000" w:themeColor="text1"/>
        </w:rPr>
        <w:t xml:space="preserve"> </w:t>
      </w:r>
      <w:r w:rsidR="00B37D3D" w:rsidRPr="00B37D3D">
        <w:rPr>
          <w:rFonts w:eastAsiaTheme="minorEastAsia"/>
          <w:color w:val="000000" w:themeColor="text1"/>
        </w:rPr>
        <w:t>premium</w:t>
      </w:r>
      <w:r w:rsidR="009A0847">
        <w:rPr>
          <w:rFonts w:eastAsiaTheme="minorEastAsia"/>
          <w:color w:val="000000" w:themeColor="text1"/>
        </w:rPr>
        <w:t xml:space="preserve"> </w:t>
      </w:r>
      <w:r w:rsidR="00B37D3D" w:rsidRPr="00B37D3D">
        <w:rPr>
          <w:rFonts w:eastAsiaTheme="minorEastAsia"/>
          <w:color w:val="000000" w:themeColor="text1"/>
        </w:rPr>
        <w:t>set</w:t>
      </w:r>
      <w:r w:rsidR="009A0847">
        <w:rPr>
          <w:rFonts w:eastAsiaTheme="minorEastAsia"/>
          <w:color w:val="000000" w:themeColor="text1"/>
        </w:rPr>
        <w:t xml:space="preserve"> </w:t>
      </w:r>
      <w:r w:rsidR="00B37D3D" w:rsidRPr="00B37D3D">
        <w:rPr>
          <w:rFonts w:eastAsiaTheme="minorEastAsia"/>
          <w:color w:val="000000" w:themeColor="text1"/>
        </w:rPr>
        <w:t>by</w:t>
      </w:r>
      <w:r w:rsidR="009A0847">
        <w:rPr>
          <w:rFonts w:eastAsiaTheme="minorEastAsia"/>
          <w:color w:val="000000" w:themeColor="text1"/>
        </w:rPr>
        <w:t xml:space="preserve"> </w:t>
      </w:r>
      <w:r w:rsidR="00B37D3D" w:rsidRPr="00B37D3D">
        <w:rPr>
          <w:rFonts w:eastAsiaTheme="minorEastAsia"/>
          <w:color w:val="000000" w:themeColor="text1"/>
        </w:rPr>
        <w:t>the</w:t>
      </w:r>
      <w:r w:rsidR="009A0847">
        <w:rPr>
          <w:rFonts w:eastAsiaTheme="minorEastAsia"/>
          <w:color w:val="000000" w:themeColor="text1"/>
        </w:rPr>
        <w:t xml:space="preserve"> </w:t>
      </w:r>
      <w:r w:rsidR="00B37D3D" w:rsidRPr="00B37D3D">
        <w:rPr>
          <w:rFonts w:eastAsiaTheme="minorEastAsia"/>
          <w:color w:val="000000" w:themeColor="text1"/>
        </w:rPr>
        <w:t>Fed)</w:t>
      </w:r>
      <w:r w:rsidR="009A0847">
        <w:rPr>
          <w:rFonts w:eastAsiaTheme="minorEastAsia"/>
          <w:color w:val="000000" w:themeColor="text1"/>
        </w:rPr>
        <w:t xml:space="preserve"> </w:t>
      </w:r>
      <w:r w:rsidR="00B37D3D" w:rsidRPr="00B37D3D">
        <w:rPr>
          <w:rFonts w:eastAsiaTheme="minorEastAsia"/>
          <w:color w:val="000000" w:themeColor="text1"/>
        </w:rPr>
        <w:t>were</w:t>
      </w:r>
      <w:r w:rsidR="009A0847">
        <w:rPr>
          <w:rFonts w:eastAsiaTheme="minorEastAsia"/>
          <w:color w:val="000000" w:themeColor="text1"/>
        </w:rPr>
        <w:t xml:space="preserve"> </w:t>
      </w:r>
      <w:r w:rsidR="00B37D3D" w:rsidRPr="00B37D3D">
        <w:rPr>
          <w:rFonts w:eastAsiaTheme="minorEastAsia"/>
          <w:color w:val="000000" w:themeColor="text1"/>
        </w:rPr>
        <w:t>expected</w:t>
      </w:r>
      <w:r w:rsidR="009A0847">
        <w:rPr>
          <w:rFonts w:eastAsiaTheme="minorEastAsia"/>
          <w:color w:val="000000" w:themeColor="text1"/>
        </w:rPr>
        <w:t xml:space="preserve"> </w:t>
      </w:r>
      <w:r w:rsidR="00B37D3D" w:rsidRPr="00B37D3D">
        <w:rPr>
          <w:rFonts w:eastAsiaTheme="minorEastAsia"/>
          <w:color w:val="000000" w:themeColor="text1"/>
        </w:rPr>
        <w:t>to</w:t>
      </w:r>
      <w:r w:rsidR="009A0847">
        <w:rPr>
          <w:rFonts w:eastAsiaTheme="minorEastAsia"/>
          <w:color w:val="000000" w:themeColor="text1"/>
        </w:rPr>
        <w:t xml:space="preserve"> </w:t>
      </w:r>
      <w:r w:rsidR="00B37D3D" w:rsidRPr="00B37D3D">
        <w:rPr>
          <w:rFonts w:eastAsiaTheme="minorEastAsia"/>
          <w:color w:val="000000" w:themeColor="text1"/>
        </w:rPr>
        <w:t>solve</w:t>
      </w:r>
      <w:r w:rsidR="009A0847">
        <w:rPr>
          <w:rFonts w:eastAsiaTheme="minorEastAsia"/>
          <w:color w:val="000000" w:themeColor="text1"/>
        </w:rPr>
        <w:t xml:space="preserve"> </w:t>
      </w:r>
      <w:r w:rsidR="00B37D3D" w:rsidRPr="00B37D3D">
        <w:rPr>
          <w:rFonts w:eastAsiaTheme="minorEastAsia"/>
          <w:color w:val="000000" w:themeColor="text1"/>
        </w:rPr>
        <w:t>the</w:t>
      </w:r>
      <w:r w:rsidR="009A0847">
        <w:rPr>
          <w:rFonts w:eastAsiaTheme="minorEastAsia"/>
          <w:color w:val="000000" w:themeColor="text1"/>
        </w:rPr>
        <w:t xml:space="preserve"> </w:t>
      </w:r>
      <w:r w:rsidR="00B37D3D" w:rsidRPr="00B37D3D">
        <w:rPr>
          <w:rFonts w:eastAsiaTheme="minorEastAsia"/>
          <w:color w:val="000000" w:themeColor="text1"/>
        </w:rPr>
        <w:t>coordination</w:t>
      </w:r>
      <w:r w:rsidR="009A0847">
        <w:rPr>
          <w:rFonts w:eastAsiaTheme="minorEastAsia"/>
          <w:color w:val="000000" w:themeColor="text1"/>
        </w:rPr>
        <w:t xml:space="preserve"> </w:t>
      </w:r>
      <w:r w:rsidR="00B37D3D" w:rsidRPr="00B37D3D">
        <w:rPr>
          <w:rFonts w:eastAsiaTheme="minorEastAsia"/>
          <w:color w:val="000000" w:themeColor="text1"/>
        </w:rPr>
        <w:t>problem</w:t>
      </w:r>
      <w:r w:rsidR="009A0847">
        <w:rPr>
          <w:rFonts w:eastAsiaTheme="minorEastAsia"/>
          <w:color w:val="000000" w:themeColor="text1"/>
        </w:rPr>
        <w:t xml:space="preserve"> </w:t>
      </w:r>
      <w:r w:rsidR="00B37D3D" w:rsidRPr="00B37D3D">
        <w:rPr>
          <w:rFonts w:eastAsiaTheme="minorEastAsia"/>
          <w:color w:val="000000" w:themeColor="text1"/>
        </w:rPr>
        <w:t>and</w:t>
      </w:r>
      <w:r w:rsidR="009A0847">
        <w:rPr>
          <w:rFonts w:eastAsiaTheme="minorEastAsia"/>
          <w:color w:val="000000" w:themeColor="text1"/>
        </w:rPr>
        <w:t xml:space="preserve"> </w:t>
      </w:r>
      <w:r w:rsidR="00B37D3D" w:rsidRPr="00B37D3D">
        <w:rPr>
          <w:rFonts w:eastAsiaTheme="minorEastAsia"/>
          <w:color w:val="000000" w:themeColor="text1"/>
        </w:rPr>
        <w:t>mitigate</w:t>
      </w:r>
      <w:r w:rsidR="009A0847">
        <w:rPr>
          <w:rFonts w:eastAsiaTheme="minorEastAsia"/>
          <w:color w:val="000000" w:themeColor="text1"/>
        </w:rPr>
        <w:t xml:space="preserve"> </w:t>
      </w:r>
      <w:r w:rsidR="00B37D3D" w:rsidRPr="00B37D3D">
        <w:rPr>
          <w:rFonts w:eastAsiaTheme="minorEastAsia"/>
          <w:color w:val="000000" w:themeColor="text1"/>
        </w:rPr>
        <w:t>stigma</w:t>
      </w:r>
      <w:r w:rsidR="009A0847">
        <w:rPr>
          <w:rFonts w:eastAsiaTheme="minorEastAsia"/>
          <w:color w:val="000000" w:themeColor="text1"/>
        </w:rPr>
        <w:t xml:space="preserve"> </w:t>
      </w:r>
      <w:r w:rsidR="00B37D3D" w:rsidRPr="00B37D3D">
        <w:rPr>
          <w:rFonts w:eastAsiaTheme="minorEastAsia"/>
          <w:color w:val="000000" w:themeColor="text1"/>
        </w:rPr>
        <w:t>concerns.</w:t>
      </w:r>
      <w:r w:rsidR="009A0847">
        <w:rPr>
          <w:rFonts w:eastAsiaTheme="minorEastAsia"/>
          <w:color w:val="000000" w:themeColor="text1"/>
        </w:rPr>
        <w:t xml:space="preserve"> </w:t>
      </w:r>
      <w:r w:rsidR="00B37D3D" w:rsidRPr="00B37D3D">
        <w:rPr>
          <w:rFonts w:eastAsiaTheme="minorEastAsia"/>
          <w:color w:val="000000" w:themeColor="text1"/>
        </w:rPr>
        <w:t>In</w:t>
      </w:r>
      <w:r w:rsidR="009A0847">
        <w:rPr>
          <w:rFonts w:eastAsiaTheme="minorEastAsia"/>
          <w:color w:val="000000" w:themeColor="text1"/>
        </w:rPr>
        <w:t xml:space="preserve"> </w:t>
      </w:r>
      <w:r w:rsidR="00B37D3D" w:rsidRPr="00B37D3D">
        <w:rPr>
          <w:rFonts w:eastAsiaTheme="minorEastAsia"/>
          <w:color w:val="000000" w:themeColor="text1"/>
        </w:rPr>
        <w:t>contrast</w:t>
      </w:r>
      <w:r w:rsidR="009A0847">
        <w:rPr>
          <w:rFonts w:eastAsiaTheme="minorEastAsia"/>
          <w:color w:val="000000" w:themeColor="text1"/>
        </w:rPr>
        <w:t xml:space="preserve"> </w:t>
      </w:r>
      <w:r w:rsidR="00B37D3D" w:rsidRPr="00B37D3D">
        <w:rPr>
          <w:rFonts w:eastAsiaTheme="minorEastAsia"/>
          <w:color w:val="000000" w:themeColor="text1"/>
        </w:rPr>
        <w:t>to</w:t>
      </w:r>
      <w:r w:rsidR="009A0847">
        <w:rPr>
          <w:rFonts w:eastAsiaTheme="minorEastAsia"/>
          <w:color w:val="000000" w:themeColor="text1"/>
        </w:rPr>
        <w:t xml:space="preserve"> </w:t>
      </w:r>
      <w:r w:rsidR="00B37D3D" w:rsidRPr="00B37D3D">
        <w:rPr>
          <w:rFonts w:eastAsiaTheme="minorEastAsia"/>
          <w:color w:val="000000" w:themeColor="text1"/>
        </w:rPr>
        <w:t>the</w:t>
      </w:r>
      <w:r w:rsidR="009A0847">
        <w:rPr>
          <w:rFonts w:eastAsiaTheme="minorEastAsia"/>
          <w:color w:val="000000" w:themeColor="text1"/>
        </w:rPr>
        <w:t xml:space="preserve"> </w:t>
      </w:r>
      <w:r w:rsidR="00B37D3D" w:rsidRPr="00B37D3D">
        <w:rPr>
          <w:rFonts w:eastAsiaTheme="minorEastAsia"/>
          <w:color w:val="000000" w:themeColor="text1"/>
        </w:rPr>
        <w:t>DW,</w:t>
      </w:r>
      <w:r w:rsidR="009A0847">
        <w:rPr>
          <w:rFonts w:eastAsiaTheme="minorEastAsia"/>
          <w:color w:val="000000" w:themeColor="text1"/>
        </w:rPr>
        <w:t xml:space="preserve"> </w:t>
      </w:r>
      <w:r w:rsidR="00B37D3D" w:rsidRPr="00B37D3D">
        <w:rPr>
          <w:rFonts w:eastAsiaTheme="minorEastAsia"/>
          <w:color w:val="000000" w:themeColor="text1"/>
        </w:rPr>
        <w:t>the</w:t>
      </w:r>
      <w:r w:rsidR="009A0847">
        <w:rPr>
          <w:rFonts w:eastAsiaTheme="minorEastAsia"/>
          <w:color w:val="000000" w:themeColor="text1"/>
        </w:rPr>
        <w:t xml:space="preserve"> </w:t>
      </w:r>
      <w:r w:rsidR="00B37D3D" w:rsidRPr="00B37D3D">
        <w:rPr>
          <w:rFonts w:eastAsiaTheme="minorEastAsia"/>
          <w:color w:val="000000" w:themeColor="text1"/>
        </w:rPr>
        <w:t>TAF</w:t>
      </w:r>
      <w:r w:rsidR="009A0847">
        <w:rPr>
          <w:rFonts w:eastAsiaTheme="minorEastAsia"/>
          <w:color w:val="000000" w:themeColor="text1"/>
        </w:rPr>
        <w:t xml:space="preserve"> </w:t>
      </w:r>
      <w:r w:rsidR="00B37D3D" w:rsidRPr="00B37D3D">
        <w:rPr>
          <w:rFonts w:eastAsiaTheme="minorEastAsia"/>
          <w:color w:val="000000" w:themeColor="text1"/>
        </w:rPr>
        <w:t>was</w:t>
      </w:r>
      <w:r w:rsidR="009A0847">
        <w:rPr>
          <w:rFonts w:eastAsiaTheme="minorEastAsia"/>
          <w:color w:val="000000" w:themeColor="text1"/>
        </w:rPr>
        <w:t xml:space="preserve"> </w:t>
      </w:r>
      <w:r w:rsidR="00B37D3D" w:rsidRPr="00B37D3D">
        <w:rPr>
          <w:rFonts w:eastAsiaTheme="minorEastAsia"/>
          <w:color w:val="000000" w:themeColor="text1"/>
        </w:rPr>
        <w:t>an</w:t>
      </w:r>
      <w:r w:rsidR="009A0847">
        <w:rPr>
          <w:rFonts w:eastAsiaTheme="minorEastAsia"/>
          <w:color w:val="000000" w:themeColor="text1"/>
        </w:rPr>
        <w:t xml:space="preserve"> </w:t>
      </w:r>
      <w:r w:rsidR="00B37D3D" w:rsidRPr="00B37D3D">
        <w:rPr>
          <w:rFonts w:eastAsiaTheme="minorEastAsia"/>
          <w:color w:val="000000" w:themeColor="text1"/>
        </w:rPr>
        <w:t>immediate</w:t>
      </w:r>
      <w:r w:rsidR="009A0847">
        <w:rPr>
          <w:rFonts w:eastAsiaTheme="minorEastAsia"/>
          <w:color w:val="000000" w:themeColor="text1"/>
        </w:rPr>
        <w:t xml:space="preserve"> </w:t>
      </w:r>
      <w:r w:rsidR="00B37D3D" w:rsidRPr="00B37D3D">
        <w:rPr>
          <w:rFonts w:eastAsiaTheme="minorEastAsia"/>
          <w:color w:val="000000" w:themeColor="text1"/>
        </w:rPr>
        <w:t>success</w:t>
      </w:r>
      <w:r w:rsidR="009A0847">
        <w:rPr>
          <w:rFonts w:eastAsiaTheme="minorEastAsia"/>
          <w:color w:val="000000" w:themeColor="text1"/>
        </w:rPr>
        <w:t xml:space="preserve"> </w:t>
      </w:r>
      <w:r w:rsidR="00B37D3D" w:rsidRPr="00B37D3D">
        <w:rPr>
          <w:rFonts w:eastAsiaTheme="minorEastAsia"/>
          <w:color w:val="000000" w:themeColor="text1"/>
        </w:rPr>
        <w:t>in</w:t>
      </w:r>
      <w:r w:rsidR="009A0847">
        <w:rPr>
          <w:rFonts w:eastAsiaTheme="minorEastAsia"/>
          <w:color w:val="000000" w:themeColor="text1"/>
        </w:rPr>
        <w:t xml:space="preserve"> </w:t>
      </w:r>
      <w:r w:rsidR="00B37D3D" w:rsidRPr="00B37D3D">
        <w:rPr>
          <w:rFonts w:eastAsiaTheme="minorEastAsia"/>
          <w:color w:val="000000" w:themeColor="text1"/>
        </w:rPr>
        <w:t>terms</w:t>
      </w:r>
      <w:r w:rsidR="009A0847">
        <w:rPr>
          <w:rFonts w:eastAsiaTheme="minorEastAsia"/>
          <w:color w:val="000000" w:themeColor="text1"/>
        </w:rPr>
        <w:t xml:space="preserve"> </w:t>
      </w:r>
      <w:r w:rsidR="00B37D3D" w:rsidRPr="00B37D3D">
        <w:rPr>
          <w:rFonts w:eastAsiaTheme="minorEastAsia"/>
          <w:color w:val="000000" w:themeColor="text1"/>
        </w:rPr>
        <w:t>of</w:t>
      </w:r>
      <w:r w:rsidR="009A0847">
        <w:rPr>
          <w:rFonts w:eastAsiaTheme="minorEastAsia"/>
          <w:color w:val="000000" w:themeColor="text1"/>
        </w:rPr>
        <w:t xml:space="preserve"> </w:t>
      </w:r>
      <w:r w:rsidR="00B37D3D" w:rsidRPr="00B37D3D">
        <w:rPr>
          <w:rFonts w:eastAsiaTheme="minorEastAsia"/>
          <w:color w:val="000000" w:themeColor="text1"/>
        </w:rPr>
        <w:t>amounts</w:t>
      </w:r>
      <w:r w:rsidR="009A0847">
        <w:rPr>
          <w:rFonts w:eastAsiaTheme="minorEastAsia"/>
          <w:color w:val="000000" w:themeColor="text1"/>
        </w:rPr>
        <w:t xml:space="preserve"> </w:t>
      </w:r>
      <w:r w:rsidR="00B37D3D" w:rsidRPr="00B37D3D">
        <w:rPr>
          <w:rFonts w:eastAsiaTheme="minorEastAsia"/>
          <w:color w:val="000000" w:themeColor="text1"/>
        </w:rPr>
        <w:t>bid</w:t>
      </w:r>
      <w:r w:rsidR="009A0847">
        <w:rPr>
          <w:rFonts w:eastAsiaTheme="minorEastAsia"/>
          <w:color w:val="000000" w:themeColor="text1"/>
        </w:rPr>
        <w:t xml:space="preserve"> </w:t>
      </w:r>
      <w:r w:rsidR="00B37D3D" w:rsidRPr="00B37D3D">
        <w:rPr>
          <w:rFonts w:eastAsiaTheme="minorEastAsia"/>
          <w:color w:val="000000" w:themeColor="text1"/>
        </w:rPr>
        <w:t>and</w:t>
      </w:r>
      <w:r w:rsidR="009A0847">
        <w:rPr>
          <w:rFonts w:eastAsiaTheme="minorEastAsia"/>
          <w:color w:val="000000" w:themeColor="text1"/>
        </w:rPr>
        <w:t xml:space="preserve"> </w:t>
      </w:r>
      <w:r w:rsidR="00B37D3D" w:rsidRPr="00B37D3D">
        <w:rPr>
          <w:rFonts w:eastAsiaTheme="minorEastAsia"/>
          <w:color w:val="000000" w:themeColor="text1"/>
        </w:rPr>
        <w:t>allocated,</w:t>
      </w:r>
      <w:r w:rsidR="009A0847">
        <w:rPr>
          <w:rFonts w:eastAsiaTheme="minorEastAsia"/>
          <w:color w:val="000000" w:themeColor="text1"/>
        </w:rPr>
        <w:t xml:space="preserve"> </w:t>
      </w:r>
      <w:r w:rsidR="00B37D3D" w:rsidRPr="00B37D3D">
        <w:rPr>
          <w:rFonts w:eastAsiaTheme="minorEastAsia"/>
          <w:color w:val="000000" w:themeColor="text1"/>
        </w:rPr>
        <w:t>thereby</w:t>
      </w:r>
      <w:r w:rsidR="009A0847">
        <w:rPr>
          <w:rFonts w:eastAsiaTheme="minorEastAsia"/>
          <w:color w:val="000000" w:themeColor="text1"/>
        </w:rPr>
        <w:t xml:space="preserve"> </w:t>
      </w:r>
      <w:r w:rsidR="00B37D3D" w:rsidRPr="00B37D3D">
        <w:rPr>
          <w:rFonts w:eastAsiaTheme="minorEastAsia"/>
          <w:color w:val="000000" w:themeColor="text1"/>
        </w:rPr>
        <w:t>providing</w:t>
      </w:r>
      <w:r w:rsidR="009A0847">
        <w:rPr>
          <w:rFonts w:eastAsiaTheme="minorEastAsia"/>
          <w:color w:val="000000" w:themeColor="text1"/>
        </w:rPr>
        <w:t xml:space="preserve"> </w:t>
      </w:r>
      <w:r w:rsidR="00B37D3D" w:rsidRPr="00B37D3D">
        <w:rPr>
          <w:rFonts w:eastAsiaTheme="minorEastAsia"/>
          <w:color w:val="000000" w:themeColor="text1"/>
        </w:rPr>
        <w:t>evidence</w:t>
      </w:r>
      <w:r w:rsidR="009A0847">
        <w:rPr>
          <w:rFonts w:eastAsiaTheme="minorEastAsia"/>
          <w:color w:val="000000" w:themeColor="text1"/>
        </w:rPr>
        <w:t xml:space="preserve"> </w:t>
      </w:r>
      <w:r w:rsidR="00B37D3D" w:rsidRPr="00B37D3D">
        <w:rPr>
          <w:rFonts w:eastAsiaTheme="minorEastAsia"/>
          <w:color w:val="000000" w:themeColor="text1"/>
        </w:rPr>
        <w:t>that</w:t>
      </w:r>
      <w:r w:rsidR="009A0847">
        <w:rPr>
          <w:rFonts w:eastAsiaTheme="minorEastAsia"/>
          <w:color w:val="000000" w:themeColor="text1"/>
        </w:rPr>
        <w:t xml:space="preserve"> </w:t>
      </w:r>
      <w:r w:rsidR="00B37D3D" w:rsidRPr="00B37D3D">
        <w:rPr>
          <w:rFonts w:eastAsiaTheme="minorEastAsia"/>
          <w:color w:val="000000" w:themeColor="text1"/>
        </w:rPr>
        <w:t>less,</w:t>
      </w:r>
      <w:r w:rsidR="009A0847">
        <w:rPr>
          <w:rFonts w:eastAsiaTheme="minorEastAsia"/>
          <w:color w:val="000000" w:themeColor="text1"/>
        </w:rPr>
        <w:t xml:space="preserve"> </w:t>
      </w:r>
      <w:r w:rsidR="00B37D3D" w:rsidRPr="00B37D3D">
        <w:rPr>
          <w:rFonts w:eastAsiaTheme="minorEastAsia"/>
          <w:color w:val="000000" w:themeColor="text1"/>
        </w:rPr>
        <w:t>if</w:t>
      </w:r>
      <w:r w:rsidR="009A0847">
        <w:rPr>
          <w:rFonts w:eastAsiaTheme="minorEastAsia"/>
          <w:color w:val="000000" w:themeColor="text1"/>
        </w:rPr>
        <w:t xml:space="preserve"> </w:t>
      </w:r>
      <w:r w:rsidR="00B37D3D" w:rsidRPr="00B37D3D">
        <w:rPr>
          <w:rFonts w:eastAsiaTheme="minorEastAsia"/>
          <w:color w:val="000000" w:themeColor="text1"/>
        </w:rPr>
        <w:t>any,</w:t>
      </w:r>
      <w:r w:rsidR="009A0847">
        <w:rPr>
          <w:rFonts w:eastAsiaTheme="minorEastAsia"/>
          <w:color w:val="000000" w:themeColor="text1"/>
        </w:rPr>
        <w:t xml:space="preserve"> </w:t>
      </w:r>
      <w:r w:rsidR="00B37D3D" w:rsidRPr="00B37D3D">
        <w:rPr>
          <w:rFonts w:eastAsiaTheme="minorEastAsia"/>
          <w:color w:val="000000" w:themeColor="text1"/>
        </w:rPr>
        <w:t>stigma</w:t>
      </w:r>
      <w:r w:rsidR="009A0847">
        <w:rPr>
          <w:rFonts w:eastAsiaTheme="minorEastAsia"/>
          <w:color w:val="000000" w:themeColor="text1"/>
        </w:rPr>
        <w:t xml:space="preserve"> </w:t>
      </w:r>
      <w:r w:rsidR="00B37D3D" w:rsidRPr="00B37D3D">
        <w:rPr>
          <w:rFonts w:eastAsiaTheme="minorEastAsia"/>
          <w:color w:val="000000" w:themeColor="text1"/>
        </w:rPr>
        <w:t>was</w:t>
      </w:r>
      <w:r w:rsidR="009A0847">
        <w:rPr>
          <w:rFonts w:eastAsiaTheme="minorEastAsia"/>
          <w:color w:val="000000" w:themeColor="text1"/>
        </w:rPr>
        <w:t xml:space="preserve"> </w:t>
      </w:r>
      <w:r w:rsidR="00B37D3D" w:rsidRPr="00B37D3D">
        <w:rPr>
          <w:rFonts w:eastAsiaTheme="minorEastAsia"/>
          <w:color w:val="000000" w:themeColor="text1"/>
        </w:rPr>
        <w:t>attached</w:t>
      </w:r>
      <w:r w:rsidR="009A0847">
        <w:rPr>
          <w:rFonts w:eastAsiaTheme="minorEastAsia"/>
          <w:color w:val="000000" w:themeColor="text1"/>
        </w:rPr>
        <w:t xml:space="preserve"> </w:t>
      </w:r>
      <w:r w:rsidR="00B37D3D" w:rsidRPr="00B37D3D">
        <w:rPr>
          <w:rFonts w:eastAsiaTheme="minorEastAsia"/>
          <w:color w:val="000000" w:themeColor="text1"/>
        </w:rPr>
        <w:t>to</w:t>
      </w:r>
      <w:r w:rsidR="009A0847">
        <w:rPr>
          <w:rFonts w:eastAsiaTheme="minorEastAsia"/>
          <w:color w:val="000000" w:themeColor="text1"/>
        </w:rPr>
        <w:t xml:space="preserve"> </w:t>
      </w:r>
      <w:r w:rsidR="00B37D3D" w:rsidRPr="00B37D3D">
        <w:rPr>
          <w:rFonts w:eastAsiaTheme="minorEastAsia"/>
          <w:color w:val="000000" w:themeColor="text1"/>
        </w:rPr>
        <w:t>TAF</w:t>
      </w:r>
      <w:r w:rsidR="009A0847">
        <w:rPr>
          <w:rFonts w:eastAsiaTheme="minorEastAsia"/>
          <w:color w:val="000000" w:themeColor="text1"/>
        </w:rPr>
        <w:t xml:space="preserve"> </w:t>
      </w:r>
      <w:r w:rsidR="00B37D3D" w:rsidRPr="00B37D3D">
        <w:rPr>
          <w:rFonts w:eastAsiaTheme="minorEastAsia"/>
          <w:color w:val="000000" w:themeColor="text1"/>
        </w:rPr>
        <w:t>borrowing</w:t>
      </w:r>
      <w:r w:rsidR="009A0847">
        <w:rPr>
          <w:rFonts w:eastAsiaTheme="minorEastAsia"/>
          <w:color w:val="000000" w:themeColor="text1"/>
        </w:rPr>
        <w:t xml:space="preserve"> </w:t>
      </w:r>
      <w:r w:rsidR="00E51B12">
        <w:rPr>
          <w:rFonts w:eastAsiaTheme="minorEastAsia"/>
          <w:color w:val="000000" w:themeColor="text1"/>
        </w:rPr>
        <w:t>(</w:t>
      </w:r>
      <w:r w:rsidR="00A078E3">
        <w:rPr>
          <w:rFonts w:eastAsiaTheme="minorEastAsia"/>
          <w:color w:val="000000" w:themeColor="text1"/>
        </w:rPr>
        <w:t>see</w:t>
      </w:r>
      <w:r w:rsidR="009A0847">
        <w:rPr>
          <w:rFonts w:eastAsiaTheme="minorEastAsia"/>
          <w:color w:val="000000" w:themeColor="text1"/>
        </w:rPr>
        <w:t xml:space="preserve"> </w:t>
      </w:r>
      <w:r w:rsidR="00B37D3D" w:rsidRPr="00B37D3D">
        <w:rPr>
          <w:rFonts w:eastAsiaTheme="minorEastAsia"/>
          <w:color w:val="000000" w:themeColor="text1"/>
        </w:rPr>
        <w:t>Armantier</w:t>
      </w:r>
      <w:r w:rsidR="009A0847">
        <w:rPr>
          <w:rFonts w:eastAsiaTheme="minorEastAsia"/>
          <w:color w:val="000000" w:themeColor="text1"/>
        </w:rPr>
        <w:t xml:space="preserve"> </w:t>
      </w:r>
      <w:r w:rsidR="00B37D3D" w:rsidRPr="00B37D3D">
        <w:rPr>
          <w:rFonts w:eastAsiaTheme="minorEastAsia"/>
          <w:color w:val="000000" w:themeColor="text1"/>
        </w:rPr>
        <w:t>et</w:t>
      </w:r>
      <w:r w:rsidR="009A0847">
        <w:rPr>
          <w:rFonts w:eastAsiaTheme="minorEastAsia"/>
          <w:color w:val="000000" w:themeColor="text1"/>
        </w:rPr>
        <w:t xml:space="preserve"> </w:t>
      </w:r>
      <w:r w:rsidR="00B37D3D" w:rsidRPr="00B37D3D">
        <w:rPr>
          <w:rFonts w:eastAsiaTheme="minorEastAsia"/>
          <w:color w:val="000000" w:themeColor="text1"/>
        </w:rPr>
        <w:t>al.</w:t>
      </w:r>
      <w:r w:rsidR="009A0847">
        <w:rPr>
          <w:rFonts w:eastAsiaTheme="minorEastAsia"/>
          <w:color w:val="000000" w:themeColor="text1"/>
        </w:rPr>
        <w:t xml:space="preserve"> </w:t>
      </w:r>
      <w:r w:rsidR="00B37D3D" w:rsidRPr="00B37D3D">
        <w:rPr>
          <w:rFonts w:eastAsiaTheme="minorEastAsia"/>
          <w:color w:val="000000" w:themeColor="text1"/>
        </w:rPr>
        <w:t>2015).</w:t>
      </w:r>
    </w:p>
    <w:p w14:paraId="51A75568" w14:textId="5C232118" w:rsidR="00355A86" w:rsidRPr="00184B33" w:rsidRDefault="00355A86" w:rsidP="00464079">
      <w:pPr>
        <w:pStyle w:val="Olivier1"/>
        <w:widowControl w:val="0"/>
        <w:spacing w:line="240" w:lineRule="auto"/>
        <w:ind w:firstLine="360"/>
        <w:rPr>
          <w:rFonts w:eastAsiaTheme="minorEastAsia"/>
          <w:color w:val="000000" w:themeColor="text1"/>
          <w:szCs w:val="24"/>
        </w:rPr>
      </w:pPr>
      <w:r>
        <w:rPr>
          <w:rFonts w:eastAsiaTheme="minorEastAsia"/>
          <w:color w:val="000000" w:themeColor="text1"/>
        </w:rPr>
        <w:lastRenderedPageBreak/>
        <w:t xml:space="preserve">While the aggregate amount borrowed at the DW reached </w:t>
      </w:r>
      <w:r w:rsidR="00184B33">
        <w:rPr>
          <w:rFonts w:eastAsiaTheme="minorEastAsia"/>
          <w:color w:val="000000" w:themeColor="text1"/>
        </w:rPr>
        <w:t xml:space="preserve">record </w:t>
      </w:r>
      <w:r w:rsidR="00184B33" w:rsidRPr="00184B33">
        <w:rPr>
          <w:rFonts w:eastAsiaTheme="minorEastAsia"/>
          <w:color w:val="000000" w:themeColor="text1"/>
          <w:szCs w:val="24"/>
        </w:rPr>
        <w:t xml:space="preserve">highs during the </w:t>
      </w:r>
      <w:r w:rsidR="00D71142">
        <w:rPr>
          <w:rFonts w:eastAsiaTheme="minorEastAsia"/>
          <w:color w:val="000000" w:themeColor="text1"/>
          <w:szCs w:val="24"/>
        </w:rPr>
        <w:t xml:space="preserve">2008 </w:t>
      </w:r>
      <w:r w:rsidR="00184B33" w:rsidRPr="00184B33">
        <w:rPr>
          <w:rFonts w:eastAsiaTheme="minorEastAsia"/>
          <w:color w:val="000000" w:themeColor="text1"/>
          <w:szCs w:val="24"/>
        </w:rPr>
        <w:t xml:space="preserve">financial </w:t>
      </w:r>
      <w:r w:rsidR="00D71142">
        <w:rPr>
          <w:rFonts w:eastAsiaTheme="minorEastAsia"/>
          <w:color w:val="000000" w:themeColor="text1"/>
          <w:szCs w:val="24"/>
        </w:rPr>
        <w:t>crisis</w:t>
      </w:r>
      <w:r w:rsidRPr="00184B33">
        <w:rPr>
          <w:rFonts w:eastAsiaTheme="minorEastAsia"/>
          <w:color w:val="000000" w:themeColor="text1"/>
          <w:szCs w:val="24"/>
        </w:rPr>
        <w:t xml:space="preserve"> (in particular after the fai</w:t>
      </w:r>
      <w:r w:rsidR="00184B33" w:rsidRPr="00184B33">
        <w:rPr>
          <w:rFonts w:eastAsiaTheme="minorEastAsia"/>
          <w:color w:val="000000" w:themeColor="text1"/>
          <w:szCs w:val="24"/>
        </w:rPr>
        <w:t>l</w:t>
      </w:r>
      <w:r w:rsidRPr="00184B33">
        <w:rPr>
          <w:rFonts w:eastAsiaTheme="minorEastAsia"/>
          <w:color w:val="000000" w:themeColor="text1"/>
          <w:szCs w:val="24"/>
        </w:rPr>
        <w:t>ure of Bear Ste</w:t>
      </w:r>
      <w:r w:rsidR="00184B33" w:rsidRPr="00184B33">
        <w:rPr>
          <w:rFonts w:eastAsiaTheme="minorEastAsia"/>
          <w:color w:val="000000" w:themeColor="text1"/>
          <w:szCs w:val="24"/>
        </w:rPr>
        <w:t>a</w:t>
      </w:r>
      <w:r w:rsidRPr="00184B33">
        <w:rPr>
          <w:rFonts w:eastAsiaTheme="minorEastAsia"/>
          <w:color w:val="000000" w:themeColor="text1"/>
          <w:szCs w:val="24"/>
        </w:rPr>
        <w:t>rn</w:t>
      </w:r>
      <w:r w:rsidR="00184B33" w:rsidRPr="00184B33">
        <w:rPr>
          <w:rFonts w:eastAsiaTheme="minorEastAsia"/>
          <w:color w:val="000000" w:themeColor="text1"/>
          <w:szCs w:val="24"/>
        </w:rPr>
        <w:t>s and L</w:t>
      </w:r>
      <w:r w:rsidRPr="00184B33">
        <w:rPr>
          <w:rFonts w:eastAsiaTheme="minorEastAsia"/>
          <w:color w:val="000000" w:themeColor="text1"/>
          <w:szCs w:val="24"/>
        </w:rPr>
        <w:t>e</w:t>
      </w:r>
      <w:r w:rsidR="00184B33" w:rsidRPr="00184B33">
        <w:rPr>
          <w:rFonts w:eastAsiaTheme="minorEastAsia"/>
          <w:color w:val="000000" w:themeColor="text1"/>
          <w:szCs w:val="24"/>
        </w:rPr>
        <w:t>hman B</w:t>
      </w:r>
      <w:r w:rsidRPr="00184B33">
        <w:rPr>
          <w:rFonts w:eastAsiaTheme="minorEastAsia"/>
          <w:color w:val="000000" w:themeColor="text1"/>
          <w:szCs w:val="24"/>
        </w:rPr>
        <w:t>r</w:t>
      </w:r>
      <w:r w:rsidR="00184B33" w:rsidRPr="00184B33">
        <w:rPr>
          <w:rFonts w:eastAsiaTheme="minorEastAsia"/>
          <w:color w:val="000000" w:themeColor="text1"/>
          <w:szCs w:val="24"/>
        </w:rPr>
        <w:t>o</w:t>
      </w:r>
      <w:r w:rsidRPr="00184B33">
        <w:rPr>
          <w:rFonts w:eastAsiaTheme="minorEastAsia"/>
          <w:color w:val="000000" w:themeColor="text1"/>
          <w:szCs w:val="24"/>
        </w:rPr>
        <w:t>thers)</w:t>
      </w:r>
      <w:r w:rsidR="00184B33" w:rsidRPr="00184B33">
        <w:rPr>
          <w:rFonts w:eastAsiaTheme="minorEastAsia"/>
          <w:color w:val="000000" w:themeColor="text1"/>
          <w:szCs w:val="24"/>
        </w:rPr>
        <w:t xml:space="preserve">, </w:t>
      </w:r>
      <w:r w:rsidR="00184B33" w:rsidRPr="00184B33">
        <w:rPr>
          <w:color w:val="000000" w:themeColor="text1"/>
          <w:szCs w:val="24"/>
        </w:rPr>
        <w:t xml:space="preserve">Ackon and Ennis </w:t>
      </w:r>
      <w:r w:rsidR="00184B33">
        <w:rPr>
          <w:color w:val="000000" w:themeColor="text1"/>
          <w:szCs w:val="24"/>
        </w:rPr>
        <w:t>(</w:t>
      </w:r>
      <w:r w:rsidR="00184B33" w:rsidRPr="00184B33">
        <w:rPr>
          <w:color w:val="000000" w:themeColor="text1"/>
          <w:szCs w:val="24"/>
        </w:rPr>
        <w:t>2018</w:t>
      </w:r>
      <w:r w:rsidR="003979FA">
        <w:rPr>
          <w:color w:val="000000" w:themeColor="text1"/>
          <w:szCs w:val="24"/>
        </w:rPr>
        <w:t>) document that DW access</w:t>
      </w:r>
      <w:r w:rsidR="00184B33">
        <w:rPr>
          <w:color w:val="000000" w:themeColor="text1"/>
          <w:szCs w:val="24"/>
        </w:rPr>
        <w:t xml:space="preserve"> has been low </w:t>
      </w:r>
      <w:r w:rsidR="003979FA">
        <w:rPr>
          <w:color w:val="000000" w:themeColor="text1"/>
          <w:szCs w:val="24"/>
        </w:rPr>
        <w:t xml:space="preserve">since 2010 </w:t>
      </w:r>
      <w:r w:rsidR="00184B33">
        <w:rPr>
          <w:color w:val="000000" w:themeColor="text1"/>
          <w:szCs w:val="24"/>
        </w:rPr>
        <w:t xml:space="preserve">relative to the pre-crisis period. This </w:t>
      </w:r>
      <w:r w:rsidR="00D71142">
        <w:rPr>
          <w:color w:val="000000" w:themeColor="text1"/>
          <w:szCs w:val="24"/>
        </w:rPr>
        <w:t xml:space="preserve">result </w:t>
      </w:r>
      <w:r w:rsidR="00184B33">
        <w:rPr>
          <w:color w:val="000000" w:themeColor="text1"/>
          <w:szCs w:val="24"/>
        </w:rPr>
        <w:t xml:space="preserve">may be explained </w:t>
      </w:r>
      <w:r w:rsidR="00D71142">
        <w:rPr>
          <w:color w:val="000000" w:themeColor="text1"/>
          <w:szCs w:val="24"/>
        </w:rPr>
        <w:t xml:space="preserve">in part </w:t>
      </w:r>
      <w:r w:rsidR="00184B33">
        <w:rPr>
          <w:color w:val="000000" w:themeColor="text1"/>
          <w:szCs w:val="24"/>
        </w:rPr>
        <w:t xml:space="preserve">by the abundance of liquidity in the </w:t>
      </w:r>
      <w:r w:rsidR="00D71142">
        <w:rPr>
          <w:color w:val="000000" w:themeColor="text1"/>
          <w:szCs w:val="24"/>
        </w:rPr>
        <w:t xml:space="preserve">financial </w:t>
      </w:r>
      <w:r w:rsidR="00184B33">
        <w:rPr>
          <w:color w:val="000000" w:themeColor="text1"/>
          <w:szCs w:val="24"/>
        </w:rPr>
        <w:t xml:space="preserve">system </w:t>
      </w:r>
      <w:r w:rsidR="00D71142">
        <w:rPr>
          <w:color w:val="000000" w:themeColor="text1"/>
          <w:szCs w:val="24"/>
        </w:rPr>
        <w:t xml:space="preserve">during this period </w:t>
      </w:r>
      <w:r w:rsidR="00184B33">
        <w:rPr>
          <w:color w:val="000000" w:themeColor="text1"/>
          <w:szCs w:val="24"/>
        </w:rPr>
        <w:t xml:space="preserve">that </w:t>
      </w:r>
      <w:r w:rsidR="00D71142">
        <w:rPr>
          <w:color w:val="000000" w:themeColor="text1"/>
          <w:szCs w:val="24"/>
        </w:rPr>
        <w:t xml:space="preserve">has </w:t>
      </w:r>
      <w:r w:rsidR="00184B33">
        <w:rPr>
          <w:color w:val="000000" w:themeColor="text1"/>
          <w:szCs w:val="24"/>
        </w:rPr>
        <w:t>ma</w:t>
      </w:r>
      <w:r w:rsidR="00D71142">
        <w:rPr>
          <w:color w:val="000000" w:themeColor="text1"/>
          <w:szCs w:val="24"/>
        </w:rPr>
        <w:t>de</w:t>
      </w:r>
      <w:r w:rsidR="00184B33">
        <w:rPr>
          <w:color w:val="000000" w:themeColor="text1"/>
          <w:szCs w:val="24"/>
        </w:rPr>
        <w:t xml:space="preserve"> liquidity support unnecessary. However, </w:t>
      </w:r>
      <w:r w:rsidR="00D71142">
        <w:rPr>
          <w:color w:val="000000" w:themeColor="text1"/>
          <w:szCs w:val="24"/>
        </w:rPr>
        <w:t>the decrease in DW borrowing may also reflect increased stigma. In particular, financial institutions have</w:t>
      </w:r>
      <w:r w:rsidR="00184B33">
        <w:rPr>
          <w:color w:val="000000" w:themeColor="text1"/>
          <w:szCs w:val="24"/>
        </w:rPr>
        <w:t xml:space="preserve"> reported that the new disclosure re</w:t>
      </w:r>
      <w:r w:rsidR="00D71142">
        <w:rPr>
          <w:color w:val="000000" w:themeColor="text1"/>
          <w:szCs w:val="24"/>
        </w:rPr>
        <w:t>q</w:t>
      </w:r>
      <w:r w:rsidR="00184B33">
        <w:rPr>
          <w:color w:val="000000" w:themeColor="text1"/>
          <w:szCs w:val="24"/>
        </w:rPr>
        <w:t>uir</w:t>
      </w:r>
      <w:r w:rsidR="00D71142">
        <w:rPr>
          <w:color w:val="000000" w:themeColor="text1"/>
          <w:szCs w:val="24"/>
        </w:rPr>
        <w:t>emen</w:t>
      </w:r>
      <w:r w:rsidR="00184B33">
        <w:rPr>
          <w:color w:val="000000" w:themeColor="text1"/>
          <w:szCs w:val="24"/>
        </w:rPr>
        <w:t>t und</w:t>
      </w:r>
      <w:r w:rsidR="00D71142">
        <w:rPr>
          <w:color w:val="000000" w:themeColor="text1"/>
          <w:szCs w:val="24"/>
        </w:rPr>
        <w:t xml:space="preserve">er </w:t>
      </w:r>
      <w:r w:rsidR="00110251">
        <w:rPr>
          <w:color w:val="000000" w:themeColor="text1"/>
          <w:szCs w:val="24"/>
        </w:rPr>
        <w:t>t</w:t>
      </w:r>
      <w:r w:rsidR="00110251" w:rsidRPr="00B37D3D">
        <w:rPr>
          <w:color w:val="000000" w:themeColor="text1"/>
        </w:rPr>
        <w:t>he</w:t>
      </w:r>
      <w:r w:rsidR="00110251">
        <w:rPr>
          <w:color w:val="000000" w:themeColor="text1"/>
        </w:rPr>
        <w:t xml:space="preserve"> 2010 </w:t>
      </w:r>
      <w:r w:rsidR="00110251" w:rsidRPr="00B37D3D">
        <w:rPr>
          <w:color w:val="000000" w:themeColor="text1"/>
        </w:rPr>
        <w:t>Dodd-Frank</w:t>
      </w:r>
      <w:r w:rsidR="00110251">
        <w:rPr>
          <w:color w:val="000000" w:themeColor="text1"/>
        </w:rPr>
        <w:t xml:space="preserve"> </w:t>
      </w:r>
      <w:r w:rsidR="00110251" w:rsidRPr="00B37D3D">
        <w:rPr>
          <w:color w:val="000000" w:themeColor="text1"/>
        </w:rPr>
        <w:t>Act</w:t>
      </w:r>
      <w:r w:rsidR="00110251">
        <w:rPr>
          <w:color w:val="000000" w:themeColor="text1"/>
          <w:szCs w:val="24"/>
        </w:rPr>
        <w:t xml:space="preserve"> </w:t>
      </w:r>
      <w:r w:rsidR="00D71142">
        <w:rPr>
          <w:color w:val="000000" w:themeColor="text1"/>
          <w:szCs w:val="24"/>
        </w:rPr>
        <w:t>wo</w:t>
      </w:r>
      <w:r w:rsidR="00184B33">
        <w:rPr>
          <w:color w:val="000000" w:themeColor="text1"/>
          <w:szCs w:val="24"/>
        </w:rPr>
        <w:t>u</w:t>
      </w:r>
      <w:r w:rsidR="00D71142">
        <w:rPr>
          <w:color w:val="000000" w:themeColor="text1"/>
          <w:szCs w:val="24"/>
        </w:rPr>
        <w:t>l</w:t>
      </w:r>
      <w:r w:rsidR="00184B33">
        <w:rPr>
          <w:color w:val="000000" w:themeColor="text1"/>
          <w:szCs w:val="24"/>
        </w:rPr>
        <w:t>d make</w:t>
      </w:r>
      <w:r w:rsidR="00D71142">
        <w:rPr>
          <w:color w:val="000000" w:themeColor="text1"/>
          <w:szCs w:val="24"/>
        </w:rPr>
        <w:t xml:space="preserve"> even more rel</w:t>
      </w:r>
      <w:r w:rsidR="00110251">
        <w:rPr>
          <w:color w:val="000000" w:themeColor="text1"/>
          <w:szCs w:val="24"/>
        </w:rPr>
        <w:t>uctant to borrow</w:t>
      </w:r>
      <w:r w:rsidR="00D71142">
        <w:rPr>
          <w:color w:val="000000" w:themeColor="text1"/>
          <w:szCs w:val="24"/>
        </w:rPr>
        <w:t xml:space="preserve"> at the DW. </w:t>
      </w:r>
    </w:p>
    <w:p w14:paraId="61B31EC8" w14:textId="238DD252" w:rsidR="00532E13" w:rsidRPr="00532E13" w:rsidRDefault="00532E13" w:rsidP="00F86E09">
      <w:pPr>
        <w:pStyle w:val="Heading1"/>
        <w:widowControl w:val="0"/>
      </w:pPr>
      <w:r w:rsidRPr="00DB66E3">
        <w:t>Appendix</w:t>
      </w:r>
      <w:r w:rsidR="009A0847">
        <w:t xml:space="preserve"> </w:t>
      </w:r>
      <w:r>
        <w:t>2</w:t>
      </w:r>
      <w:r w:rsidR="009A0847">
        <w:t xml:space="preserve"> </w:t>
      </w:r>
      <w:r w:rsidRPr="00DB66E3">
        <w:t>:</w:t>
      </w:r>
      <w:r w:rsidR="009A0847">
        <w:t xml:space="preserve"> </w:t>
      </w:r>
      <w:r>
        <w:t>Proofs</w:t>
      </w:r>
      <w:r w:rsidR="009A0847">
        <w:t xml:space="preserve"> </w:t>
      </w:r>
      <w:r>
        <w:t>of</w:t>
      </w:r>
      <w:r w:rsidR="009A0847">
        <w:t xml:space="preserve"> </w:t>
      </w:r>
      <w:r>
        <w:t>Propositions</w:t>
      </w:r>
      <w:r w:rsidR="009A0847">
        <w:t xml:space="preserve"> </w:t>
      </w:r>
    </w:p>
    <w:p w14:paraId="5F22B6C6" w14:textId="1F705496" w:rsidR="00944E6E" w:rsidRPr="00DB66E3" w:rsidRDefault="00E166A9" w:rsidP="00F86E09">
      <w:pPr>
        <w:pStyle w:val="Heading2"/>
        <w:widowControl w:val="0"/>
      </w:pPr>
      <w:r w:rsidRPr="00DB66E3">
        <w:t>Proof</w:t>
      </w:r>
      <w:r w:rsidR="009A0847">
        <w:t xml:space="preserve"> </w:t>
      </w:r>
      <w:r w:rsidRPr="00DB66E3">
        <w:t>of</w:t>
      </w:r>
      <w:r w:rsidR="009A0847">
        <w:t xml:space="preserve"> </w:t>
      </w:r>
      <w:r w:rsidRPr="00DB66E3">
        <w:t>Proposition</w:t>
      </w:r>
      <w:r w:rsidR="009A0847">
        <w:t xml:space="preserve"> </w:t>
      </w:r>
      <w:r w:rsidRPr="00DB66E3">
        <w:t>1</w:t>
      </w:r>
      <w:r w:rsidR="009A0847">
        <w:t xml:space="preserve"> </w:t>
      </w:r>
    </w:p>
    <w:p w14:paraId="6A729D3A" w14:textId="2D90DF79" w:rsidR="004151C1" w:rsidRDefault="004151C1" w:rsidP="00F86E09">
      <w:pPr>
        <w:pStyle w:val="Olivier1"/>
        <w:widowControl w:val="0"/>
        <w:spacing w:line="240" w:lineRule="auto"/>
      </w:pPr>
      <w:r w:rsidRPr="009045F7">
        <w:t>The</w:t>
      </w:r>
      <w:r w:rsidR="009A0847">
        <w:t xml:space="preserve"> </w:t>
      </w:r>
      <w:r w:rsidRPr="009045F7">
        <w:t>restrictions</w:t>
      </w:r>
      <w:r w:rsidR="009A0847">
        <w:t xml:space="preserve"> </w:t>
      </w:r>
      <w:r>
        <w:t>on</w:t>
      </w:r>
      <w:r w:rsidR="009A0847">
        <w:t xml:space="preserve"> </w:t>
      </w:r>
      <w:r>
        <w:t>the</w:t>
      </w:r>
      <w:r w:rsidR="009A0847">
        <w:t xml:space="preserve"> </w:t>
      </w:r>
      <w:r>
        <w:t>model’s</w:t>
      </w:r>
      <w:r w:rsidR="009A0847">
        <w:t xml:space="preserve"> </w:t>
      </w:r>
      <w:r>
        <w:t>parameters</w:t>
      </w:r>
      <w:r w:rsidR="009A0847">
        <w:t xml:space="preserve"> </w:t>
      </w:r>
      <w:r>
        <w:t>are:</w:t>
      </w:r>
      <w:r w:rsidR="009A0847">
        <w:t xml:space="preserve"> </w:t>
      </w:r>
    </w:p>
    <w:p w14:paraId="32D667AA" w14:textId="6C64B3CC" w:rsidR="00DB66E3" w:rsidRPr="00171856" w:rsidRDefault="00DB66E3" w:rsidP="00F86E09">
      <w:pPr>
        <w:pStyle w:val="Olivier1"/>
        <w:widowControl w:val="0"/>
        <w:numPr>
          <w:ilvl w:val="0"/>
          <w:numId w:val="10"/>
        </w:numPr>
        <w:spacing w:line="240" w:lineRule="auto"/>
        <w:ind w:left="1620" w:hanging="180"/>
      </w:pPr>
      <w:r w:rsidRPr="00AC38BD">
        <w:rPr>
          <w:i/>
        </w:rPr>
        <w:t>R1</w:t>
      </w:r>
      <w:r w:rsidR="009A0847">
        <w:t xml:space="preserve"> </w:t>
      </w:r>
      <w:r w:rsidRPr="00171856">
        <w:t>:</w:t>
      </w:r>
      <w:r w:rsidR="009A0847">
        <w:t xml:space="preserve">  </w:t>
      </w:r>
      <m:oMath>
        <m:r>
          <m:rPr>
            <m:sty m:val="p"/>
          </m:rPr>
          <w:rPr>
            <w:rFonts w:ascii="Cambria Math" w:hAnsi="Cambria Math"/>
            <w:sz w:val="22"/>
            <w:szCs w:val="22"/>
          </w:rPr>
          <m:t>0&lt;</m:t>
        </m:r>
        <m:r>
          <w:rPr>
            <w:rFonts w:ascii="Cambria Math" w:hAnsi="Cambria Math"/>
            <w:sz w:val="22"/>
            <w:szCs w:val="22"/>
          </w:rPr>
          <m:t>dw</m:t>
        </m:r>
        <m:r>
          <m:rPr>
            <m:sty m:val="p"/>
          </m:rPr>
          <w:rPr>
            <w:rFonts w:ascii="Cambria Math" w:hAnsi="Cambria Math"/>
            <w:sz w:val="22"/>
            <w:szCs w:val="22"/>
          </w:rPr>
          <m:t>&lt;</m:t>
        </m:r>
        <m:r>
          <w:rPr>
            <w:rFonts w:ascii="Cambria Math" w:hAnsi="Cambria Math"/>
            <w:sz w:val="22"/>
            <w:szCs w:val="22"/>
          </w:rPr>
          <m:t>c</m:t>
        </m:r>
        <m:r>
          <m:rPr>
            <m:sty m:val="p"/>
          </m:rPr>
          <w:rPr>
            <w:rFonts w:ascii="Cambria Math" w:hAnsi="Cambria Math"/>
            <w:sz w:val="22"/>
            <w:szCs w:val="22"/>
          </w:rPr>
          <m:t>&lt;</m:t>
        </m:r>
        <m:r>
          <w:rPr>
            <w:rFonts w:ascii="Cambria Math" w:hAnsi="Cambria Math"/>
            <w:sz w:val="22"/>
            <w:szCs w:val="22"/>
          </w:rPr>
          <m:t>k</m:t>
        </m:r>
        <m:r>
          <m:rPr>
            <m:sty m:val="p"/>
          </m:rPr>
          <w:rPr>
            <w:rFonts w:ascii="Cambria Math" w:hAnsi="Cambria Math"/>
            <w:sz w:val="22"/>
            <w:szCs w:val="22"/>
          </w:rPr>
          <m:t>≤</m:t>
        </m:r>
        <m:r>
          <w:rPr>
            <w:rFonts w:ascii="Cambria Math" w:hAnsi="Cambria Math"/>
            <w:sz w:val="22"/>
            <w:szCs w:val="22"/>
          </w:rPr>
          <m:t>v</m:t>
        </m:r>
        <m:r>
          <m:rPr>
            <m:sty m:val="p"/>
          </m:rPr>
          <w:rPr>
            <w:rFonts w:ascii="Cambria Math" w:hAnsi="Cambria Math"/>
            <w:sz w:val="22"/>
            <w:szCs w:val="22"/>
          </w:rPr>
          <m:t>&lt;</m:t>
        </m:r>
        <m:r>
          <w:rPr>
            <w:rFonts w:ascii="Cambria Math" w:hAnsi="Cambria Math"/>
            <w:sz w:val="22"/>
            <w:szCs w:val="22"/>
          </w:rPr>
          <m:t>V</m:t>
        </m:r>
      </m:oMath>
    </w:p>
    <w:p w14:paraId="6653A1F9" w14:textId="1C848DAE" w:rsidR="00DB66E3" w:rsidRPr="00171856" w:rsidRDefault="00DB66E3" w:rsidP="00F86E09">
      <w:pPr>
        <w:pStyle w:val="Olivier1"/>
        <w:widowControl w:val="0"/>
        <w:numPr>
          <w:ilvl w:val="0"/>
          <w:numId w:val="10"/>
        </w:numPr>
        <w:spacing w:line="240" w:lineRule="auto"/>
        <w:ind w:left="1620" w:hanging="180"/>
      </w:pPr>
      <w:r w:rsidRPr="00AC38BD">
        <w:rPr>
          <w:i/>
        </w:rPr>
        <w:t>R2</w:t>
      </w:r>
      <w:r w:rsidR="009A0847">
        <w:t xml:space="preserve"> </w:t>
      </w:r>
      <w:r w:rsidRPr="00171856">
        <w:t>:</w:t>
      </w:r>
      <w:r w:rsidR="009A0847">
        <w:t xml:space="preserve">  </w:t>
      </w:r>
      <m:oMath>
        <m:bar>
          <m:barPr>
            <m:ctrlPr>
              <w:rPr>
                <w:rFonts w:ascii="Cambria Math" w:hAnsi="Cambria Math"/>
                <w:sz w:val="22"/>
                <w:szCs w:val="22"/>
              </w:rPr>
            </m:ctrlPr>
          </m:barPr>
          <m:e>
            <m:r>
              <w:rPr>
                <w:rFonts w:ascii="Cambria Math" w:hAnsi="Cambria Math"/>
                <w:sz w:val="22"/>
                <w:szCs w:val="22"/>
              </w:rPr>
              <m:t>P</m:t>
            </m:r>
          </m:e>
        </m:bar>
        <m:r>
          <m:rPr>
            <m:sty m:val="p"/>
          </m:rPr>
          <w:rPr>
            <w:rFonts w:ascii="Cambria Math" w:hAnsi="Cambria Math"/>
            <w:sz w:val="22"/>
            <w:szCs w:val="22"/>
          </w:rPr>
          <m:t>&lt;</m:t>
        </m:r>
        <m:f>
          <m:fPr>
            <m:ctrlPr>
              <w:rPr>
                <w:rFonts w:ascii="Cambria Math" w:hAnsi="Cambria Math"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v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V</m:t>
            </m:r>
          </m:den>
        </m:f>
        <m:r>
          <m:rPr>
            <m:sty m:val="p"/>
          </m:rPr>
          <w:rPr>
            <w:rFonts w:ascii="Cambria Math" w:hAnsi="Cambria Math"/>
            <w:sz w:val="22"/>
            <w:szCs w:val="22"/>
          </w:rPr>
          <m:t>&lt;</m:t>
        </m:r>
        <m:r>
          <w:rPr>
            <w:rFonts w:ascii="Cambria Math" w:hAnsi="Cambria Math"/>
            <w:sz w:val="22"/>
            <w:szCs w:val="22"/>
          </w:rPr>
          <m:t>p</m:t>
        </m:r>
      </m:oMath>
      <w:r>
        <w:t>,</w:t>
      </w:r>
      <w:r w:rsidR="009A0847">
        <w:t xml:space="preserve">   </w:t>
      </w:r>
      <w:r w:rsidRPr="00171856">
        <w:t>where</w:t>
      </w:r>
      <w:r w:rsidR="009A0847">
        <w:t xml:space="preserve"> </w:t>
      </w:r>
      <m:oMath>
        <m:bar>
          <m:barPr>
            <m:ctrlPr>
              <w:rPr>
                <w:rFonts w:ascii="Cambria Math" w:hAnsi="Cambria Math"/>
                <w:sz w:val="22"/>
                <w:szCs w:val="22"/>
              </w:rPr>
            </m:ctrlPr>
          </m:barPr>
          <m:e>
            <m:r>
              <w:rPr>
                <w:rFonts w:ascii="Cambria Math" w:hAnsi="Cambria Math"/>
                <w:sz w:val="22"/>
                <w:szCs w:val="22"/>
              </w:rPr>
              <m:t>P</m:t>
            </m:r>
          </m:e>
        </m:bar>
        <m:r>
          <m:rPr>
            <m:sty m:val="p"/>
          </m:rPr>
          <w:rPr>
            <w:rFonts w:ascii="Cambria Math" w:hAnsi="Cambria Math"/>
            <w:sz w:val="22"/>
            <w:szCs w:val="22"/>
          </w:rPr>
          <m:t>=</m:t>
        </m:r>
        <m:f>
          <m:fPr>
            <m:ctrlPr>
              <w:rPr>
                <w:rFonts w:ascii="Cambria Math" w:hAnsi="Cambria Math"/>
                <w:sz w:val="22"/>
                <w:szCs w:val="2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2"/>
                    <w:szCs w:val="22"/>
                  </w:rPr>
                  <m:t>S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sz w:val="22"/>
                        <w:szCs w:val="22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L</m:t>
                    </m:r>
                  </m:e>
                </m:acc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sz w:val="22"/>
                    <w:szCs w:val="22"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S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sz w:val="22"/>
                            <w:szCs w:val="22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L</m:t>
                        </m:r>
                      </m:e>
                    </m:acc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+</m:t>
                </m:r>
                <m:r>
                  <w:rPr>
                    <w:rFonts w:ascii="Cambria Math" w:hAnsi="Cambria Math"/>
                    <w:sz w:val="22"/>
                    <w:szCs w:val="22"/>
                  </w:rPr>
                  <m:t>P</m:t>
                </m:r>
              </m:e>
              <m:sub>
                <m:acc>
                  <m:accPr>
                    <m:chr m:val="̅"/>
                    <m:ctrlPr>
                      <w:rPr>
                        <w:rFonts w:ascii="Cambria Math" w:hAnsi="Cambria Math"/>
                        <w:sz w:val="22"/>
                        <w:szCs w:val="22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S</m:t>
                    </m:r>
                  </m:e>
                </m:acc>
                <m:acc>
                  <m:accPr>
                    <m:chr m:val="̅"/>
                    <m:ctrlPr>
                      <w:rPr>
                        <w:rFonts w:ascii="Cambria Math" w:hAnsi="Cambria Math"/>
                        <w:sz w:val="22"/>
                        <w:szCs w:val="22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L</m:t>
                    </m:r>
                  </m:e>
                </m:acc>
              </m:sub>
            </m:sSub>
          </m:den>
        </m:f>
      </m:oMath>
      <w:r w:rsidR="009A0847">
        <w:t xml:space="preserve">  </w:t>
      </w:r>
      <w:r>
        <w:t>and</w:t>
      </w:r>
      <w:r w:rsidR="009A0847">
        <w:t xml:space="preserve"> </w:t>
      </w:r>
      <m:oMath>
        <m:r>
          <w:rPr>
            <w:rFonts w:ascii="Cambria Math" w:hAnsi="Cambria Math"/>
            <w:sz w:val="22"/>
            <w:szCs w:val="22"/>
          </w:rPr>
          <m:t>p</m:t>
        </m:r>
        <m:r>
          <m:rPr>
            <m:sty m:val="p"/>
          </m:rPr>
          <w:rPr>
            <w:rFonts w:ascii="Cambria Math" w:hAnsi="Cambria Math"/>
            <w:sz w:val="22"/>
            <w:szCs w:val="22"/>
          </w:rPr>
          <m:t>=</m:t>
        </m:r>
        <m:sSub>
          <m:sSubPr>
            <m:ctrlPr>
              <w:rPr>
                <w:rFonts w:ascii="Cambria Math" w:hAnsi="Cambria Math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1-</m:t>
            </m:r>
            <m:r>
              <w:rPr>
                <w:rFonts w:ascii="Cambria Math" w:hAnsi="Cambria Math"/>
                <w:sz w:val="22"/>
                <w:szCs w:val="22"/>
              </w:rPr>
              <m:t>P</m:t>
            </m:r>
          </m:e>
          <m:sub>
            <m:acc>
              <m:accPr>
                <m:chr m:val="̅"/>
                <m:ctrlPr>
                  <w:rPr>
                    <w:rFonts w:ascii="Cambria Math" w:hAnsi="Cambria Math"/>
                    <w:sz w:val="22"/>
                    <w:szCs w:val="22"/>
                  </w:rPr>
                </m:ctrlPr>
              </m:acc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S</m:t>
                </m:r>
              </m:e>
            </m:acc>
            <m:acc>
              <m:accPr>
                <m:chr m:val="̅"/>
                <m:ctrlPr>
                  <w:rPr>
                    <w:rFonts w:ascii="Cambria Math" w:hAnsi="Cambria Math"/>
                    <w:sz w:val="22"/>
                    <w:szCs w:val="22"/>
                  </w:rPr>
                </m:ctrlPr>
              </m:acc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L</m:t>
                </m:r>
              </m:e>
            </m:acc>
          </m:sub>
        </m:sSub>
      </m:oMath>
      <w:r w:rsidR="009A0847">
        <w:t xml:space="preserve"> </w:t>
      </w:r>
    </w:p>
    <w:p w14:paraId="79201458" w14:textId="689A8B0D" w:rsidR="004151C1" w:rsidRPr="00171856" w:rsidRDefault="004151C1" w:rsidP="00F86E09">
      <w:pPr>
        <w:pStyle w:val="Olivier1"/>
        <w:widowControl w:val="0"/>
        <w:spacing w:line="240" w:lineRule="auto"/>
      </w:pPr>
      <w:r w:rsidRPr="004151C1">
        <w:t>The</w:t>
      </w:r>
      <w:r w:rsidR="009A0847">
        <w:t xml:space="preserve"> </w:t>
      </w:r>
      <w:r w:rsidRPr="004151C1">
        <w:t>two</w:t>
      </w:r>
      <w:r w:rsidR="009A0847">
        <w:t xml:space="preserve"> </w:t>
      </w:r>
      <w:r w:rsidRPr="00171856">
        <w:t>pairs</w:t>
      </w:r>
      <w:r w:rsidR="009A0847">
        <w:t xml:space="preserve"> </w:t>
      </w:r>
      <w:r w:rsidRPr="00171856">
        <w:t>of</w:t>
      </w:r>
      <w:r w:rsidR="009A0847">
        <w:t xml:space="preserve"> </w:t>
      </w:r>
      <w:r w:rsidRPr="00171856">
        <w:t>strategies</w:t>
      </w:r>
      <w:r w:rsidR="009A0847">
        <w:t xml:space="preserve"> </w:t>
      </w:r>
      <w:r w:rsidR="000E2330">
        <w:t>are</w:t>
      </w:r>
      <w:r w:rsidRPr="00171856">
        <w:t>:</w:t>
      </w:r>
    </w:p>
    <w:p w14:paraId="762CF76E" w14:textId="5651373F" w:rsidR="000E2330" w:rsidRPr="00A75740" w:rsidRDefault="000E2330" w:rsidP="00F86E09">
      <w:pPr>
        <w:pStyle w:val="Olivier1"/>
        <w:widowControl w:val="0"/>
        <w:spacing w:after="0" w:line="240" w:lineRule="auto"/>
        <w:ind w:left="1987" w:hanging="547"/>
        <w:jc w:val="left"/>
      </w:pPr>
      <m:oMath>
        <m:r>
          <m:rPr>
            <m:sty m:val="bi"/>
          </m:rPr>
          <w:rPr>
            <w:rFonts w:ascii="Cambria Math" w:hAnsi="Cambria Math"/>
            <w:sz w:val="22"/>
            <w:szCs w:val="22"/>
          </w:rPr>
          <m:t xml:space="preserve">St </m:t>
        </m:r>
      </m:oMath>
      <w:r w:rsidRPr="00A75740">
        <w:t>=</w:t>
      </w:r>
      <w:r w:rsidR="009A0847">
        <w:t xml:space="preserve">        </w:t>
      </w:r>
      <w:r w:rsidRPr="00A75740">
        <w:t>{No</w:t>
      </w:r>
      <w:r w:rsidR="009A0847">
        <w:t xml:space="preserve"> </w:t>
      </w:r>
      <w:r w:rsidRPr="00A75740">
        <w:t>bank</w:t>
      </w:r>
      <w:r w:rsidR="009A0847">
        <w:t xml:space="preserve"> </w:t>
      </w:r>
      <w:r w:rsidRPr="00A75740">
        <w:t>borrows</w:t>
      </w:r>
      <w:r w:rsidR="009A0847">
        <w:t xml:space="preserve"> </w:t>
      </w:r>
      <w:r w:rsidRPr="00A75740">
        <w:t>at</w:t>
      </w:r>
      <w:r w:rsidR="009A0847">
        <w:t xml:space="preserve"> </w:t>
      </w:r>
      <w:r w:rsidRPr="00A75740">
        <w:t>the</w:t>
      </w:r>
      <w:r w:rsidR="009A0847">
        <w:t xml:space="preserve"> </w:t>
      </w:r>
      <w:r w:rsidRPr="00A75740">
        <w:t>DW;</w:t>
      </w:r>
      <w:r w:rsidR="009A0847">
        <w:t xml:space="preserve"> </w:t>
      </w:r>
    </w:p>
    <w:p w14:paraId="361D2555" w14:textId="7B7AAB3B" w:rsidR="000E2330" w:rsidRPr="00A75740" w:rsidRDefault="009A0847" w:rsidP="00F86E09">
      <w:pPr>
        <w:pStyle w:val="Olivier1"/>
        <w:widowControl w:val="0"/>
        <w:spacing w:line="240" w:lineRule="auto"/>
        <w:ind w:left="1980" w:hanging="540"/>
        <w:jc w:val="left"/>
        <w:rPr>
          <w:b/>
        </w:rPr>
      </w:pPr>
      <w:r>
        <w:t xml:space="preserve">                 </w:t>
      </w:r>
      <w:r w:rsidR="000E2330" w:rsidRPr="00A75740">
        <w:t>Investors</w:t>
      </w:r>
      <w:r>
        <w:t xml:space="preserve"> </w:t>
      </w:r>
      <w:r w:rsidR="000E2330" w:rsidRPr="00A75740">
        <w:t>fund</w:t>
      </w:r>
      <w:r>
        <w:t xml:space="preserve"> </w:t>
      </w:r>
      <w:r w:rsidR="000E2330" w:rsidRPr="00A75740">
        <w:t>only</w:t>
      </w:r>
      <w:r>
        <w:t xml:space="preserve"> </w:t>
      </w:r>
      <w:r w:rsidR="000E2330" w:rsidRPr="00A75740">
        <w:t>banks</w:t>
      </w:r>
      <w:r>
        <w:t xml:space="preserve"> </w:t>
      </w:r>
      <w:r w:rsidR="000E2330" w:rsidRPr="00A75740">
        <w:t>not</w:t>
      </w:r>
      <w:r>
        <w:t xml:space="preserve"> </w:t>
      </w:r>
      <w:r w:rsidR="000E2330" w:rsidRPr="00A75740">
        <w:t>seen</w:t>
      </w:r>
      <w:r>
        <w:t xml:space="preserve"> </w:t>
      </w:r>
      <w:r w:rsidR="000E2330" w:rsidRPr="00A75740">
        <w:t>borrowing</w:t>
      </w:r>
      <w:r>
        <w:t xml:space="preserve"> </w:t>
      </w:r>
      <w:r w:rsidR="000E2330" w:rsidRPr="00A75740">
        <w:t>at</w:t>
      </w:r>
      <w:r>
        <w:t xml:space="preserve"> </w:t>
      </w:r>
      <w:r w:rsidR="000E2330" w:rsidRPr="00A75740">
        <w:t>the</w:t>
      </w:r>
      <w:r>
        <w:t xml:space="preserve"> </w:t>
      </w:r>
      <w:r w:rsidR="000E2330" w:rsidRPr="00A75740">
        <w:t>DW}</w:t>
      </w:r>
    </w:p>
    <w:p w14:paraId="172E0DB7" w14:textId="2CC1B2ED" w:rsidR="000E2330" w:rsidRPr="00A75740" w:rsidRDefault="000E2330" w:rsidP="00F86E09">
      <w:pPr>
        <w:pStyle w:val="Olivier1"/>
        <w:widowControl w:val="0"/>
        <w:spacing w:after="0" w:line="240" w:lineRule="auto"/>
        <w:ind w:left="1987" w:hanging="547"/>
        <w:jc w:val="left"/>
      </w:pPr>
      <m:oMath>
        <m:r>
          <m:rPr>
            <m:sty m:val="bi"/>
          </m:rPr>
          <w:rPr>
            <w:rFonts w:ascii="Cambria Math" w:hAnsi="Cambria Math"/>
            <w:sz w:val="22"/>
            <w:szCs w:val="22"/>
          </w:rPr>
          <m:t>NoSt</m:t>
        </m:r>
      </m:oMath>
      <w:r w:rsidR="009A0847">
        <w:t xml:space="preserve"> </w:t>
      </w:r>
      <w:r w:rsidRPr="00A75740">
        <w:t>=</w:t>
      </w:r>
      <w:r w:rsidR="009A0847">
        <w:t xml:space="preserve">   </w:t>
      </w:r>
      <w:r w:rsidRPr="00A75740">
        <w:t>{Illiquid</w:t>
      </w:r>
      <w:r w:rsidR="009A0847">
        <w:t xml:space="preserve"> </w:t>
      </w:r>
      <w:r w:rsidRPr="00A75740">
        <w:t>banks</w:t>
      </w:r>
      <w:r w:rsidR="009A0847">
        <w:t xml:space="preserve"> </w:t>
      </w:r>
      <w:r w:rsidRPr="00A75740">
        <w:t>borrow</w:t>
      </w:r>
      <w:r w:rsidR="009A0847">
        <w:t xml:space="preserve"> </w:t>
      </w:r>
      <w:r w:rsidRPr="00A75740">
        <w:t>at</w:t>
      </w:r>
      <w:r w:rsidR="009A0847">
        <w:t xml:space="preserve"> </w:t>
      </w:r>
      <w:r w:rsidRPr="00A75740">
        <w:t>the</w:t>
      </w:r>
      <w:r w:rsidR="009A0847">
        <w:t xml:space="preserve"> </w:t>
      </w:r>
      <w:r w:rsidRPr="00A75740">
        <w:t>DW;</w:t>
      </w:r>
      <w:r w:rsidR="009A0847">
        <w:t xml:space="preserve"> </w:t>
      </w:r>
    </w:p>
    <w:p w14:paraId="5CD0E52B" w14:textId="79F4FF76" w:rsidR="000E2330" w:rsidRPr="00A75740" w:rsidRDefault="009A0847" w:rsidP="00F86E09">
      <w:pPr>
        <w:pStyle w:val="Olivier1"/>
        <w:widowControl w:val="0"/>
        <w:spacing w:line="240" w:lineRule="auto"/>
        <w:ind w:left="1980" w:hanging="540"/>
        <w:jc w:val="left"/>
      </w:pPr>
      <w:r>
        <w:t xml:space="preserve">                 </w:t>
      </w:r>
      <w:r w:rsidR="000E2330" w:rsidRPr="00A75740">
        <w:t>Investors</w:t>
      </w:r>
      <w:r>
        <w:t xml:space="preserve"> </w:t>
      </w:r>
      <w:r w:rsidR="000E2330" w:rsidRPr="00A75740">
        <w:t>fund</w:t>
      </w:r>
      <w:r>
        <w:t xml:space="preserve"> </w:t>
      </w:r>
      <w:r w:rsidR="000E2330" w:rsidRPr="00A75740">
        <w:t>only</w:t>
      </w:r>
      <w:r>
        <w:t xml:space="preserve"> </w:t>
      </w:r>
      <w:r w:rsidR="000E2330" w:rsidRPr="00A75740">
        <w:t>banks</w:t>
      </w:r>
      <w:r>
        <w:t xml:space="preserve"> </w:t>
      </w:r>
      <w:r w:rsidR="000E2330" w:rsidRPr="00A75740">
        <w:t>not</w:t>
      </w:r>
      <w:r>
        <w:t xml:space="preserve"> </w:t>
      </w:r>
      <w:r w:rsidR="000E2330" w:rsidRPr="00A75740">
        <w:t>seen</w:t>
      </w:r>
      <w:r>
        <w:t xml:space="preserve"> </w:t>
      </w:r>
      <w:r w:rsidR="000E2330" w:rsidRPr="00A75740">
        <w:t>borrowing</w:t>
      </w:r>
      <w:r>
        <w:t xml:space="preserve"> </w:t>
      </w:r>
      <w:r w:rsidR="000E2330" w:rsidRPr="00A75740">
        <w:t>at</w:t>
      </w:r>
      <w:r>
        <w:t xml:space="preserve"> </w:t>
      </w:r>
      <w:r w:rsidR="000E2330" w:rsidRPr="00A75740">
        <w:t>the</w:t>
      </w:r>
      <w:r>
        <w:t xml:space="preserve"> </w:t>
      </w:r>
      <w:r w:rsidR="000E2330" w:rsidRPr="00A75740">
        <w:t>DW}</w:t>
      </w:r>
    </w:p>
    <w:p w14:paraId="54F48B98" w14:textId="553F34E2" w:rsidR="000E2330" w:rsidRPr="00A75740" w:rsidRDefault="000E2330" w:rsidP="00F86E09">
      <w:pPr>
        <w:pStyle w:val="Olivier1"/>
        <w:widowControl w:val="0"/>
        <w:spacing w:line="240" w:lineRule="auto"/>
        <w:jc w:val="left"/>
        <w:rPr>
          <w:b/>
        </w:rPr>
      </w:pPr>
      <w:r w:rsidRPr="00A75740">
        <w:t>We</w:t>
      </w:r>
      <w:r w:rsidR="009A0847">
        <w:t xml:space="preserve"> </w:t>
      </w:r>
      <w:r w:rsidRPr="00A75740">
        <w:t>consider</w:t>
      </w:r>
      <w:r w:rsidR="009A0847">
        <w:t xml:space="preserve"> </w:t>
      </w:r>
      <w:r w:rsidRPr="00A75740">
        <w:t>the</w:t>
      </w:r>
      <w:r w:rsidR="009A0847">
        <w:t xml:space="preserve"> </w:t>
      </w:r>
      <w:r w:rsidRPr="00A75740">
        <w:t>case</w:t>
      </w:r>
      <w:r w:rsidR="009A0847">
        <w:t xml:space="preserve"> </w:t>
      </w:r>
      <w:r w:rsidRPr="00A75740">
        <w:t>of</w:t>
      </w:r>
      <w:r w:rsidR="009A0847">
        <w:t xml:space="preserve"> </w:t>
      </w:r>
      <w:r w:rsidRPr="00A75740">
        <w:t>a</w:t>
      </w:r>
      <w:r w:rsidR="009A0847">
        <w:t xml:space="preserve"> </w:t>
      </w:r>
      <w:r w:rsidRPr="00A75740">
        <w:t>fixed</w:t>
      </w:r>
      <w:r w:rsidR="009A0847">
        <w:t xml:space="preserve"> </w:t>
      </w:r>
      <w:r w:rsidRPr="00A75740">
        <w:t>detection</w:t>
      </w:r>
      <w:r w:rsidR="009A0847">
        <w:t xml:space="preserve"> </w:t>
      </w:r>
      <w:r w:rsidRPr="00A75740">
        <w:t>probability</w:t>
      </w:r>
      <w:r w:rsidR="009A0847">
        <w:t xml:space="preserve"> </w:t>
      </w:r>
      <m:oMath>
        <m:r>
          <w:rPr>
            <w:rFonts w:ascii="Cambria Math" w:hAnsi="Cambria Math"/>
            <w:sz w:val="22"/>
            <w:szCs w:val="22"/>
          </w:rPr>
          <m:t>θ</m:t>
        </m:r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n</m:t>
            </m:r>
          </m:e>
        </m:d>
        <m:r>
          <w:rPr>
            <w:rFonts w:ascii="Cambria Math" w:hAnsi="Cambria Math"/>
            <w:sz w:val="22"/>
            <w:szCs w:val="22"/>
          </w:rPr>
          <m:t>=θ</m:t>
        </m:r>
      </m:oMath>
      <w:r w:rsidRPr="00A75740">
        <w:t>.</w:t>
      </w:r>
      <w:r w:rsidR="009A0847">
        <w:t xml:space="preserve"> </w:t>
      </w:r>
    </w:p>
    <w:p w14:paraId="449C326A" w14:textId="131C2A63" w:rsidR="000E2330" w:rsidRPr="00A75740" w:rsidRDefault="000E2330" w:rsidP="00F86E09">
      <w:pPr>
        <w:pStyle w:val="Olivier1"/>
        <w:widowControl w:val="0"/>
        <w:spacing w:line="240" w:lineRule="auto"/>
        <w:ind w:left="1620" w:hanging="1620"/>
        <w:rPr>
          <w:b/>
        </w:rPr>
      </w:pPr>
      <w:r w:rsidRPr="00A75740">
        <w:rPr>
          <w:b/>
          <w:u w:val="single"/>
        </w:rPr>
        <w:t>Proposition</w:t>
      </w:r>
      <w:r w:rsidR="009A0847">
        <w:rPr>
          <w:b/>
          <w:u w:val="single"/>
        </w:rPr>
        <w:t xml:space="preserve"> </w:t>
      </w:r>
      <w:r w:rsidRPr="00A75740">
        <w:rPr>
          <w:b/>
          <w:u w:val="single"/>
        </w:rPr>
        <w:t>1</w:t>
      </w:r>
      <w:r w:rsidRPr="00A75740">
        <w:t>:</w:t>
      </w:r>
      <w:r w:rsidR="009A0847">
        <w:t xml:space="preserve"> </w:t>
      </w:r>
      <w:r w:rsidRPr="00A75740">
        <w:t>When</w:t>
      </w:r>
      <w:r w:rsidR="009A0847">
        <w:t xml:space="preserve"> </w:t>
      </w:r>
      <m:oMath>
        <m:r>
          <w:rPr>
            <w:rFonts w:ascii="Cambria Math" w:hAnsi="Cambria Math"/>
            <w:sz w:val="22"/>
            <w:szCs w:val="22"/>
          </w:rPr>
          <m:t>θ&gt;</m:t>
        </m:r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θ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0</m:t>
            </m:r>
          </m:sub>
        </m:sSub>
        <m:r>
          <w:rPr>
            <w:rFonts w:ascii="Cambria Math" w:hAnsi="Cambria Math"/>
            <w:sz w:val="22"/>
            <w:szCs w:val="22"/>
          </w:rPr>
          <m:t>=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c-dw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k</m:t>
            </m:r>
          </m:den>
        </m:f>
      </m:oMath>
      <w:r w:rsidR="009A0847">
        <w:t xml:space="preserve"> </w:t>
      </w:r>
      <w:r w:rsidRPr="00A75740">
        <w:t>the</w:t>
      </w:r>
      <w:r w:rsidR="009A0847">
        <w:t xml:space="preserve"> </w:t>
      </w:r>
      <w:r w:rsidRPr="00A75740">
        <w:t>unique</w:t>
      </w:r>
      <w:r w:rsidR="009A0847">
        <w:t xml:space="preserve"> </w:t>
      </w:r>
      <w:r w:rsidRPr="00A75740">
        <w:t>equilibrium</w:t>
      </w:r>
      <w:r w:rsidR="009A0847">
        <w:t xml:space="preserve"> </w:t>
      </w:r>
      <w:r w:rsidRPr="00A75740">
        <w:t>is</w:t>
      </w:r>
      <w:r w:rsidR="009A0847">
        <w:t xml:space="preserve"> </w:t>
      </w:r>
      <m:oMath>
        <m:r>
          <m:rPr>
            <m:sty m:val="bi"/>
          </m:rPr>
          <w:rPr>
            <w:rFonts w:ascii="Cambria Math" w:hAnsi="Cambria Math"/>
            <w:sz w:val="22"/>
            <w:szCs w:val="22"/>
          </w:rPr>
          <m:t>St</m:t>
        </m:r>
      </m:oMath>
      <w:r w:rsidRPr="00A75740">
        <w:t>,</w:t>
      </w:r>
      <w:r w:rsidR="009A0847">
        <w:t xml:space="preserve"> </w:t>
      </w:r>
      <w:r w:rsidRPr="00A75740">
        <w:t>otherwise</w:t>
      </w:r>
      <w:r w:rsidR="009A0847">
        <w:t xml:space="preserve"> </w:t>
      </w:r>
      <w:r w:rsidRPr="00A75740">
        <w:t>the</w:t>
      </w:r>
      <w:r w:rsidR="009A0847">
        <w:t xml:space="preserve"> </w:t>
      </w:r>
      <w:r w:rsidRPr="00A75740">
        <w:t>unique</w:t>
      </w:r>
      <w:r w:rsidR="009A0847">
        <w:t xml:space="preserve"> </w:t>
      </w:r>
      <w:r w:rsidRPr="00A75740">
        <w:t>equilibrium</w:t>
      </w:r>
      <w:r w:rsidR="009A0847">
        <w:t xml:space="preserve"> </w:t>
      </w:r>
      <w:r w:rsidRPr="00A75740">
        <w:t>is</w:t>
      </w:r>
      <w:r w:rsidR="009A0847">
        <w:t xml:space="preserve"> </w:t>
      </w:r>
      <m:oMath>
        <m:r>
          <m:rPr>
            <m:sty m:val="bi"/>
          </m:rPr>
          <w:rPr>
            <w:rFonts w:ascii="Cambria Math" w:hAnsi="Cambria Math"/>
            <w:sz w:val="22"/>
            <w:szCs w:val="22"/>
          </w:rPr>
          <m:t>NoSt</m:t>
        </m:r>
      </m:oMath>
      <w:r w:rsidRPr="00A75740">
        <w:t>.</w:t>
      </w:r>
    </w:p>
    <w:p w14:paraId="3E8ACF39" w14:textId="46631C3A" w:rsidR="00944E6E" w:rsidRPr="009045F7" w:rsidRDefault="000E2330" w:rsidP="00F86E09">
      <w:pPr>
        <w:pStyle w:val="Olivier1"/>
        <w:widowControl w:val="0"/>
        <w:spacing w:line="240" w:lineRule="auto"/>
      </w:pPr>
      <w:r w:rsidRPr="00A75740">
        <w:rPr>
          <w:b/>
        </w:rPr>
        <w:t>Proof</w:t>
      </w:r>
      <w:r w:rsidRPr="00A75740">
        <w:t>:</w:t>
      </w:r>
      <w:r w:rsidR="009A0847">
        <w:t xml:space="preserve"> </w:t>
      </w:r>
      <w:r w:rsidR="00944E6E" w:rsidRPr="009045F7">
        <w:t>First,</w:t>
      </w:r>
      <w:r w:rsidR="009A0847">
        <w:t xml:space="preserve"> </w:t>
      </w:r>
      <w:r w:rsidR="00944E6E" w:rsidRPr="009045F7">
        <w:t>observe</w:t>
      </w:r>
      <w:r w:rsidR="009A0847">
        <w:t xml:space="preserve"> </w:t>
      </w:r>
      <w:r w:rsidR="00944E6E" w:rsidRPr="009045F7">
        <w:t>that</w:t>
      </w:r>
      <w:r w:rsidR="009A0847">
        <w:t xml:space="preserve"> </w:t>
      </w:r>
      <w:r w:rsidR="00944E6E" w:rsidRPr="009045F7">
        <w:t>there</w:t>
      </w:r>
      <w:r w:rsidR="009A0847">
        <w:t xml:space="preserve"> </w:t>
      </w:r>
      <w:r w:rsidR="00944E6E" w:rsidRPr="009045F7">
        <w:t>cannot</w:t>
      </w:r>
      <w:r w:rsidR="009A0847">
        <w:t xml:space="preserve"> </w:t>
      </w:r>
      <w:r w:rsidR="00944E6E" w:rsidRPr="009045F7">
        <w:t>be</w:t>
      </w:r>
      <w:r w:rsidR="009A0847">
        <w:t xml:space="preserve"> </w:t>
      </w:r>
      <w:r w:rsidR="00944E6E" w:rsidRPr="009045F7">
        <w:t>a</w:t>
      </w:r>
      <w:r w:rsidR="009A0847">
        <w:t xml:space="preserve"> </w:t>
      </w:r>
      <w:r w:rsidR="00944E6E" w:rsidRPr="009045F7">
        <w:t>separating</w:t>
      </w:r>
      <w:r w:rsidR="009A0847">
        <w:t xml:space="preserve"> </w:t>
      </w:r>
      <w:r w:rsidR="00944E6E" w:rsidRPr="009045F7">
        <w:t>equilibrium</w:t>
      </w:r>
      <w:r w:rsidR="009A0847">
        <w:t xml:space="preserve"> </w:t>
      </w:r>
      <w:r w:rsidR="00944E6E" w:rsidRPr="009045F7">
        <w:t>in</w:t>
      </w:r>
      <w:r w:rsidR="009A0847">
        <w:t xml:space="preserve"> </w:t>
      </w:r>
      <w:r w:rsidR="00944E6E" w:rsidRPr="009045F7">
        <w:t>which</w:t>
      </w:r>
      <w:r w:rsidR="009A0847">
        <w:t xml:space="preserve"> </w:t>
      </w:r>
      <w:r w:rsidR="00944E6E" w:rsidRPr="009045F7">
        <w:t>one</w:t>
      </w:r>
      <w:r w:rsidR="009A0847">
        <w:t xml:space="preserve"> </w:t>
      </w:r>
      <w:r w:rsidR="00944E6E" w:rsidRPr="009045F7">
        <w:t>type</w:t>
      </w:r>
      <w:r w:rsidR="009A0847">
        <w:t xml:space="preserve"> </w:t>
      </w:r>
      <w:r w:rsidR="00944E6E" w:rsidRPr="009045F7">
        <w:t>of</w:t>
      </w:r>
      <w:r w:rsidR="009A0847">
        <w:t xml:space="preserve"> </w:t>
      </w:r>
      <w:r w:rsidR="00944E6E" w:rsidRPr="009045F7">
        <w:t>illiquid</w:t>
      </w:r>
      <w:r w:rsidR="009A0847">
        <w:t xml:space="preserve"> </w:t>
      </w:r>
      <w:r w:rsidR="00944E6E" w:rsidRPr="009045F7">
        <w:t>bank</w:t>
      </w:r>
      <w:r w:rsidR="009A0847">
        <w:t xml:space="preserve"> </w:t>
      </w:r>
      <w:r w:rsidR="00944E6E" w:rsidRPr="009045F7">
        <w:t>borrows</w:t>
      </w:r>
      <w:r w:rsidR="009A0847">
        <w:t xml:space="preserve"> </w:t>
      </w:r>
      <w:r w:rsidR="00944E6E" w:rsidRPr="009045F7">
        <w:t>at</w:t>
      </w:r>
      <w:r w:rsidR="009A0847">
        <w:t xml:space="preserve"> </w:t>
      </w:r>
      <w:r w:rsidR="00944E6E" w:rsidRPr="009045F7">
        <w:t>the</w:t>
      </w:r>
      <w:r w:rsidR="009A0847">
        <w:t xml:space="preserve"> </w:t>
      </w:r>
      <w:r w:rsidR="00944E6E" w:rsidRPr="009045F7">
        <w:t>DW</w:t>
      </w:r>
      <w:r w:rsidR="009A0847">
        <w:t xml:space="preserve"> </w:t>
      </w:r>
      <w:r w:rsidR="00944E6E" w:rsidRPr="009045F7">
        <w:t>while</w:t>
      </w:r>
      <w:r w:rsidR="009A0847">
        <w:t xml:space="preserve"> </w:t>
      </w:r>
      <w:r w:rsidR="00944E6E" w:rsidRPr="009045F7">
        <w:t>the</w:t>
      </w:r>
      <w:r w:rsidR="009A0847">
        <w:t xml:space="preserve"> </w:t>
      </w:r>
      <w:r w:rsidR="00944E6E" w:rsidRPr="009045F7">
        <w:t>other</w:t>
      </w:r>
      <w:r w:rsidR="009A0847">
        <w:t xml:space="preserve"> </w:t>
      </w:r>
      <w:r w:rsidR="00944E6E" w:rsidRPr="009045F7">
        <w:t>type</w:t>
      </w:r>
      <w:r w:rsidR="009A0847">
        <w:t xml:space="preserve"> </w:t>
      </w:r>
      <w:r w:rsidR="00944E6E" w:rsidRPr="009045F7">
        <w:t>does</w:t>
      </w:r>
      <w:r w:rsidR="009A0847">
        <w:t xml:space="preserve"> </w:t>
      </w:r>
      <w:r w:rsidR="00944E6E" w:rsidRPr="009045F7">
        <w:t>not.</w:t>
      </w:r>
      <w:r w:rsidR="009A0847">
        <w:t xml:space="preserve"> </w:t>
      </w:r>
      <w:r w:rsidR="00944E6E" w:rsidRPr="009045F7">
        <w:t>Indeed,</w:t>
      </w:r>
      <w:r w:rsidR="009A0847">
        <w:t xml:space="preserve"> </w:t>
      </w:r>
      <w:r w:rsidR="00944E6E" w:rsidRPr="009045F7">
        <w:t>the</w:t>
      </w:r>
      <w:r w:rsidR="009A0847">
        <w:t xml:space="preserve"> </w:t>
      </w:r>
      <w:r w:rsidR="00944E6E" w:rsidRPr="009045F7">
        <w:t>two</w:t>
      </w:r>
      <w:r w:rsidR="009A0847">
        <w:t xml:space="preserve"> </w:t>
      </w:r>
      <w:r w:rsidR="00944E6E" w:rsidRPr="009045F7">
        <w:t>types</w:t>
      </w:r>
      <w:r w:rsidR="009A0847">
        <w:t xml:space="preserve"> </w:t>
      </w:r>
      <w:r w:rsidR="00944E6E" w:rsidRPr="009045F7">
        <w:t>of</w:t>
      </w:r>
      <w:r w:rsidR="009A0847">
        <w:t xml:space="preserve"> </w:t>
      </w:r>
      <w:r w:rsidR="00944E6E" w:rsidRPr="009045F7">
        <w:t>illiquid</w:t>
      </w:r>
      <w:r w:rsidR="009A0847">
        <w:t xml:space="preserve"> </w:t>
      </w:r>
      <w:r w:rsidR="00944E6E" w:rsidRPr="009045F7">
        <w:t>banks</w:t>
      </w:r>
      <w:r w:rsidR="009A0847">
        <w:t xml:space="preserve"> </w:t>
      </w:r>
      <w:r w:rsidR="00B7743D">
        <w:t xml:space="preserve">(i.e. solvent and insolvent) </w:t>
      </w:r>
      <w:r w:rsidR="00944E6E" w:rsidRPr="009045F7">
        <w:t>have</w:t>
      </w:r>
      <w:r w:rsidR="009A0847">
        <w:t xml:space="preserve"> </w:t>
      </w:r>
      <w:r w:rsidR="00944E6E" w:rsidRPr="009045F7">
        <w:t>the</w:t>
      </w:r>
      <w:r w:rsidR="009A0847">
        <w:t xml:space="preserve"> </w:t>
      </w:r>
      <w:r w:rsidR="00944E6E" w:rsidRPr="009045F7">
        <w:t>same</w:t>
      </w:r>
      <w:r w:rsidR="009A0847">
        <w:t xml:space="preserve"> </w:t>
      </w:r>
      <w:r w:rsidR="00944E6E" w:rsidRPr="009045F7">
        <w:t>payoff</w:t>
      </w:r>
      <w:r w:rsidR="009A0847">
        <w:t xml:space="preserve"> </w:t>
      </w:r>
      <w:r w:rsidR="00944E6E" w:rsidRPr="009045F7">
        <w:t>function.</w:t>
      </w:r>
      <w:r w:rsidR="009A0847">
        <w:t xml:space="preserve"> </w:t>
      </w:r>
      <w:r w:rsidR="00944E6E" w:rsidRPr="009045F7">
        <w:t>Thus,</w:t>
      </w:r>
      <w:r w:rsidR="009A0847">
        <w:t xml:space="preserve"> </w:t>
      </w:r>
      <w:r w:rsidR="00944E6E" w:rsidRPr="009045F7">
        <w:t>if</w:t>
      </w:r>
      <w:r w:rsidR="009A0847">
        <w:t xml:space="preserve"> </w:t>
      </w:r>
      <w:r w:rsidR="00944E6E" w:rsidRPr="009045F7">
        <w:t>it</w:t>
      </w:r>
      <w:r w:rsidR="009A0847">
        <w:t xml:space="preserve"> </w:t>
      </w:r>
      <w:r w:rsidR="00944E6E" w:rsidRPr="009045F7">
        <w:t>is</w:t>
      </w:r>
      <w:r w:rsidR="009A0847">
        <w:t xml:space="preserve"> </w:t>
      </w:r>
      <w:r w:rsidR="00944E6E" w:rsidRPr="009045F7">
        <w:t>strictly</w:t>
      </w:r>
      <w:r w:rsidR="009A0847">
        <w:t xml:space="preserve"> </w:t>
      </w:r>
      <w:r w:rsidR="00944E6E" w:rsidRPr="009045F7">
        <w:t>better</w:t>
      </w:r>
      <w:r w:rsidR="009A0847">
        <w:t xml:space="preserve"> </w:t>
      </w:r>
      <w:r w:rsidR="00944E6E" w:rsidRPr="009045F7">
        <w:t>for</w:t>
      </w:r>
      <w:r w:rsidR="009A0847">
        <w:t xml:space="preserve"> </w:t>
      </w:r>
      <w:r w:rsidR="00944E6E" w:rsidRPr="009045F7">
        <w:t>a</w:t>
      </w:r>
      <w:r w:rsidR="009A0847">
        <w:t xml:space="preserve"> </w:t>
      </w:r>
      <w:r w:rsidR="00944E6E" w:rsidRPr="009045F7">
        <w:t>solvent-illiquid</w:t>
      </w:r>
      <w:r w:rsidR="009A0847">
        <w:t xml:space="preserve"> </w:t>
      </w:r>
      <w:r w:rsidR="00944E6E" w:rsidRPr="009045F7">
        <w:t>bank</w:t>
      </w:r>
      <w:r w:rsidR="009A0847">
        <w:t xml:space="preserve"> </w:t>
      </w:r>
      <w:r w:rsidR="00944E6E" w:rsidRPr="009045F7">
        <w:t>to</w:t>
      </w:r>
      <w:r w:rsidR="009A0847">
        <w:t xml:space="preserve"> </w:t>
      </w:r>
      <w:r w:rsidR="00944E6E" w:rsidRPr="009045F7">
        <w:t>borrow</w:t>
      </w:r>
      <w:r w:rsidR="009A0847">
        <w:t xml:space="preserve"> </w:t>
      </w:r>
      <w:r w:rsidR="00944E6E" w:rsidRPr="009045F7">
        <w:t>at</w:t>
      </w:r>
      <w:r w:rsidR="009A0847">
        <w:t xml:space="preserve"> </w:t>
      </w:r>
      <w:r w:rsidR="00944E6E" w:rsidRPr="009045F7">
        <w:t>the</w:t>
      </w:r>
      <w:r w:rsidR="009A0847">
        <w:t xml:space="preserve"> </w:t>
      </w:r>
      <w:r w:rsidR="00944E6E" w:rsidRPr="009045F7">
        <w:t>DW,</w:t>
      </w:r>
      <w:r w:rsidR="009A0847">
        <w:t xml:space="preserve"> </w:t>
      </w:r>
      <w:r w:rsidR="00944E6E" w:rsidRPr="009045F7">
        <w:t>then</w:t>
      </w:r>
      <w:r w:rsidR="009A0847">
        <w:t xml:space="preserve"> </w:t>
      </w:r>
      <w:r w:rsidR="00944E6E" w:rsidRPr="009045F7">
        <w:t>an</w:t>
      </w:r>
      <w:r w:rsidR="009A0847">
        <w:t xml:space="preserve"> </w:t>
      </w:r>
      <w:r w:rsidR="00790803">
        <w:t>insolvent-illiquid</w:t>
      </w:r>
      <w:r w:rsidR="009A0847">
        <w:t xml:space="preserve"> </w:t>
      </w:r>
      <w:r w:rsidR="00944E6E" w:rsidRPr="009045F7">
        <w:t>bank</w:t>
      </w:r>
      <w:r w:rsidR="009A0847">
        <w:t xml:space="preserve"> </w:t>
      </w:r>
      <w:r w:rsidR="00944E6E" w:rsidRPr="009045F7">
        <w:t>has</w:t>
      </w:r>
      <w:r w:rsidR="009A0847">
        <w:t xml:space="preserve"> </w:t>
      </w:r>
      <w:r w:rsidR="00944E6E" w:rsidRPr="009045F7">
        <w:t>an</w:t>
      </w:r>
      <w:r w:rsidR="009A0847">
        <w:t xml:space="preserve"> </w:t>
      </w:r>
      <w:r w:rsidR="00944E6E" w:rsidRPr="009045F7">
        <w:t>incentive</w:t>
      </w:r>
      <w:r w:rsidR="009A0847">
        <w:t xml:space="preserve"> </w:t>
      </w:r>
      <w:r w:rsidR="00944E6E" w:rsidRPr="009045F7">
        <w:t>to</w:t>
      </w:r>
      <w:r w:rsidR="009A0847">
        <w:t xml:space="preserve"> </w:t>
      </w:r>
      <w:r w:rsidR="00944E6E" w:rsidRPr="009045F7">
        <w:t>mimic</w:t>
      </w:r>
      <w:r w:rsidR="009A0847">
        <w:t xml:space="preserve"> </w:t>
      </w:r>
      <w:r w:rsidR="00944E6E" w:rsidRPr="009045F7">
        <w:t>this</w:t>
      </w:r>
      <w:r w:rsidR="009A0847">
        <w:t xml:space="preserve"> </w:t>
      </w:r>
      <w:r w:rsidR="00944E6E" w:rsidRPr="009045F7">
        <w:t>st</w:t>
      </w:r>
      <w:r w:rsidR="003871E4">
        <w:t>rategy</w:t>
      </w:r>
      <w:r w:rsidR="009A0847">
        <w:t xml:space="preserve"> </w:t>
      </w:r>
      <w:r w:rsidR="003871E4">
        <w:t>and</w:t>
      </w:r>
      <w:r w:rsidR="009A0847">
        <w:t xml:space="preserve"> </w:t>
      </w:r>
      <w:r w:rsidR="003871E4">
        <w:t>behave</w:t>
      </w:r>
      <w:r w:rsidR="009A0847">
        <w:t xml:space="preserve"> </w:t>
      </w:r>
      <w:r w:rsidR="003871E4">
        <w:t>as</w:t>
      </w:r>
      <w:r w:rsidR="009A0847">
        <w:t xml:space="preserve"> </w:t>
      </w:r>
      <w:r w:rsidR="003871E4">
        <w:t>if</w:t>
      </w:r>
      <w:r w:rsidR="009A0847">
        <w:t xml:space="preserve"> </w:t>
      </w:r>
      <w:r w:rsidR="001212A3">
        <w:t>solvent-illiquid</w:t>
      </w:r>
      <w:r w:rsidR="00944E6E" w:rsidRPr="009045F7">
        <w:t>.</w:t>
      </w:r>
      <w:r w:rsidR="009A0847">
        <w:t xml:space="preserve"> </w:t>
      </w:r>
    </w:p>
    <w:p w14:paraId="1CEC5940" w14:textId="5831FCDF" w:rsidR="00A03F75" w:rsidRPr="003871E4" w:rsidRDefault="00944E6E" w:rsidP="00F86E09">
      <w:pPr>
        <w:pStyle w:val="Olivier1"/>
        <w:widowControl w:val="0"/>
        <w:spacing w:line="240" w:lineRule="auto"/>
      </w:pPr>
      <w:r w:rsidRPr="009045F7">
        <w:t>Consider</w:t>
      </w:r>
      <w:r w:rsidR="009A0847">
        <w:t xml:space="preserve"> </w:t>
      </w:r>
      <w:r w:rsidRPr="009045F7">
        <w:t>the</w:t>
      </w:r>
      <w:r w:rsidR="009A0847">
        <w:t xml:space="preserve"> </w:t>
      </w:r>
      <w:r w:rsidRPr="009045F7">
        <w:t>case</w:t>
      </w:r>
      <w:r w:rsidR="009A0847">
        <w:t xml:space="preserve"> </w:t>
      </w:r>
      <w:r w:rsidRPr="009045F7">
        <w:t>where</w:t>
      </w:r>
      <w:r w:rsidR="009A0847">
        <w:t xml:space="preserve"> </w:t>
      </w:r>
      <w:r w:rsidRPr="009045F7">
        <w:rPr>
          <w:u w:val="single"/>
        </w:rPr>
        <w:t>no</w:t>
      </w:r>
      <w:r w:rsidR="009A0847">
        <w:rPr>
          <w:u w:val="single"/>
        </w:rPr>
        <w:t xml:space="preserve"> </w:t>
      </w:r>
      <w:r w:rsidRPr="009045F7">
        <w:rPr>
          <w:u w:val="single"/>
        </w:rPr>
        <w:t>bank</w:t>
      </w:r>
      <w:r w:rsidR="009A0847">
        <w:rPr>
          <w:u w:val="single"/>
        </w:rPr>
        <w:t xml:space="preserve"> </w:t>
      </w:r>
      <w:r w:rsidRPr="009045F7">
        <w:rPr>
          <w:u w:val="single"/>
        </w:rPr>
        <w:t>borrows</w:t>
      </w:r>
      <w:r w:rsidR="009A0847">
        <w:rPr>
          <w:u w:val="single"/>
        </w:rPr>
        <w:t xml:space="preserve"> </w:t>
      </w:r>
      <w:r w:rsidRPr="009045F7">
        <w:rPr>
          <w:u w:val="single"/>
        </w:rPr>
        <w:t>at</w:t>
      </w:r>
      <w:r w:rsidR="009A0847">
        <w:rPr>
          <w:u w:val="single"/>
        </w:rPr>
        <w:t xml:space="preserve"> </w:t>
      </w:r>
      <w:r w:rsidRPr="009045F7">
        <w:rPr>
          <w:u w:val="single"/>
        </w:rPr>
        <w:t>the</w:t>
      </w:r>
      <w:r w:rsidR="009A0847">
        <w:rPr>
          <w:u w:val="single"/>
        </w:rPr>
        <w:t xml:space="preserve"> </w:t>
      </w:r>
      <w:r w:rsidRPr="009045F7">
        <w:rPr>
          <w:u w:val="single"/>
        </w:rPr>
        <w:t>DW</w:t>
      </w:r>
      <w:r w:rsidRPr="009045F7">
        <w:t>.</w:t>
      </w:r>
      <w:r w:rsidR="009A0847">
        <w:t xml:space="preserve"> </w:t>
      </w:r>
      <w:r w:rsidRPr="009045F7">
        <w:t>In</w:t>
      </w:r>
      <w:r w:rsidR="009A0847">
        <w:t xml:space="preserve"> </w:t>
      </w:r>
      <w:r w:rsidRPr="009045F7">
        <w:t>that</w:t>
      </w:r>
      <w:r w:rsidR="009A0847">
        <w:t xml:space="preserve"> </w:t>
      </w:r>
      <w:r w:rsidRPr="009045F7">
        <w:t>case,</w:t>
      </w:r>
      <w:r w:rsidR="009A0847">
        <w:t xml:space="preserve"> </w:t>
      </w:r>
      <w:r w:rsidRPr="009045F7">
        <w:t>the</w:t>
      </w:r>
      <w:r w:rsidR="009A0847">
        <w:t xml:space="preserve"> </w:t>
      </w:r>
      <w:r w:rsidRPr="009045F7">
        <w:t>investor</w:t>
      </w:r>
      <w:r w:rsidR="009A0847">
        <w:t xml:space="preserve"> </w:t>
      </w:r>
      <w:r w:rsidRPr="009045F7">
        <w:t>cannot</w:t>
      </w:r>
      <w:r w:rsidR="009A0847">
        <w:t xml:space="preserve"> </w:t>
      </w:r>
      <w:r w:rsidRPr="009045F7">
        <w:t>update</w:t>
      </w:r>
      <w:r w:rsidR="009A0847">
        <w:t xml:space="preserve"> </w:t>
      </w:r>
      <w:r w:rsidRPr="009045F7">
        <w:t>its</w:t>
      </w:r>
      <w:r w:rsidR="009A0847">
        <w:t xml:space="preserve"> </w:t>
      </w:r>
      <w:r w:rsidRPr="009045F7">
        <w:t>beliefs</w:t>
      </w:r>
      <w:r w:rsidR="003D7A4B">
        <w:t xml:space="preserve"> between the two periods</w:t>
      </w:r>
      <w:r w:rsidRPr="009045F7">
        <w:t>.</w:t>
      </w:r>
      <w:r w:rsidR="009A0847">
        <w:t xml:space="preserve"> </w:t>
      </w:r>
      <w:r w:rsidR="00DB65C6">
        <w:t>An</w:t>
      </w:r>
      <w:r w:rsidR="009A0847">
        <w:t xml:space="preserve"> </w:t>
      </w:r>
      <w:r w:rsidRPr="009045F7">
        <w:t>investor</w:t>
      </w:r>
      <w:r w:rsidR="009A0847">
        <w:t xml:space="preserve"> </w:t>
      </w:r>
      <w:r w:rsidRPr="009045F7">
        <w:t>expected</w:t>
      </w:r>
      <w:r w:rsidR="009A0847">
        <w:t xml:space="preserve"> </w:t>
      </w:r>
      <w:r w:rsidRPr="009045F7">
        <w:t>profit</w:t>
      </w:r>
      <w:r w:rsidR="009A0847">
        <w:t xml:space="preserve"> </w:t>
      </w:r>
      <w:r w:rsidRPr="009045F7">
        <w:t>is</w:t>
      </w:r>
      <w:r w:rsidR="009A0847">
        <w:t xml:space="preserve"> </w:t>
      </w:r>
      <m:oMath>
        <m:r>
          <w:rPr>
            <w:rFonts w:ascii="Cambria Math" w:hAnsi="Cambria Math"/>
            <w:sz w:val="22"/>
            <w:szCs w:val="22"/>
          </w:rPr>
          <m:t>pV</m:t>
        </m:r>
      </m:oMath>
      <w:r w:rsidR="009A0847">
        <w:t xml:space="preserve"> </w:t>
      </w:r>
      <w:r w:rsidR="00171856" w:rsidRPr="009045F7">
        <w:t>(where</w:t>
      </w:r>
      <w:r w:rsidR="009A0847">
        <w:t xml:space="preserve"> </w:t>
      </w:r>
      <m:oMath>
        <m:r>
          <w:rPr>
            <w:rFonts w:ascii="Cambria Math" w:hAnsi="Cambria Math"/>
            <w:sz w:val="22"/>
            <w:szCs w:val="22"/>
          </w:rPr>
          <m:t>p=</m:t>
        </m:r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1-P</m:t>
            </m:r>
          </m:e>
          <m:sub>
            <m:acc>
              <m:accPr>
                <m:chr m:val="̅"/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acc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S</m:t>
                </m:r>
              </m:e>
            </m:acc>
            <m:acc>
              <m:accPr>
                <m:chr m:val="̅"/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acc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L</m:t>
                </m:r>
              </m:e>
            </m:acc>
          </m:sub>
        </m:sSub>
      </m:oMath>
      <w:r w:rsidR="009A0847">
        <w:t xml:space="preserve"> </w:t>
      </w:r>
      <w:r w:rsidR="00171856" w:rsidRPr="009045F7">
        <w:t>is</w:t>
      </w:r>
      <w:r w:rsidR="009A0847">
        <w:t xml:space="preserve"> </w:t>
      </w:r>
      <w:r w:rsidR="00171856" w:rsidRPr="009045F7">
        <w:t>the</w:t>
      </w:r>
      <w:r w:rsidR="009A0847">
        <w:t xml:space="preserve"> </w:t>
      </w:r>
      <w:r w:rsidR="00171856" w:rsidRPr="009045F7">
        <w:t>unconditional</w:t>
      </w:r>
      <w:r w:rsidR="009A0847">
        <w:t xml:space="preserve"> </w:t>
      </w:r>
      <w:r w:rsidR="00171856" w:rsidRPr="009045F7">
        <w:t>probability</w:t>
      </w:r>
      <w:r w:rsidR="009A0847">
        <w:t xml:space="preserve"> </w:t>
      </w:r>
      <w:r w:rsidR="00DB65C6">
        <w:t>t</w:t>
      </w:r>
      <w:r w:rsidR="00171856" w:rsidRPr="009045F7">
        <w:t>hat</w:t>
      </w:r>
      <w:r w:rsidR="009A0847">
        <w:t xml:space="preserve"> </w:t>
      </w:r>
      <w:r w:rsidR="00171856" w:rsidRPr="009045F7">
        <w:t>a</w:t>
      </w:r>
      <w:r w:rsidR="009A0847">
        <w:t xml:space="preserve"> </w:t>
      </w:r>
      <w:r w:rsidR="00171856" w:rsidRPr="009045F7">
        <w:t>bank</w:t>
      </w:r>
      <w:r w:rsidR="009A0847">
        <w:t xml:space="preserve"> </w:t>
      </w:r>
      <w:r w:rsidR="00171856" w:rsidRPr="009045F7">
        <w:t>is</w:t>
      </w:r>
      <w:r w:rsidR="009A0847">
        <w:t xml:space="preserve"> </w:t>
      </w:r>
      <w:r w:rsidR="00171856" w:rsidRPr="009045F7">
        <w:t>solvent)</w:t>
      </w:r>
      <w:r w:rsidR="009A0847">
        <w:t xml:space="preserve"> </w:t>
      </w:r>
      <w:r w:rsidRPr="009045F7">
        <w:t>if</w:t>
      </w:r>
      <w:r w:rsidR="009A0847">
        <w:t xml:space="preserve"> </w:t>
      </w:r>
      <w:r w:rsidRPr="009045F7">
        <w:t>he</w:t>
      </w:r>
      <w:r w:rsidR="009A0847">
        <w:t xml:space="preserve"> </w:t>
      </w:r>
      <w:r w:rsidRPr="009045F7">
        <w:t>funds</w:t>
      </w:r>
      <w:r w:rsidR="009A0847">
        <w:t xml:space="preserve"> </w:t>
      </w:r>
      <w:r w:rsidRPr="009045F7">
        <w:t>the</w:t>
      </w:r>
      <w:r w:rsidR="009A0847">
        <w:t xml:space="preserve"> </w:t>
      </w:r>
      <w:r w:rsidRPr="009045F7">
        <w:t>bank</w:t>
      </w:r>
      <w:r w:rsidR="009A0847">
        <w:t xml:space="preserve"> </w:t>
      </w:r>
      <w:r w:rsidRPr="009045F7">
        <w:t>and</w:t>
      </w:r>
      <w:r w:rsidR="009A0847">
        <w:t xml:space="preserve"> </w:t>
      </w:r>
      <m:oMath>
        <m:r>
          <w:rPr>
            <w:rFonts w:ascii="Cambria Math" w:hAnsi="Cambria Math"/>
          </w:rPr>
          <m:t>v</m:t>
        </m:r>
      </m:oMath>
      <w:r w:rsidR="009A0847">
        <w:t xml:space="preserve"> </w:t>
      </w:r>
      <w:r w:rsidRPr="009045F7">
        <w:t>otherwise.</w:t>
      </w:r>
      <w:r w:rsidR="009A0847">
        <w:t xml:space="preserve"> </w:t>
      </w:r>
      <w:r w:rsidRPr="009045F7">
        <w:t>Because</w:t>
      </w:r>
      <w:r w:rsidR="009A0847">
        <w:t xml:space="preserve"> </w:t>
      </w:r>
      <m:oMath>
        <m:r>
          <w:rPr>
            <w:rFonts w:ascii="Cambria Math" w:hAnsi="Cambria Math"/>
            <w:sz w:val="22"/>
            <w:szCs w:val="22"/>
          </w:rPr>
          <m:t>v&lt;pV</m:t>
        </m:r>
      </m:oMath>
      <w:r w:rsidR="009A0847">
        <w:t xml:space="preserve"> </w:t>
      </w:r>
      <w:r w:rsidR="009045F7" w:rsidRPr="009045F7">
        <w:t>under</w:t>
      </w:r>
      <w:r w:rsidR="009A0847">
        <w:t xml:space="preserve"> </w:t>
      </w:r>
      <w:r w:rsidR="007356D6">
        <w:rPr>
          <w:i/>
        </w:rPr>
        <w:t>R</w:t>
      </w:r>
      <w:r w:rsidR="00DB66E3">
        <w:rPr>
          <w:i/>
        </w:rPr>
        <w:t>2</w:t>
      </w:r>
      <w:r w:rsidRPr="009045F7">
        <w:t>,</w:t>
      </w:r>
      <w:r w:rsidR="009A0847">
        <w:t xml:space="preserve"> </w:t>
      </w:r>
      <w:r w:rsidRPr="009045F7">
        <w:t>the</w:t>
      </w:r>
      <w:r w:rsidR="009A0847">
        <w:t xml:space="preserve"> </w:t>
      </w:r>
      <w:r w:rsidRPr="009045F7">
        <w:t>investor</w:t>
      </w:r>
      <w:r w:rsidR="009A0847">
        <w:t xml:space="preserve"> </w:t>
      </w:r>
      <w:r w:rsidRPr="009045F7">
        <w:t>funds</w:t>
      </w:r>
      <w:r w:rsidR="009A0847">
        <w:t xml:space="preserve"> </w:t>
      </w:r>
      <w:r w:rsidRPr="009045F7">
        <w:t>the</w:t>
      </w:r>
      <w:r w:rsidR="009A0847">
        <w:t xml:space="preserve"> </w:t>
      </w:r>
      <w:r w:rsidRPr="009045F7">
        <w:t>bank.</w:t>
      </w:r>
      <w:r w:rsidR="009A0847">
        <w:t xml:space="preserve"> </w:t>
      </w:r>
      <w:r w:rsidRPr="009045F7">
        <w:t>The</w:t>
      </w:r>
      <w:r w:rsidR="009A0847">
        <w:t xml:space="preserve"> </w:t>
      </w:r>
      <w:r w:rsidRPr="009045F7">
        <w:t>profit</w:t>
      </w:r>
      <w:r w:rsidR="009A0847">
        <w:t xml:space="preserve"> </w:t>
      </w:r>
      <w:r w:rsidRPr="009045F7">
        <w:t>of</w:t>
      </w:r>
      <w:r w:rsidR="009A0847">
        <w:t xml:space="preserve"> </w:t>
      </w:r>
      <w:r w:rsidRPr="009045F7">
        <w:t>an</w:t>
      </w:r>
      <w:r w:rsidR="009A0847">
        <w:t xml:space="preserve"> </w:t>
      </w:r>
      <w:r w:rsidRPr="009045F7">
        <w:t>illiquid</w:t>
      </w:r>
      <w:r w:rsidR="009A0847">
        <w:t xml:space="preserve"> </w:t>
      </w:r>
      <w:r w:rsidRPr="009045F7">
        <w:t>bank</w:t>
      </w:r>
      <w:r w:rsidR="009A0847">
        <w:t xml:space="preserve"> </w:t>
      </w:r>
      <w:r w:rsidRPr="009045F7">
        <w:t>(whether</w:t>
      </w:r>
      <w:r w:rsidR="009A0847">
        <w:t xml:space="preserve"> </w:t>
      </w:r>
      <w:r w:rsidRPr="009045F7">
        <w:t>solvent</w:t>
      </w:r>
      <w:r w:rsidR="009A0847">
        <w:t xml:space="preserve"> </w:t>
      </w:r>
      <w:r w:rsidRPr="009045F7">
        <w:t>or</w:t>
      </w:r>
      <w:r w:rsidR="009A0847">
        <w:t xml:space="preserve"> </w:t>
      </w:r>
      <w:r w:rsidRPr="009045F7">
        <w:t>insolvent)</w:t>
      </w:r>
      <w:r w:rsidR="009A0847">
        <w:t xml:space="preserve"> </w:t>
      </w:r>
      <w:r w:rsidRPr="009045F7">
        <w:t>is</w:t>
      </w:r>
      <w:r w:rsidR="009A0847">
        <w:t xml:space="preserve"> </w:t>
      </w:r>
      <w:r w:rsidRPr="009045F7">
        <w:t>then</w:t>
      </w:r>
      <w:r w:rsidR="009A0847">
        <w:t xml:space="preserve"> </w:t>
      </w:r>
      <m:oMath>
        <m:r>
          <w:rPr>
            <w:rFonts w:ascii="Cambria Math" w:hAnsi="Cambria Math"/>
            <w:sz w:val="22"/>
            <w:szCs w:val="22"/>
          </w:rPr>
          <m:t>-c+k</m:t>
        </m:r>
      </m:oMath>
      <w:r w:rsidRPr="009045F7">
        <w:t>.</w:t>
      </w:r>
      <w:r w:rsidR="009A0847">
        <w:t xml:space="preserve"> </w:t>
      </w:r>
      <w:r w:rsidRPr="009045F7">
        <w:t>Does</w:t>
      </w:r>
      <w:r w:rsidR="009A0847">
        <w:t xml:space="preserve"> </w:t>
      </w:r>
      <w:r w:rsidRPr="009045F7">
        <w:t>a</w:t>
      </w:r>
      <w:r w:rsidR="009A0847">
        <w:t xml:space="preserve"> </w:t>
      </w:r>
      <w:r w:rsidRPr="009045F7">
        <w:t>bank</w:t>
      </w:r>
      <w:r w:rsidR="009A0847">
        <w:t xml:space="preserve"> </w:t>
      </w:r>
      <w:r w:rsidRPr="009045F7">
        <w:t>have</w:t>
      </w:r>
      <w:r w:rsidR="009A0847">
        <w:t xml:space="preserve"> </w:t>
      </w:r>
      <w:r w:rsidRPr="009045F7">
        <w:t>an</w:t>
      </w:r>
      <w:r w:rsidR="009A0847">
        <w:t xml:space="preserve"> </w:t>
      </w:r>
      <w:r w:rsidRPr="009045F7">
        <w:t>incentive</w:t>
      </w:r>
      <w:r w:rsidR="009A0847">
        <w:t xml:space="preserve"> </w:t>
      </w:r>
      <w:r w:rsidRPr="009045F7">
        <w:t>to</w:t>
      </w:r>
      <w:r w:rsidR="009A0847">
        <w:t xml:space="preserve"> </w:t>
      </w:r>
      <w:r w:rsidRPr="009045F7">
        <w:t>deviate</w:t>
      </w:r>
      <w:r w:rsidR="009A0847">
        <w:t xml:space="preserve"> </w:t>
      </w:r>
      <w:r w:rsidRPr="009045F7">
        <w:t>and</w:t>
      </w:r>
      <w:r w:rsidR="009A0847">
        <w:t xml:space="preserve"> </w:t>
      </w:r>
      <w:r w:rsidRPr="009045F7">
        <w:t>borrow</w:t>
      </w:r>
      <w:r w:rsidR="009A0847">
        <w:t xml:space="preserve"> </w:t>
      </w:r>
      <w:r w:rsidRPr="009045F7">
        <w:t>at</w:t>
      </w:r>
      <w:r w:rsidR="009A0847">
        <w:t xml:space="preserve"> </w:t>
      </w:r>
      <w:r w:rsidRPr="009045F7">
        <w:t>the</w:t>
      </w:r>
      <w:r w:rsidR="009A0847">
        <w:t xml:space="preserve"> </w:t>
      </w:r>
      <w:r w:rsidRPr="009045F7">
        <w:t>DW?</w:t>
      </w:r>
      <w:r w:rsidR="009A0847">
        <w:t xml:space="preserve"> </w:t>
      </w:r>
      <w:r w:rsidRPr="009045F7">
        <w:t>It</w:t>
      </w:r>
      <w:r w:rsidR="009A0847">
        <w:t xml:space="preserve"> </w:t>
      </w:r>
      <w:r w:rsidRPr="009045F7">
        <w:t>depends</w:t>
      </w:r>
      <w:r w:rsidR="009A0847">
        <w:t xml:space="preserve"> </w:t>
      </w:r>
      <w:r w:rsidRPr="009045F7">
        <w:t>on</w:t>
      </w:r>
      <w:r w:rsidR="009A0847">
        <w:t xml:space="preserve"> </w:t>
      </w:r>
      <w:r w:rsidRPr="009045F7">
        <w:t>the</w:t>
      </w:r>
      <w:r w:rsidR="009A0847">
        <w:t xml:space="preserve"> </w:t>
      </w:r>
      <w:r w:rsidRPr="009045F7">
        <w:t>strategy</w:t>
      </w:r>
      <w:r w:rsidR="009A0847">
        <w:t xml:space="preserve"> </w:t>
      </w:r>
      <w:r w:rsidRPr="009045F7">
        <w:t>of</w:t>
      </w:r>
      <w:r w:rsidR="009A0847">
        <w:t xml:space="preserve"> </w:t>
      </w:r>
      <w:r w:rsidRPr="009045F7">
        <w:t>the</w:t>
      </w:r>
      <w:r w:rsidR="009A0847">
        <w:t xml:space="preserve"> </w:t>
      </w:r>
      <w:r w:rsidRPr="009045F7">
        <w:t>investor</w:t>
      </w:r>
      <w:r w:rsidR="009A0847">
        <w:t xml:space="preserve"> </w:t>
      </w:r>
      <w:r w:rsidRPr="009045F7">
        <w:t>if</w:t>
      </w:r>
      <w:r w:rsidR="009A0847">
        <w:t xml:space="preserve"> </w:t>
      </w:r>
      <w:r w:rsidRPr="009045F7">
        <w:t>it</w:t>
      </w:r>
      <w:r w:rsidR="009A0847">
        <w:t xml:space="preserve"> </w:t>
      </w:r>
      <w:r w:rsidRPr="009045F7">
        <w:t>were</w:t>
      </w:r>
      <w:r w:rsidR="009A0847">
        <w:t xml:space="preserve"> </w:t>
      </w:r>
      <w:r w:rsidRPr="009045F7">
        <w:t>to</w:t>
      </w:r>
      <w:r w:rsidR="009A0847">
        <w:t xml:space="preserve"> </w:t>
      </w:r>
      <w:r w:rsidR="003D7A4B">
        <w:t>detect</w:t>
      </w:r>
      <w:r w:rsidR="009A0847">
        <w:t xml:space="preserve"> </w:t>
      </w:r>
      <w:r w:rsidRPr="009045F7">
        <w:t>a</w:t>
      </w:r>
      <w:r w:rsidR="009A0847">
        <w:t xml:space="preserve"> </w:t>
      </w:r>
      <w:r w:rsidRPr="009045F7">
        <w:t>bank</w:t>
      </w:r>
      <w:r w:rsidR="009A0847">
        <w:t xml:space="preserve"> </w:t>
      </w:r>
      <w:r w:rsidRPr="009045F7">
        <w:t>borrowing</w:t>
      </w:r>
      <w:r w:rsidR="009A0847">
        <w:t xml:space="preserve"> </w:t>
      </w:r>
      <w:r w:rsidRPr="009045F7">
        <w:t>at</w:t>
      </w:r>
      <w:r w:rsidR="009A0847">
        <w:t xml:space="preserve"> </w:t>
      </w:r>
      <w:r w:rsidRPr="009045F7">
        <w:t>the</w:t>
      </w:r>
      <w:r w:rsidR="009A0847">
        <w:t xml:space="preserve"> </w:t>
      </w:r>
      <w:r w:rsidRPr="009045F7">
        <w:t>DW.</w:t>
      </w:r>
      <w:r w:rsidR="009A0847">
        <w:t xml:space="preserve"> </w:t>
      </w:r>
      <w:r w:rsidRPr="009045F7">
        <w:t>If</w:t>
      </w:r>
      <w:r w:rsidR="009A0847">
        <w:t xml:space="preserve"> </w:t>
      </w:r>
      <w:r w:rsidRPr="009045F7">
        <w:t>the</w:t>
      </w:r>
      <w:r w:rsidR="009A0847">
        <w:t xml:space="preserve"> </w:t>
      </w:r>
      <w:r w:rsidRPr="009045F7">
        <w:t>investor</w:t>
      </w:r>
      <w:r w:rsidR="009A0847">
        <w:t xml:space="preserve"> </w:t>
      </w:r>
      <w:r w:rsidRPr="009045F7">
        <w:t>funds</w:t>
      </w:r>
      <w:r w:rsidR="009A0847">
        <w:t xml:space="preserve"> </w:t>
      </w:r>
      <w:r w:rsidRPr="009045F7">
        <w:t>a</w:t>
      </w:r>
      <w:r w:rsidR="009A0847">
        <w:t xml:space="preserve"> </w:t>
      </w:r>
      <w:r w:rsidR="003D7A4B">
        <w:t xml:space="preserve">detected </w:t>
      </w:r>
      <w:r w:rsidRPr="009045F7">
        <w:t>bank,</w:t>
      </w:r>
      <w:r w:rsidR="009A0847">
        <w:t xml:space="preserve"> </w:t>
      </w:r>
      <w:r w:rsidRPr="009045F7">
        <w:t>then</w:t>
      </w:r>
      <w:r w:rsidR="009A0847">
        <w:t xml:space="preserve"> </w:t>
      </w:r>
      <w:r w:rsidRPr="009045F7">
        <w:t>an</w:t>
      </w:r>
      <w:r w:rsidR="009A0847">
        <w:t xml:space="preserve"> </w:t>
      </w:r>
      <w:r w:rsidRPr="009045F7">
        <w:t>illiquid</w:t>
      </w:r>
      <w:r w:rsidR="009A0847">
        <w:t xml:space="preserve"> </w:t>
      </w:r>
      <w:r w:rsidRPr="009045F7">
        <w:t>bank</w:t>
      </w:r>
      <w:r w:rsidR="009A0847">
        <w:t xml:space="preserve"> </w:t>
      </w:r>
      <w:r w:rsidRPr="009045F7">
        <w:t>has</w:t>
      </w:r>
      <w:r w:rsidR="009A0847">
        <w:t xml:space="preserve"> </w:t>
      </w:r>
      <w:r w:rsidRPr="009045F7">
        <w:t>a</w:t>
      </w:r>
      <w:r w:rsidR="009A0847">
        <w:t xml:space="preserve"> </w:t>
      </w:r>
      <w:r w:rsidRPr="009045F7">
        <w:t>strict</w:t>
      </w:r>
      <w:r w:rsidR="009A0847">
        <w:t xml:space="preserve"> </w:t>
      </w:r>
      <w:r w:rsidRPr="009045F7">
        <w:t>incentive</w:t>
      </w:r>
      <w:r w:rsidR="009A0847">
        <w:t xml:space="preserve"> </w:t>
      </w:r>
      <w:r w:rsidRPr="009045F7">
        <w:t>to</w:t>
      </w:r>
      <w:r w:rsidR="009A0847">
        <w:t xml:space="preserve"> </w:t>
      </w:r>
      <w:r w:rsidRPr="009045F7">
        <w:t>deviate,</w:t>
      </w:r>
      <w:r w:rsidR="009A0847">
        <w:t xml:space="preserve"> </w:t>
      </w:r>
      <w:r w:rsidRPr="009045F7">
        <w:t>as</w:t>
      </w:r>
      <w:r w:rsidR="009A0847">
        <w:t xml:space="preserve"> </w:t>
      </w:r>
      <w:r w:rsidRPr="009045F7">
        <w:t>this</w:t>
      </w:r>
      <w:r w:rsidR="009A0847">
        <w:t xml:space="preserve"> </w:t>
      </w:r>
      <w:r w:rsidRPr="009045F7">
        <w:t>would</w:t>
      </w:r>
      <w:r w:rsidR="009A0847">
        <w:t xml:space="preserve"> </w:t>
      </w:r>
      <w:r w:rsidRPr="009045F7">
        <w:t>yield</w:t>
      </w:r>
      <w:r w:rsidR="009A0847">
        <w:t xml:space="preserve"> </w:t>
      </w:r>
      <w:r w:rsidRPr="009045F7">
        <w:t>a</w:t>
      </w:r>
      <w:r w:rsidR="009A0847">
        <w:t xml:space="preserve"> </w:t>
      </w:r>
      <w:r w:rsidRPr="009045F7">
        <w:t>higher</w:t>
      </w:r>
      <w:r w:rsidR="009A0847">
        <w:t xml:space="preserve"> </w:t>
      </w:r>
      <w:r w:rsidRPr="009045F7">
        <w:t>profit</w:t>
      </w:r>
      <w:r w:rsidR="009A0847">
        <w:t xml:space="preserve"> </w:t>
      </w:r>
      <w:r w:rsidRPr="009045F7">
        <w:t>(</w:t>
      </w:r>
      <m:oMath>
        <m:r>
          <w:rPr>
            <w:rFonts w:ascii="Cambria Math" w:hAnsi="Cambria Math"/>
            <w:sz w:val="22"/>
            <w:szCs w:val="22"/>
          </w:rPr>
          <m:t>-dw+k</m:t>
        </m:r>
      </m:oMath>
      <w:r w:rsidRPr="009045F7">
        <w:t>)</w:t>
      </w:r>
      <w:r w:rsidR="009A0847">
        <w:t xml:space="preserve"> </w:t>
      </w:r>
      <w:r w:rsidRPr="009045F7">
        <w:t>even</w:t>
      </w:r>
      <w:r w:rsidR="009A0847">
        <w:t xml:space="preserve"> </w:t>
      </w:r>
      <w:r w:rsidRPr="009045F7">
        <w:t>when</w:t>
      </w:r>
      <w:r w:rsidR="009A0847">
        <w:t xml:space="preserve"> </w:t>
      </w:r>
      <w:r w:rsidRPr="009045F7">
        <w:t>the</w:t>
      </w:r>
      <w:r w:rsidR="009A0847">
        <w:t xml:space="preserve"> </w:t>
      </w:r>
      <w:r w:rsidRPr="009045F7">
        <w:t>bank</w:t>
      </w:r>
      <w:r w:rsidR="009A0847">
        <w:t xml:space="preserve"> </w:t>
      </w:r>
      <w:r w:rsidRPr="009045F7">
        <w:t>is</w:t>
      </w:r>
      <w:r w:rsidR="009A0847">
        <w:t xml:space="preserve"> </w:t>
      </w:r>
      <w:r w:rsidR="003D7A4B">
        <w:t>detected</w:t>
      </w:r>
      <w:r w:rsidR="009A0847">
        <w:t xml:space="preserve"> </w:t>
      </w:r>
      <w:r w:rsidRPr="009045F7">
        <w:t>at</w:t>
      </w:r>
      <w:r w:rsidR="009A0847">
        <w:t xml:space="preserve"> </w:t>
      </w:r>
      <w:r w:rsidRPr="009045F7">
        <w:t>the</w:t>
      </w:r>
      <w:r w:rsidR="009A0847">
        <w:t xml:space="preserve"> </w:t>
      </w:r>
      <w:r w:rsidRPr="009045F7">
        <w:t>DW.</w:t>
      </w:r>
      <w:r w:rsidR="009A0847">
        <w:t xml:space="preserve"> </w:t>
      </w:r>
      <w:r w:rsidRPr="009045F7">
        <w:t>If</w:t>
      </w:r>
      <w:r w:rsidR="009A0847">
        <w:t xml:space="preserve"> </w:t>
      </w:r>
      <w:r w:rsidRPr="009045F7">
        <w:t>instead</w:t>
      </w:r>
      <w:r w:rsidR="009A0847">
        <w:t xml:space="preserve"> </w:t>
      </w:r>
      <w:r w:rsidRPr="009045F7">
        <w:t>the</w:t>
      </w:r>
      <w:r w:rsidR="009A0847">
        <w:t xml:space="preserve"> </w:t>
      </w:r>
      <w:r w:rsidRPr="009045F7">
        <w:t>investor</w:t>
      </w:r>
      <w:r w:rsidR="009A0847">
        <w:t xml:space="preserve"> </w:t>
      </w:r>
      <w:r w:rsidRPr="009045F7">
        <w:t>does</w:t>
      </w:r>
      <w:r w:rsidR="009A0847">
        <w:t xml:space="preserve"> </w:t>
      </w:r>
      <w:r w:rsidRPr="009045F7">
        <w:t>not</w:t>
      </w:r>
      <w:r w:rsidR="009A0847">
        <w:t xml:space="preserve"> </w:t>
      </w:r>
      <w:r w:rsidRPr="009045F7">
        <w:t>fund</w:t>
      </w:r>
      <w:r w:rsidR="009A0847">
        <w:t xml:space="preserve"> </w:t>
      </w:r>
      <w:r w:rsidRPr="009045F7">
        <w:t>a</w:t>
      </w:r>
      <w:r w:rsidR="009A0847">
        <w:t xml:space="preserve"> </w:t>
      </w:r>
      <w:r w:rsidR="003D7A4B">
        <w:t xml:space="preserve">detected </w:t>
      </w:r>
      <w:r w:rsidRPr="009045F7">
        <w:t>bank,</w:t>
      </w:r>
      <w:r w:rsidR="009A0847">
        <w:t xml:space="preserve"> </w:t>
      </w:r>
      <w:r w:rsidRPr="009045F7">
        <w:t>then</w:t>
      </w:r>
      <w:r w:rsidR="009A0847">
        <w:t xml:space="preserve"> </w:t>
      </w:r>
      <w:r w:rsidRPr="009045F7">
        <w:t>a</w:t>
      </w:r>
      <w:r w:rsidR="009A0847">
        <w:t xml:space="preserve"> </w:t>
      </w:r>
      <w:r w:rsidRPr="009045F7">
        <w:t>bank</w:t>
      </w:r>
      <w:r w:rsidR="009A0847">
        <w:t xml:space="preserve"> </w:t>
      </w:r>
      <w:r w:rsidRPr="009045F7">
        <w:t>expected</w:t>
      </w:r>
      <w:r w:rsidR="009A0847">
        <w:t xml:space="preserve"> </w:t>
      </w:r>
      <w:r w:rsidRPr="009045F7">
        <w:t>profit</w:t>
      </w:r>
      <w:r w:rsidR="009A0847">
        <w:t xml:space="preserve"> </w:t>
      </w:r>
      <w:r w:rsidRPr="009045F7">
        <w:t>when</w:t>
      </w:r>
      <w:r w:rsidR="009A0847">
        <w:t xml:space="preserve"> </w:t>
      </w:r>
      <w:r w:rsidRPr="009045F7">
        <w:t>it</w:t>
      </w:r>
      <w:r w:rsidR="009A0847">
        <w:t xml:space="preserve"> </w:t>
      </w:r>
      <w:r w:rsidRPr="009045F7">
        <w:t>deviates</w:t>
      </w:r>
      <w:r w:rsidR="009A0847">
        <w:t xml:space="preserve"> </w:t>
      </w:r>
      <w:r w:rsidRPr="009045F7">
        <w:t>and</w:t>
      </w:r>
      <w:r w:rsidR="009A0847">
        <w:t xml:space="preserve"> </w:t>
      </w:r>
      <w:r w:rsidRPr="009045F7">
        <w:t>borrows</w:t>
      </w:r>
      <w:r w:rsidR="009A0847">
        <w:t xml:space="preserve"> </w:t>
      </w:r>
      <w:r w:rsidRPr="009045F7">
        <w:t>at</w:t>
      </w:r>
      <w:r w:rsidR="009A0847">
        <w:t xml:space="preserve"> </w:t>
      </w:r>
      <w:r w:rsidRPr="009045F7">
        <w:t>the</w:t>
      </w:r>
      <w:r w:rsidR="009A0847">
        <w:t xml:space="preserve"> </w:t>
      </w:r>
      <w:r w:rsidRPr="009045F7">
        <w:t>DW</w:t>
      </w:r>
      <w:r w:rsidR="009A0847">
        <w:t xml:space="preserve"> </w:t>
      </w:r>
      <w:r w:rsidRPr="009045F7">
        <w:t>becomes</w:t>
      </w:r>
      <w:r w:rsidR="009A0847">
        <w:t xml:space="preserve"> </w:t>
      </w:r>
      <m:oMath>
        <m:r>
          <w:rPr>
            <w:rFonts w:ascii="Cambria Math" w:hAnsi="Cambria Math"/>
            <w:sz w:val="22"/>
            <w:szCs w:val="22"/>
          </w:rPr>
          <m:t>-dw+(1-θ)k</m:t>
        </m:r>
      </m:oMath>
      <w:r w:rsidR="009045F7" w:rsidRPr="009045F7">
        <w:t>.</w:t>
      </w:r>
      <w:r w:rsidR="009A0847">
        <w:t xml:space="preserve"> </w:t>
      </w:r>
      <w:r w:rsidR="009045F7" w:rsidRPr="009045F7">
        <w:t>The</w:t>
      </w:r>
      <w:r w:rsidR="009A0847">
        <w:t xml:space="preserve"> </w:t>
      </w:r>
      <w:r w:rsidR="009045F7" w:rsidRPr="009045F7">
        <w:t>bank</w:t>
      </w:r>
      <w:r w:rsidR="009A0847">
        <w:t xml:space="preserve"> </w:t>
      </w:r>
      <w:r w:rsidRPr="009045F7">
        <w:t>has</w:t>
      </w:r>
      <w:r w:rsidR="009A0847">
        <w:t xml:space="preserve"> </w:t>
      </w:r>
      <w:r w:rsidR="00C67D2C" w:rsidRPr="009045F7">
        <w:t>no</w:t>
      </w:r>
      <w:r w:rsidR="009A0847">
        <w:t xml:space="preserve"> </w:t>
      </w:r>
      <w:r w:rsidRPr="009045F7">
        <w:t>incentive</w:t>
      </w:r>
      <w:r w:rsidR="009A0847">
        <w:t xml:space="preserve"> </w:t>
      </w:r>
      <w:r w:rsidRPr="009045F7">
        <w:t>to</w:t>
      </w:r>
      <w:r w:rsidR="009A0847">
        <w:t xml:space="preserve"> </w:t>
      </w:r>
      <w:r w:rsidRPr="009045F7">
        <w:t>deviate</w:t>
      </w:r>
      <w:r w:rsidR="009A0847">
        <w:t xml:space="preserve"> </w:t>
      </w:r>
      <w:r w:rsidRPr="009045F7">
        <w:t>when</w:t>
      </w:r>
      <w:r w:rsidR="009A0847">
        <w:t xml:space="preserve"> </w:t>
      </w:r>
      <m:oMath>
        <m:r>
          <w:rPr>
            <w:rFonts w:ascii="Cambria Math" w:hAnsi="Cambria Math"/>
            <w:sz w:val="22"/>
            <w:szCs w:val="22"/>
          </w:rPr>
          <m:t>-c+k&gt;-dw+</m:t>
        </m:r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1-θ</m:t>
            </m:r>
          </m:e>
        </m:d>
        <m:r>
          <w:rPr>
            <w:rFonts w:ascii="Cambria Math" w:hAnsi="Cambria Math"/>
            <w:sz w:val="22"/>
            <w:szCs w:val="22"/>
          </w:rPr>
          <m:t>k,</m:t>
        </m:r>
      </m:oMath>
      <w:r w:rsidR="009A0847">
        <w:t xml:space="preserve"> </w:t>
      </w:r>
      <w:r w:rsidRPr="009045F7">
        <w:t>or</w:t>
      </w:r>
      <w:r w:rsidR="009A0847">
        <w:t xml:space="preserve"> </w:t>
      </w:r>
      <w:r w:rsidRPr="009045F7">
        <w:t>equivalently</w:t>
      </w:r>
      <w:r w:rsidR="009A0847">
        <w:t xml:space="preserve"> </w:t>
      </w:r>
      <w:r w:rsidRPr="009045F7">
        <w:t>when</w:t>
      </w:r>
      <w:r w:rsidR="009A0847">
        <w:t xml:space="preserve"> </w:t>
      </w:r>
      <m:oMath>
        <m:r>
          <w:rPr>
            <w:rFonts w:ascii="Cambria Math" w:hAnsi="Cambria Math"/>
            <w:sz w:val="22"/>
            <w:szCs w:val="22"/>
          </w:rPr>
          <m:t>θ&gt;</m:t>
        </m:r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θ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0</m:t>
            </m:r>
          </m:sub>
        </m:sSub>
      </m:oMath>
      <w:r w:rsidRPr="009045F7">
        <w:t>.</w:t>
      </w:r>
      <w:r w:rsidR="009A0847">
        <w:rPr>
          <w:i/>
        </w:rPr>
        <w:t xml:space="preserve"> </w:t>
      </w:r>
      <w:r w:rsidRPr="003871E4">
        <w:t>Thus,</w:t>
      </w:r>
      <w:r w:rsidR="009A0847">
        <w:t xml:space="preserve"> </w:t>
      </w:r>
      <w:r w:rsidRPr="003871E4">
        <w:t>the</w:t>
      </w:r>
      <w:r w:rsidR="009A0847">
        <w:t xml:space="preserve"> </w:t>
      </w:r>
      <w:r w:rsidRPr="003871E4">
        <w:t>strategy</w:t>
      </w:r>
      <w:r w:rsidR="009A0847">
        <w:t xml:space="preserve"> </w:t>
      </w:r>
      <w:r w:rsidRPr="003871E4">
        <w:t>profile</w:t>
      </w:r>
      <w:r w:rsidR="009A0847">
        <w:t xml:space="preserve"> </w:t>
      </w:r>
      <w:r w:rsidR="00BC099D" w:rsidRPr="003871E4">
        <w:rPr>
          <w:b/>
        </w:rPr>
        <w:t>St</w:t>
      </w:r>
      <w:r w:rsidR="009A0847">
        <w:t xml:space="preserve"> </w:t>
      </w:r>
      <w:r w:rsidRPr="003871E4">
        <w:t>is</w:t>
      </w:r>
      <w:r w:rsidR="009A0847">
        <w:t xml:space="preserve"> </w:t>
      </w:r>
      <w:r w:rsidRPr="003871E4">
        <w:t>an</w:t>
      </w:r>
      <w:r w:rsidR="009A0847">
        <w:t xml:space="preserve"> </w:t>
      </w:r>
      <w:r w:rsidRPr="003871E4">
        <w:t>equilibrium</w:t>
      </w:r>
      <w:r w:rsidR="009A0847">
        <w:t xml:space="preserve"> </w:t>
      </w:r>
      <w:r w:rsidRPr="003871E4">
        <w:t>only</w:t>
      </w:r>
      <w:r w:rsidR="009A0847">
        <w:t xml:space="preserve"> </w:t>
      </w:r>
      <w:r w:rsidRPr="003871E4">
        <w:t>when</w:t>
      </w:r>
      <w:r w:rsidR="009A0847">
        <w:t xml:space="preserve"> </w:t>
      </w:r>
      <m:oMath>
        <m:r>
          <m:rPr>
            <m:sty m:val="p"/>
          </m:rPr>
          <w:rPr>
            <w:rFonts w:ascii="Cambria Math" w:hAnsi="Cambria Math"/>
          </w:rPr>
          <m:t>θ</m:t>
        </m:r>
      </m:oMath>
      <w:r w:rsidR="009A0847">
        <w:t xml:space="preserve"> </w:t>
      </w:r>
      <w:r w:rsidRPr="003871E4">
        <w:t>is</w:t>
      </w:r>
      <w:r w:rsidR="009A0847">
        <w:t xml:space="preserve"> </w:t>
      </w:r>
      <w:r w:rsidRPr="003871E4">
        <w:t>large</w:t>
      </w:r>
      <w:r w:rsidR="009A0847">
        <w:t xml:space="preserve"> </w:t>
      </w:r>
      <w:r w:rsidRPr="003871E4">
        <w:t>enough,</w:t>
      </w:r>
      <w:r w:rsidR="009A0847">
        <w:t xml:space="preserve"> </w:t>
      </w:r>
      <w:r w:rsidRPr="003871E4">
        <w:t>i.e.</w:t>
      </w:r>
      <w:r w:rsidR="009A0847">
        <w:t xml:space="preserve"> </w:t>
      </w:r>
      <m:oMath>
        <m:r>
          <m:rPr>
            <m:sty m:val="p"/>
          </m:rPr>
          <w:rPr>
            <w:rFonts w:ascii="Cambria Math" w:hAnsi="Cambria Math"/>
            <w:sz w:val="22"/>
            <w:szCs w:val="22"/>
          </w:rPr>
          <m:t>θ&gt;</m:t>
        </m:r>
        <m:sSub>
          <m:sSubPr>
            <m:ctrlPr>
              <w:rPr>
                <w:rFonts w:ascii="Cambria Math" w:hAnsi="Cambria Math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θ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0</m:t>
            </m:r>
          </m:sub>
        </m:sSub>
      </m:oMath>
      <w:r w:rsidRPr="003871E4">
        <w:t>.</w:t>
      </w:r>
      <w:r w:rsidR="009A0847">
        <w:t xml:space="preserve"> </w:t>
      </w:r>
    </w:p>
    <w:p w14:paraId="22251180" w14:textId="45E393B0" w:rsidR="00E166A9" w:rsidRDefault="00944E6E" w:rsidP="00F86E09">
      <w:pPr>
        <w:pStyle w:val="Olivier1"/>
        <w:widowControl w:val="0"/>
        <w:spacing w:line="240" w:lineRule="auto"/>
        <w:rPr>
          <w:i/>
        </w:rPr>
      </w:pPr>
      <w:r w:rsidRPr="009045F7">
        <w:t>Consider</w:t>
      </w:r>
      <w:r w:rsidR="009A0847">
        <w:t xml:space="preserve"> </w:t>
      </w:r>
      <w:r w:rsidRPr="009045F7">
        <w:t>now</w:t>
      </w:r>
      <w:r w:rsidR="009A0847">
        <w:t xml:space="preserve"> </w:t>
      </w:r>
      <w:r w:rsidRPr="009045F7">
        <w:t>the</w:t>
      </w:r>
      <w:r w:rsidR="009A0847">
        <w:t xml:space="preserve"> </w:t>
      </w:r>
      <w:r w:rsidRPr="009045F7">
        <w:t>case</w:t>
      </w:r>
      <w:r w:rsidR="009A0847">
        <w:t xml:space="preserve"> </w:t>
      </w:r>
      <w:r w:rsidRPr="009045F7">
        <w:t>where</w:t>
      </w:r>
      <w:r w:rsidR="009A0847">
        <w:t xml:space="preserve"> </w:t>
      </w:r>
      <w:r w:rsidRPr="009045F7">
        <w:rPr>
          <w:u w:val="single"/>
        </w:rPr>
        <w:t>every</w:t>
      </w:r>
      <w:r w:rsidR="009A0847">
        <w:rPr>
          <w:u w:val="single"/>
        </w:rPr>
        <w:t xml:space="preserve"> </w:t>
      </w:r>
      <w:r w:rsidRPr="009045F7">
        <w:rPr>
          <w:u w:val="single"/>
        </w:rPr>
        <w:t>illiquid</w:t>
      </w:r>
      <w:r w:rsidR="009A0847">
        <w:rPr>
          <w:u w:val="single"/>
        </w:rPr>
        <w:t xml:space="preserve"> </w:t>
      </w:r>
      <w:r w:rsidRPr="009045F7">
        <w:rPr>
          <w:u w:val="single"/>
        </w:rPr>
        <w:t>bank</w:t>
      </w:r>
      <w:r w:rsidR="009A0847">
        <w:rPr>
          <w:u w:val="single"/>
        </w:rPr>
        <w:t xml:space="preserve"> </w:t>
      </w:r>
      <w:r w:rsidRPr="009045F7">
        <w:rPr>
          <w:u w:val="single"/>
        </w:rPr>
        <w:t>borrows</w:t>
      </w:r>
      <w:r w:rsidR="009A0847">
        <w:rPr>
          <w:u w:val="single"/>
        </w:rPr>
        <w:t xml:space="preserve"> </w:t>
      </w:r>
      <w:r w:rsidRPr="009045F7">
        <w:rPr>
          <w:u w:val="single"/>
        </w:rPr>
        <w:t>at</w:t>
      </w:r>
      <w:r w:rsidR="009A0847">
        <w:rPr>
          <w:u w:val="single"/>
        </w:rPr>
        <w:t xml:space="preserve"> </w:t>
      </w:r>
      <w:r w:rsidRPr="009045F7">
        <w:rPr>
          <w:u w:val="single"/>
        </w:rPr>
        <w:t>the</w:t>
      </w:r>
      <w:r w:rsidR="009A0847">
        <w:rPr>
          <w:u w:val="single"/>
        </w:rPr>
        <w:t xml:space="preserve"> </w:t>
      </w:r>
      <w:r w:rsidRPr="009045F7">
        <w:rPr>
          <w:u w:val="single"/>
        </w:rPr>
        <w:t>DW</w:t>
      </w:r>
      <w:r w:rsidRPr="009045F7">
        <w:t>.</w:t>
      </w:r>
      <w:r w:rsidR="009A0847">
        <w:t xml:space="preserve"> </w:t>
      </w:r>
      <w:r w:rsidRPr="009045F7">
        <w:t>In</w:t>
      </w:r>
      <w:r w:rsidR="009A0847">
        <w:t xml:space="preserve"> </w:t>
      </w:r>
      <w:r w:rsidRPr="009045F7">
        <w:t>that</w:t>
      </w:r>
      <w:r w:rsidR="009A0847">
        <w:t xml:space="preserve"> </w:t>
      </w:r>
      <w:r w:rsidRPr="009045F7">
        <w:t>case,</w:t>
      </w:r>
      <w:r w:rsidR="009A0847">
        <w:t xml:space="preserve"> </w:t>
      </w:r>
      <w:r w:rsidR="00DB65C6">
        <w:t>an</w:t>
      </w:r>
      <w:r w:rsidR="009A0847">
        <w:t xml:space="preserve"> </w:t>
      </w:r>
      <w:r w:rsidRPr="009045F7">
        <w:t>investor</w:t>
      </w:r>
      <w:r w:rsidR="009A0847">
        <w:t xml:space="preserve"> </w:t>
      </w:r>
      <w:r w:rsidRPr="009045F7">
        <w:t>can</w:t>
      </w:r>
      <w:r w:rsidR="009A0847">
        <w:t xml:space="preserve"> </w:t>
      </w:r>
      <w:r w:rsidRPr="009045F7">
        <w:t>update</w:t>
      </w:r>
      <w:r w:rsidR="009A0847">
        <w:t xml:space="preserve"> </w:t>
      </w:r>
      <w:r w:rsidRPr="009045F7">
        <w:t>its</w:t>
      </w:r>
      <w:r w:rsidR="009A0847">
        <w:t xml:space="preserve"> </w:t>
      </w:r>
      <w:r w:rsidRPr="009045F7">
        <w:t>beliefs</w:t>
      </w:r>
      <w:r w:rsidR="009A0847">
        <w:t xml:space="preserve"> </w:t>
      </w:r>
      <w:r w:rsidR="003D7A4B">
        <w:t xml:space="preserve">between the two periods </w:t>
      </w:r>
      <w:r w:rsidRPr="009045F7">
        <w:t>when</w:t>
      </w:r>
      <w:r w:rsidR="009A0847">
        <w:t xml:space="preserve"> </w:t>
      </w:r>
      <w:r w:rsidRPr="009045F7">
        <w:t>it</w:t>
      </w:r>
      <w:r w:rsidR="009A0847">
        <w:t xml:space="preserve"> </w:t>
      </w:r>
      <w:r w:rsidR="00DB65C6">
        <w:t>faces</w:t>
      </w:r>
      <w:r w:rsidR="009A0847">
        <w:t xml:space="preserve"> </w:t>
      </w:r>
      <w:r w:rsidRPr="009045F7">
        <w:t>a</w:t>
      </w:r>
      <w:r w:rsidR="009A0847">
        <w:t xml:space="preserve"> </w:t>
      </w:r>
      <w:r w:rsidR="003D7A4B">
        <w:t>detected bank</w:t>
      </w:r>
      <w:r w:rsidRPr="009045F7">
        <w:t>.</w:t>
      </w:r>
      <w:r w:rsidR="009A0847">
        <w:t xml:space="preserve"> </w:t>
      </w:r>
      <w:r w:rsidRPr="009045F7">
        <w:t>In</w:t>
      </w:r>
      <w:r w:rsidR="009A0847">
        <w:t xml:space="preserve"> </w:t>
      </w:r>
      <w:r w:rsidRPr="009045F7">
        <w:t>particular,</w:t>
      </w:r>
      <w:r w:rsidR="009A0847">
        <w:t xml:space="preserve"> </w:t>
      </w:r>
      <w:r w:rsidRPr="009045F7">
        <w:t>because</w:t>
      </w:r>
      <w:r w:rsidR="009A0847">
        <w:t xml:space="preserve"> </w:t>
      </w:r>
      <w:r w:rsidRPr="009045F7">
        <w:t>all</w:t>
      </w:r>
      <w:r w:rsidR="009A0847">
        <w:t xml:space="preserve"> </w:t>
      </w:r>
      <w:r w:rsidRPr="009045F7">
        <w:lastRenderedPageBreak/>
        <w:t>illiquid</w:t>
      </w:r>
      <w:r w:rsidR="009A0847">
        <w:t xml:space="preserve"> </w:t>
      </w:r>
      <w:r w:rsidRPr="009045F7">
        <w:t>banks</w:t>
      </w:r>
      <w:r w:rsidR="009A0847">
        <w:t xml:space="preserve"> </w:t>
      </w:r>
      <w:r w:rsidRPr="009045F7">
        <w:t>borrow</w:t>
      </w:r>
      <w:r w:rsidR="009A0847">
        <w:t xml:space="preserve"> </w:t>
      </w:r>
      <w:r w:rsidRPr="009045F7">
        <w:t>at</w:t>
      </w:r>
      <w:r w:rsidR="009A0847">
        <w:t xml:space="preserve"> </w:t>
      </w:r>
      <w:r w:rsidRPr="009045F7">
        <w:t>the</w:t>
      </w:r>
      <w:r w:rsidR="009A0847">
        <w:t xml:space="preserve"> </w:t>
      </w:r>
      <w:r w:rsidRPr="009045F7">
        <w:t>DW,</w:t>
      </w:r>
      <w:r w:rsidR="009A0847">
        <w:t xml:space="preserve"> </w:t>
      </w:r>
      <w:r w:rsidRPr="009045F7">
        <w:t>the</w:t>
      </w:r>
      <w:r w:rsidR="009A0847">
        <w:t xml:space="preserve"> </w:t>
      </w:r>
      <w:r w:rsidRPr="009045F7">
        <w:t>probability</w:t>
      </w:r>
      <w:r w:rsidR="009A0847">
        <w:t xml:space="preserve"> </w:t>
      </w:r>
      <w:r w:rsidRPr="009045F7">
        <w:t>that</w:t>
      </w:r>
      <w:r w:rsidR="009A0847">
        <w:t xml:space="preserve"> </w:t>
      </w:r>
      <w:r w:rsidRPr="009045F7">
        <w:t>a</w:t>
      </w:r>
      <w:r w:rsidR="009A0847">
        <w:t xml:space="preserve"> </w:t>
      </w:r>
      <w:r w:rsidRPr="009045F7">
        <w:t>bank</w:t>
      </w:r>
      <w:r w:rsidR="009A0847">
        <w:t xml:space="preserve"> </w:t>
      </w:r>
      <w:r w:rsidRPr="009045F7">
        <w:t>is</w:t>
      </w:r>
      <w:r w:rsidR="009A0847">
        <w:t xml:space="preserve"> </w:t>
      </w:r>
      <w:r w:rsidRPr="009045F7">
        <w:t>solvent</w:t>
      </w:r>
      <w:r w:rsidR="009A0847">
        <w:t xml:space="preserve"> </w:t>
      </w:r>
      <w:r w:rsidRPr="009045F7">
        <w:t>conditional</w:t>
      </w:r>
      <w:r w:rsidR="009A0847">
        <w:t xml:space="preserve"> </w:t>
      </w:r>
      <w:r w:rsidRPr="009045F7">
        <w:t>on</w:t>
      </w:r>
      <w:r w:rsidR="009A0847">
        <w:t xml:space="preserve"> </w:t>
      </w:r>
      <w:r w:rsidRPr="009045F7">
        <w:t>being</w:t>
      </w:r>
      <w:r w:rsidR="009A0847">
        <w:t xml:space="preserve"> </w:t>
      </w:r>
      <w:r w:rsidR="003D7A4B">
        <w:t>detected</w:t>
      </w:r>
      <w:r w:rsidR="009A0847">
        <w:t xml:space="preserve"> </w:t>
      </w:r>
      <w:r w:rsidRPr="009045F7">
        <w:t>is</w:t>
      </w:r>
      <w:r w:rsidR="009A0847">
        <w:t xml:space="preserve"> </w:t>
      </w:r>
      <w:r w:rsidRPr="009045F7">
        <w:t>the</w:t>
      </w:r>
      <w:r w:rsidR="009A0847">
        <w:t xml:space="preserve"> </w:t>
      </w:r>
      <w:r w:rsidRPr="009045F7">
        <w:t>same</w:t>
      </w:r>
      <w:r w:rsidR="009A0847">
        <w:t xml:space="preserve"> </w:t>
      </w:r>
      <w:r w:rsidRPr="009045F7">
        <w:t>as</w:t>
      </w:r>
      <w:r w:rsidR="009A0847">
        <w:t xml:space="preserve"> </w:t>
      </w:r>
      <w:r w:rsidRPr="009045F7">
        <w:t>the</w:t>
      </w:r>
      <w:r w:rsidR="009A0847">
        <w:t xml:space="preserve"> </w:t>
      </w:r>
      <w:r w:rsidRPr="009045F7">
        <w:t>probability</w:t>
      </w:r>
      <w:r w:rsidR="009A0847">
        <w:t xml:space="preserve"> </w:t>
      </w:r>
      <w:r w:rsidRPr="009045F7">
        <w:t>that</w:t>
      </w:r>
      <w:r w:rsidR="009A0847">
        <w:t xml:space="preserve"> </w:t>
      </w:r>
      <w:r w:rsidRPr="009045F7">
        <w:t>a</w:t>
      </w:r>
      <w:r w:rsidR="009A0847">
        <w:t xml:space="preserve"> </w:t>
      </w:r>
      <w:r w:rsidRPr="009045F7">
        <w:t>bank</w:t>
      </w:r>
      <w:r w:rsidR="009A0847">
        <w:t xml:space="preserve"> </w:t>
      </w:r>
      <w:r w:rsidRPr="009045F7">
        <w:t>is</w:t>
      </w:r>
      <w:r w:rsidR="009A0847">
        <w:t xml:space="preserve"> </w:t>
      </w:r>
      <w:r w:rsidRPr="009045F7">
        <w:t>solvent</w:t>
      </w:r>
      <w:r w:rsidR="009A0847">
        <w:t xml:space="preserve"> </w:t>
      </w:r>
      <w:r w:rsidRPr="009045F7">
        <w:t>conditional</w:t>
      </w:r>
      <w:r w:rsidR="009A0847">
        <w:t xml:space="preserve"> </w:t>
      </w:r>
      <w:r w:rsidRPr="009045F7">
        <w:t>on</w:t>
      </w:r>
      <w:r w:rsidR="009A0847">
        <w:t xml:space="preserve"> </w:t>
      </w:r>
      <w:r w:rsidRPr="009045F7">
        <w:t>being</w:t>
      </w:r>
      <w:r w:rsidR="009A0847">
        <w:t xml:space="preserve"> </w:t>
      </w:r>
      <w:r w:rsidRPr="009045F7">
        <w:t>illiquid:</w:t>
      </w:r>
      <m:oMath>
        <m:r>
          <w:rPr>
            <w:rFonts w:ascii="Cambria Math" w:hAnsi="Cambria Math"/>
            <w:sz w:val="22"/>
            <w:szCs w:val="22"/>
          </w:rPr>
          <m:t xml:space="preserve"> </m:t>
        </m:r>
        <m:bar>
          <m:barPr>
            <m:ctrlPr>
              <w:rPr>
                <w:rFonts w:ascii="Cambria Math" w:hAnsi="Cambria Math"/>
                <w:i/>
                <w:sz w:val="22"/>
                <w:szCs w:val="22"/>
              </w:rPr>
            </m:ctrlPr>
          </m:barPr>
          <m:e>
            <m:r>
              <w:rPr>
                <w:rFonts w:ascii="Cambria Math" w:hAnsi="Cambria Math"/>
                <w:sz w:val="22"/>
                <w:szCs w:val="22"/>
              </w:rPr>
              <m:t>P</m:t>
            </m:r>
          </m:e>
        </m:bar>
        <m:r>
          <w:rPr>
            <w:rFonts w:ascii="Cambria Math" w:hAnsi="Cambria Math"/>
            <w:sz w:val="22"/>
            <w:szCs w:val="22"/>
          </w:rPr>
          <m:t>=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2"/>
                    <w:szCs w:val="22"/>
                  </w:rPr>
                  <m:t>S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L</m:t>
                    </m:r>
                  </m:e>
                </m:acc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S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L</m:t>
                        </m:r>
                      </m:e>
                    </m:acc>
                  </m:sub>
                </m:sSub>
                <m:r>
                  <w:rPr>
                    <w:rFonts w:ascii="Cambria Math" w:hAnsi="Cambria Math"/>
                    <w:sz w:val="22"/>
                    <w:szCs w:val="22"/>
                  </w:rPr>
                  <m:t>+P</m:t>
                </m:r>
              </m:e>
              <m:sub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S</m:t>
                    </m:r>
                  </m:e>
                </m:acc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L</m:t>
                    </m:r>
                  </m:e>
                </m:acc>
              </m:sub>
            </m:sSub>
          </m:den>
        </m:f>
      </m:oMath>
      <w:r w:rsidRPr="009045F7">
        <w:t>.</w:t>
      </w:r>
      <w:r w:rsidR="009A0847">
        <w:t xml:space="preserve"> </w:t>
      </w:r>
      <w:r w:rsidRPr="009045F7">
        <w:t>Under</w:t>
      </w:r>
      <w:r w:rsidR="009A0847">
        <w:t xml:space="preserve"> </w:t>
      </w:r>
      <w:r w:rsidR="007356D6">
        <w:rPr>
          <w:i/>
        </w:rPr>
        <w:t>R</w:t>
      </w:r>
      <w:r w:rsidR="0045537F">
        <w:rPr>
          <w:i/>
        </w:rPr>
        <w:t>2</w:t>
      </w:r>
      <w:r w:rsidR="00C67D2C" w:rsidRPr="009045F7">
        <w:t>,</w:t>
      </w:r>
      <w:r w:rsidR="009A0847">
        <w:t xml:space="preserve"> </w:t>
      </w:r>
      <m:oMath>
        <m:r>
          <w:rPr>
            <w:rFonts w:ascii="Cambria Math" w:hAnsi="Cambria Math"/>
            <w:sz w:val="22"/>
            <w:szCs w:val="22"/>
          </w:rPr>
          <m:t>v&gt;</m:t>
        </m:r>
        <m:bar>
          <m:barPr>
            <m:ctrlPr>
              <w:rPr>
                <w:rFonts w:ascii="Cambria Math" w:hAnsi="Cambria Math"/>
                <w:i/>
                <w:sz w:val="22"/>
                <w:szCs w:val="22"/>
              </w:rPr>
            </m:ctrlPr>
          </m:barPr>
          <m:e>
            <m:r>
              <w:rPr>
                <w:rFonts w:ascii="Cambria Math" w:hAnsi="Cambria Math"/>
                <w:sz w:val="22"/>
                <w:szCs w:val="22"/>
              </w:rPr>
              <m:t>P</m:t>
            </m:r>
          </m:e>
        </m:bar>
        <m:r>
          <w:rPr>
            <w:rFonts w:ascii="Cambria Math" w:hAnsi="Cambria Math"/>
            <w:sz w:val="22"/>
            <w:szCs w:val="22"/>
          </w:rPr>
          <m:t>V</m:t>
        </m:r>
      </m:oMath>
      <w:r w:rsidRPr="009045F7">
        <w:t>,</w:t>
      </w:r>
      <w:r w:rsidR="009A0847">
        <w:t xml:space="preserve"> </w:t>
      </w:r>
      <w:r w:rsidRPr="009045F7">
        <w:t>so</w:t>
      </w:r>
      <w:r w:rsidR="009A0847">
        <w:t xml:space="preserve"> </w:t>
      </w:r>
      <w:r w:rsidR="00DB65C6">
        <w:t>an</w:t>
      </w:r>
      <w:r w:rsidR="009A0847">
        <w:t xml:space="preserve"> </w:t>
      </w:r>
      <w:r w:rsidRPr="009045F7">
        <w:t>investor</w:t>
      </w:r>
      <w:r w:rsidR="009A0847">
        <w:t xml:space="preserve"> </w:t>
      </w:r>
      <w:r w:rsidRPr="009045F7">
        <w:t>does</w:t>
      </w:r>
      <w:r w:rsidR="009A0847">
        <w:t xml:space="preserve"> </w:t>
      </w:r>
      <w:r w:rsidRPr="009045F7">
        <w:t>not</w:t>
      </w:r>
      <w:r w:rsidR="009A0847">
        <w:t xml:space="preserve"> </w:t>
      </w:r>
      <w:r w:rsidRPr="009045F7">
        <w:t>fund</w:t>
      </w:r>
      <w:r w:rsidR="009A0847">
        <w:t xml:space="preserve"> </w:t>
      </w:r>
      <w:r w:rsidRPr="009045F7">
        <w:t>a</w:t>
      </w:r>
      <w:r w:rsidR="009A0847">
        <w:t xml:space="preserve"> </w:t>
      </w:r>
      <w:r w:rsidR="003871E4">
        <w:t>detected</w:t>
      </w:r>
      <w:r w:rsidR="009A0847">
        <w:t xml:space="preserve"> </w:t>
      </w:r>
      <w:r w:rsidRPr="009045F7">
        <w:t>bank</w:t>
      </w:r>
      <w:r w:rsidR="00DB65C6">
        <w:t>.</w:t>
      </w:r>
      <w:r w:rsidR="009A0847">
        <w:t xml:space="preserve"> </w:t>
      </w:r>
      <w:r w:rsidR="00DB65C6">
        <w:t>In</w:t>
      </w:r>
      <w:r w:rsidR="009A0847">
        <w:t xml:space="preserve"> </w:t>
      </w:r>
      <w:r w:rsidR="00DB65C6">
        <w:t>contrast</w:t>
      </w:r>
      <w:r w:rsidR="009A0847">
        <w:t xml:space="preserve"> </w:t>
      </w:r>
      <w:r w:rsidR="00DB65C6">
        <w:t>an</w:t>
      </w:r>
      <w:r w:rsidR="009A0847">
        <w:t xml:space="preserve"> </w:t>
      </w:r>
      <w:r w:rsidRPr="009045F7">
        <w:t>investor</w:t>
      </w:r>
      <w:r w:rsidR="009A0847">
        <w:t xml:space="preserve"> </w:t>
      </w:r>
      <w:r w:rsidRPr="009045F7">
        <w:t>funds</w:t>
      </w:r>
      <w:r w:rsidR="009A0847">
        <w:t xml:space="preserve"> </w:t>
      </w:r>
      <w:r w:rsidRPr="009045F7">
        <w:t>a</w:t>
      </w:r>
      <w:r w:rsidR="009A0847">
        <w:t xml:space="preserve"> </w:t>
      </w:r>
      <w:r w:rsidR="00D75A05">
        <w:t>non-</w:t>
      </w:r>
      <w:r w:rsidR="003D7A4B">
        <w:t xml:space="preserve">detected </w:t>
      </w:r>
      <w:r w:rsidRPr="009045F7">
        <w:t>bank.</w:t>
      </w:r>
      <w:r w:rsidR="009A0847">
        <w:t xml:space="preserve"> </w:t>
      </w:r>
      <w:r w:rsidRPr="009045F7">
        <w:t>Indeed,</w:t>
      </w:r>
      <w:r w:rsidR="009A0847">
        <w:t xml:space="preserve"> </w:t>
      </w:r>
      <w:r w:rsidRPr="009045F7">
        <w:t>because</w:t>
      </w:r>
      <w:r w:rsidR="009A0847">
        <w:t xml:space="preserve"> </w:t>
      </w:r>
      <w:r w:rsidRPr="009045F7">
        <w:t>all</w:t>
      </w:r>
      <w:r w:rsidR="009A0847">
        <w:t xml:space="preserve"> </w:t>
      </w:r>
      <w:r w:rsidRPr="009045F7">
        <w:t>insolvent</w:t>
      </w:r>
      <w:r w:rsidR="009A0847">
        <w:t xml:space="preserve"> </w:t>
      </w:r>
      <w:r w:rsidRPr="009045F7">
        <w:t>banks</w:t>
      </w:r>
      <w:r w:rsidR="009A0847">
        <w:t xml:space="preserve"> </w:t>
      </w:r>
      <w:r w:rsidRPr="009045F7">
        <w:t>are</w:t>
      </w:r>
      <w:r w:rsidR="009A0847">
        <w:t xml:space="preserve"> </w:t>
      </w:r>
      <w:r w:rsidRPr="009045F7">
        <w:t>illiquid</w:t>
      </w:r>
      <w:r w:rsidR="009A0847">
        <w:t xml:space="preserve"> </w:t>
      </w:r>
      <w:r w:rsidRPr="009045F7">
        <w:t>and</w:t>
      </w:r>
      <w:r w:rsidR="009A0847">
        <w:t xml:space="preserve"> </w:t>
      </w:r>
      <w:r w:rsidRPr="009045F7">
        <w:t>borrow</w:t>
      </w:r>
      <w:r w:rsidR="009A0847">
        <w:t xml:space="preserve"> </w:t>
      </w:r>
      <w:r w:rsidRPr="009045F7">
        <w:t>at</w:t>
      </w:r>
      <w:r w:rsidR="009A0847">
        <w:t xml:space="preserve"> </w:t>
      </w:r>
      <w:r w:rsidRPr="009045F7">
        <w:t>the</w:t>
      </w:r>
      <w:r w:rsidR="009A0847">
        <w:t xml:space="preserve"> </w:t>
      </w:r>
      <w:r w:rsidRPr="009045F7">
        <w:t>DW,</w:t>
      </w:r>
      <w:r w:rsidR="009A0847">
        <w:t xml:space="preserve"> </w:t>
      </w:r>
      <w:r w:rsidRPr="009045F7">
        <w:t>the</w:t>
      </w:r>
      <w:r w:rsidR="009A0847">
        <w:t xml:space="preserve"> </w:t>
      </w:r>
      <w:r w:rsidRPr="009045F7">
        <w:t>probability</w:t>
      </w:r>
      <w:r w:rsidR="009A0847"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/>
                <w:sz w:val="22"/>
                <w:szCs w:val="22"/>
              </w:rPr>
              <m:t>P</m:t>
            </m:r>
          </m:e>
        </m:acc>
      </m:oMath>
      <w:r w:rsidR="009A0847">
        <w:t xml:space="preserve"> </w:t>
      </w:r>
      <w:r w:rsidRPr="009045F7">
        <w:t>that</w:t>
      </w:r>
      <w:r w:rsidR="009A0847">
        <w:t xml:space="preserve"> </w:t>
      </w:r>
      <w:r w:rsidRPr="009045F7">
        <w:t>a</w:t>
      </w:r>
      <w:r w:rsidR="009A0847">
        <w:t xml:space="preserve"> </w:t>
      </w:r>
      <w:r w:rsidRPr="009045F7">
        <w:t>bank</w:t>
      </w:r>
      <w:r w:rsidR="009A0847">
        <w:t xml:space="preserve"> </w:t>
      </w:r>
      <w:r w:rsidRPr="009045F7">
        <w:t>is</w:t>
      </w:r>
      <w:r w:rsidR="009A0847">
        <w:t xml:space="preserve"> </w:t>
      </w:r>
      <w:r w:rsidRPr="009045F7">
        <w:t>solvent</w:t>
      </w:r>
      <w:r w:rsidR="009A0847">
        <w:t xml:space="preserve"> </w:t>
      </w:r>
      <w:r w:rsidRPr="009045F7">
        <w:t>conditional</w:t>
      </w:r>
      <w:r w:rsidR="009A0847">
        <w:t xml:space="preserve"> </w:t>
      </w:r>
      <w:r w:rsidRPr="009045F7">
        <w:t>on</w:t>
      </w:r>
      <w:r w:rsidR="009A0847">
        <w:t xml:space="preserve"> </w:t>
      </w:r>
      <w:r w:rsidRPr="009045F7">
        <w:rPr>
          <w:u w:val="single"/>
        </w:rPr>
        <w:t>not</w:t>
      </w:r>
      <w:r w:rsidR="009A0847">
        <w:t xml:space="preserve"> </w:t>
      </w:r>
      <w:r w:rsidRPr="009045F7">
        <w:t>being</w:t>
      </w:r>
      <w:r w:rsidR="009A0847">
        <w:t xml:space="preserve"> </w:t>
      </w:r>
      <w:r w:rsidR="00C56D23">
        <w:t>detected</w:t>
      </w:r>
      <w:r w:rsidR="009A0847">
        <w:t xml:space="preserve"> </w:t>
      </w:r>
      <w:r w:rsidRPr="009045F7">
        <w:t>is</w:t>
      </w:r>
      <w:r w:rsidR="009A0847">
        <w:t xml:space="preserve"> </w:t>
      </w:r>
      <w:r w:rsidRPr="009045F7">
        <w:t>higher</w:t>
      </w:r>
      <w:r w:rsidR="009A0847">
        <w:t xml:space="preserve"> </w:t>
      </w:r>
      <w:r w:rsidRPr="009045F7">
        <w:t>than</w:t>
      </w:r>
      <w:r w:rsidR="009A0847">
        <w:t xml:space="preserve"> </w:t>
      </w:r>
      <w:r w:rsidRPr="009045F7">
        <w:t>the</w:t>
      </w:r>
      <w:r w:rsidR="009A0847">
        <w:t xml:space="preserve"> </w:t>
      </w:r>
      <w:r w:rsidRPr="009045F7">
        <w:t>unconditional</w:t>
      </w:r>
      <w:r w:rsidR="009A0847">
        <w:t xml:space="preserve"> </w:t>
      </w:r>
      <w:r w:rsidRPr="009045F7">
        <w:t>probability</w:t>
      </w:r>
      <w:r w:rsidR="009A0847">
        <w:t xml:space="preserve"> </w:t>
      </w:r>
      <m:oMath>
        <m:r>
          <w:rPr>
            <w:rFonts w:ascii="Cambria Math" w:hAnsi="Cambria Math"/>
            <w:sz w:val="22"/>
            <w:szCs w:val="22"/>
          </w:rPr>
          <m:t>p</m:t>
        </m:r>
      </m:oMath>
      <w:r w:rsidRPr="009045F7">
        <w:t>.</w:t>
      </w:r>
      <w:r w:rsidR="009A0847">
        <w:t xml:space="preserve"> </w:t>
      </w:r>
      <w:r w:rsidRPr="009045F7">
        <w:t>Under</w:t>
      </w:r>
      <w:r w:rsidR="009A0847">
        <w:t xml:space="preserve"> </w:t>
      </w:r>
      <w:r w:rsidR="007356D6">
        <w:rPr>
          <w:i/>
        </w:rPr>
        <w:t>R</w:t>
      </w:r>
      <w:r w:rsidR="00DB66E3">
        <w:rPr>
          <w:i/>
        </w:rPr>
        <w:t>2</w:t>
      </w:r>
      <w:r w:rsidR="00C67D2C" w:rsidRPr="009045F7">
        <w:t>,</w:t>
      </w:r>
      <w:r w:rsidR="009A0847">
        <w:t xml:space="preserve"> </w:t>
      </w:r>
      <m:oMath>
        <m:r>
          <w:rPr>
            <w:rFonts w:ascii="Cambria Math" w:hAnsi="Cambria Math"/>
            <w:sz w:val="22"/>
            <w:szCs w:val="22"/>
          </w:rPr>
          <m:t>v&lt;pV&lt;</m:t>
        </m:r>
        <m:acc>
          <m:accPr>
            <m:chr m:val="̅"/>
            <m:ctrlPr>
              <w:rPr>
                <w:rFonts w:ascii="Cambria Math" w:hAnsi="Cambria Math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/>
                <w:sz w:val="22"/>
                <w:szCs w:val="22"/>
              </w:rPr>
              <m:t>P</m:t>
            </m:r>
          </m:e>
        </m:acc>
        <m:r>
          <w:rPr>
            <w:rFonts w:ascii="Cambria Math" w:hAnsi="Cambria Math"/>
            <w:sz w:val="22"/>
            <w:szCs w:val="22"/>
          </w:rPr>
          <m:t>V</m:t>
        </m:r>
      </m:oMath>
      <w:r w:rsidRPr="009045F7">
        <w:t>,</w:t>
      </w:r>
      <w:r w:rsidR="009A0847">
        <w:t xml:space="preserve"> </w:t>
      </w:r>
      <w:r w:rsidRPr="009045F7">
        <w:t>so</w:t>
      </w:r>
      <w:r w:rsidR="009A0847">
        <w:t xml:space="preserve"> </w:t>
      </w:r>
      <w:r w:rsidR="00DB65C6">
        <w:t>an</w:t>
      </w:r>
      <w:r w:rsidR="009A0847">
        <w:t xml:space="preserve"> </w:t>
      </w:r>
      <w:r w:rsidRPr="009045F7">
        <w:t>investor</w:t>
      </w:r>
      <w:r w:rsidR="009A0847">
        <w:t xml:space="preserve"> </w:t>
      </w:r>
      <w:r w:rsidRPr="009045F7">
        <w:t>funds</w:t>
      </w:r>
      <w:r w:rsidR="009A0847">
        <w:t xml:space="preserve"> </w:t>
      </w:r>
      <w:r w:rsidRPr="009045F7">
        <w:t>a</w:t>
      </w:r>
      <w:r w:rsidR="009A0847">
        <w:t xml:space="preserve"> </w:t>
      </w:r>
      <w:r w:rsidR="003871E4">
        <w:t>non-detected</w:t>
      </w:r>
      <w:r w:rsidR="00D75A05">
        <w:t xml:space="preserve"> bank</w:t>
      </w:r>
      <w:r w:rsidRPr="009045F7">
        <w:t>.</w:t>
      </w:r>
      <w:r w:rsidR="009A0847">
        <w:t xml:space="preserve"> </w:t>
      </w:r>
      <w:r w:rsidRPr="009045F7">
        <w:t>The</w:t>
      </w:r>
      <w:r w:rsidR="009A0847">
        <w:t xml:space="preserve"> </w:t>
      </w:r>
      <w:r w:rsidRPr="009045F7">
        <w:t>expected</w:t>
      </w:r>
      <w:r w:rsidR="009A0847">
        <w:t xml:space="preserve"> </w:t>
      </w:r>
      <w:r w:rsidRPr="009045F7">
        <w:t>profit</w:t>
      </w:r>
      <w:r w:rsidR="009A0847">
        <w:t xml:space="preserve"> </w:t>
      </w:r>
      <w:r w:rsidRPr="009045F7">
        <w:t>of</w:t>
      </w:r>
      <w:r w:rsidR="009A0847">
        <w:t xml:space="preserve"> </w:t>
      </w:r>
      <w:r w:rsidRPr="009045F7">
        <w:t>illiquid</w:t>
      </w:r>
      <w:r w:rsidR="009A0847">
        <w:t xml:space="preserve"> </w:t>
      </w:r>
      <w:r w:rsidRPr="009045F7">
        <w:t>banks</w:t>
      </w:r>
      <w:r w:rsidR="009A0847">
        <w:t xml:space="preserve"> </w:t>
      </w:r>
      <w:r w:rsidRPr="009045F7">
        <w:t>in</w:t>
      </w:r>
      <w:r w:rsidR="009A0847">
        <w:t xml:space="preserve"> </w:t>
      </w:r>
      <w:r w:rsidRPr="009045F7">
        <w:t>that</w:t>
      </w:r>
      <w:r w:rsidR="009A0847">
        <w:t xml:space="preserve"> </w:t>
      </w:r>
      <w:r w:rsidRPr="009045F7">
        <w:t>case</w:t>
      </w:r>
      <w:r w:rsidR="009A0847">
        <w:t xml:space="preserve"> </w:t>
      </w:r>
      <w:r w:rsidRPr="009045F7">
        <w:t>is</w:t>
      </w:r>
      <w:r w:rsidR="009A0847">
        <w:t xml:space="preserve"> </w:t>
      </w:r>
      <m:oMath>
        <m:r>
          <w:rPr>
            <w:rFonts w:ascii="Cambria Math" w:hAnsi="Cambria Math"/>
            <w:sz w:val="22"/>
            <w:szCs w:val="22"/>
          </w:rPr>
          <m:t>-dw+(1-θ)k</m:t>
        </m:r>
      </m:oMath>
      <w:r w:rsidRPr="009045F7">
        <w:t>.</w:t>
      </w:r>
      <w:r w:rsidR="009A0847">
        <w:t xml:space="preserve"> </w:t>
      </w:r>
      <w:r w:rsidR="00D75A05">
        <w:t>If</w:t>
      </w:r>
      <w:r w:rsidR="009A0847">
        <w:t xml:space="preserve"> </w:t>
      </w:r>
      <w:r w:rsidRPr="009045F7">
        <w:t>an</w:t>
      </w:r>
      <w:r w:rsidR="009A0847">
        <w:t xml:space="preserve"> </w:t>
      </w:r>
      <w:r w:rsidRPr="009045F7">
        <w:t>illiquid</w:t>
      </w:r>
      <w:r w:rsidR="009A0847">
        <w:t xml:space="preserve"> </w:t>
      </w:r>
      <w:r w:rsidRPr="009045F7">
        <w:t>bank</w:t>
      </w:r>
      <w:r w:rsidR="009A0847">
        <w:t xml:space="preserve"> </w:t>
      </w:r>
      <w:r w:rsidRPr="009045F7">
        <w:t>deviates</w:t>
      </w:r>
      <w:r w:rsidR="009A0847">
        <w:t xml:space="preserve"> </w:t>
      </w:r>
      <w:r w:rsidRPr="009045F7">
        <w:t>and</w:t>
      </w:r>
      <w:r w:rsidR="009A0847">
        <w:t xml:space="preserve"> </w:t>
      </w:r>
      <w:r w:rsidRPr="009045F7">
        <w:t>does</w:t>
      </w:r>
      <w:r w:rsidR="009A0847">
        <w:t xml:space="preserve"> </w:t>
      </w:r>
      <w:r w:rsidRPr="009045F7">
        <w:t>not</w:t>
      </w:r>
      <w:r w:rsidR="009A0847">
        <w:t xml:space="preserve"> </w:t>
      </w:r>
      <w:r w:rsidRPr="009045F7">
        <w:t>go</w:t>
      </w:r>
      <w:r w:rsidR="009A0847">
        <w:t xml:space="preserve"> </w:t>
      </w:r>
      <w:r w:rsidRPr="009045F7">
        <w:t>to</w:t>
      </w:r>
      <w:r w:rsidR="009A0847">
        <w:t xml:space="preserve"> </w:t>
      </w:r>
      <w:r w:rsidRPr="009045F7">
        <w:t>the</w:t>
      </w:r>
      <w:r w:rsidR="009A0847">
        <w:t xml:space="preserve"> </w:t>
      </w:r>
      <w:r w:rsidRPr="009045F7">
        <w:t>DW,</w:t>
      </w:r>
      <w:r w:rsidR="009A0847">
        <w:t xml:space="preserve"> </w:t>
      </w:r>
      <w:r w:rsidRPr="009045F7">
        <w:t>then</w:t>
      </w:r>
      <w:r w:rsidR="009A0847">
        <w:t xml:space="preserve"> </w:t>
      </w:r>
      <w:r w:rsidRPr="009045F7">
        <w:t>it</w:t>
      </w:r>
      <w:r w:rsidR="009A0847">
        <w:t xml:space="preserve"> </w:t>
      </w:r>
      <w:r w:rsidRPr="009045F7">
        <w:t>gets</w:t>
      </w:r>
      <w:r w:rsidR="009A0847">
        <w:t xml:space="preserve"> </w:t>
      </w:r>
      <w:r w:rsidRPr="009045F7">
        <w:t>a</w:t>
      </w:r>
      <w:r w:rsidR="009A0847">
        <w:t xml:space="preserve"> </w:t>
      </w:r>
      <w:r w:rsidRPr="009045F7">
        <w:t>profit</w:t>
      </w:r>
      <w:r w:rsidR="009A0847">
        <w:t xml:space="preserve"> </w:t>
      </w:r>
      <w:r w:rsidRPr="009045F7">
        <w:t>of</w:t>
      </w:r>
      <w:r w:rsidR="009A0847">
        <w:t xml:space="preserve"> </w:t>
      </w:r>
      <m:oMath>
        <m:r>
          <w:rPr>
            <w:rFonts w:ascii="Cambria Math" w:hAnsi="Cambria Math"/>
            <w:sz w:val="22"/>
            <w:szCs w:val="22"/>
          </w:rPr>
          <m:t>-c+k</m:t>
        </m:r>
      </m:oMath>
      <w:r w:rsidRPr="009045F7">
        <w:t>.</w:t>
      </w:r>
      <w:r w:rsidR="009A0847">
        <w:t xml:space="preserve"> </w:t>
      </w:r>
      <w:r w:rsidRPr="009045F7">
        <w:t>An</w:t>
      </w:r>
      <w:r w:rsidR="009A0847">
        <w:t xml:space="preserve"> </w:t>
      </w:r>
      <w:r w:rsidRPr="009045F7">
        <w:t>illiquid</w:t>
      </w:r>
      <w:r w:rsidR="009A0847">
        <w:t xml:space="preserve"> </w:t>
      </w:r>
      <w:r w:rsidRPr="009045F7">
        <w:t>bank</w:t>
      </w:r>
      <w:r w:rsidR="009A0847">
        <w:t xml:space="preserve"> </w:t>
      </w:r>
      <w:r w:rsidRPr="009045F7">
        <w:t>has</w:t>
      </w:r>
      <w:r w:rsidR="009A0847">
        <w:t xml:space="preserve"> </w:t>
      </w:r>
      <w:r w:rsidR="00C67D2C" w:rsidRPr="009045F7">
        <w:t>no</w:t>
      </w:r>
      <w:r w:rsidR="009A0847">
        <w:t xml:space="preserve"> </w:t>
      </w:r>
      <w:r w:rsidRPr="009045F7">
        <w:t>incentive</w:t>
      </w:r>
      <w:r w:rsidR="009A0847">
        <w:t xml:space="preserve"> </w:t>
      </w:r>
      <w:r w:rsidRPr="009045F7">
        <w:t>to</w:t>
      </w:r>
      <w:r w:rsidR="009A0847">
        <w:t xml:space="preserve"> </w:t>
      </w:r>
      <w:r w:rsidRPr="009045F7">
        <w:t>deviate</w:t>
      </w:r>
      <w:r w:rsidR="009A0847">
        <w:t xml:space="preserve"> </w:t>
      </w:r>
      <w:r w:rsidRPr="009045F7">
        <w:t>when</w:t>
      </w:r>
      <w:r w:rsidR="009A0847">
        <w:t xml:space="preserve"> </w:t>
      </w:r>
      <m:oMath>
        <m:r>
          <w:rPr>
            <w:rFonts w:ascii="Cambria Math" w:hAnsi="Cambria Math"/>
            <w:sz w:val="22"/>
            <w:szCs w:val="22"/>
          </w:rPr>
          <m:t>-dw+</m:t>
        </m:r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1-θ</m:t>
            </m:r>
          </m:e>
        </m:d>
        <m:r>
          <w:rPr>
            <w:rFonts w:ascii="Cambria Math" w:hAnsi="Cambria Math"/>
            <w:sz w:val="22"/>
            <w:szCs w:val="22"/>
          </w:rPr>
          <m:t>k&gt;-c+k</m:t>
        </m:r>
      </m:oMath>
      <w:r w:rsidRPr="009045F7">
        <w:t>,</w:t>
      </w:r>
      <w:r w:rsidR="009A0847">
        <w:t xml:space="preserve"> </w:t>
      </w:r>
      <w:r w:rsidRPr="009045F7">
        <w:t>or</w:t>
      </w:r>
      <w:r w:rsidR="009A0847">
        <w:t xml:space="preserve"> </w:t>
      </w:r>
      <w:r w:rsidRPr="009045F7">
        <w:t>equivalently</w:t>
      </w:r>
      <w:r w:rsidR="009A0847">
        <w:t xml:space="preserve"> </w:t>
      </w:r>
      <w:r w:rsidRPr="009045F7">
        <w:t>when</w:t>
      </w:r>
      <w:r w:rsidR="009A0847">
        <w:t xml:space="preserve"> </w:t>
      </w:r>
      <m:oMath>
        <m:r>
          <w:rPr>
            <w:rFonts w:ascii="Cambria Math" w:hAnsi="Cambria Math"/>
            <w:sz w:val="22"/>
            <w:szCs w:val="22"/>
          </w:rPr>
          <m:t>θ&lt;</m:t>
        </m:r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θ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0</m:t>
            </m:r>
          </m:sub>
        </m:sSub>
      </m:oMath>
      <w:r w:rsidRPr="009045F7">
        <w:t>.</w:t>
      </w:r>
      <w:r w:rsidR="009A0847">
        <w:t xml:space="preserve"> </w:t>
      </w:r>
      <w:r w:rsidRPr="003871E4">
        <w:t>Thus,</w:t>
      </w:r>
      <w:r w:rsidR="009A0847">
        <w:t xml:space="preserve"> </w:t>
      </w:r>
      <w:r w:rsidRPr="003871E4">
        <w:t>the</w:t>
      </w:r>
      <w:r w:rsidR="009A0847">
        <w:t xml:space="preserve"> </w:t>
      </w:r>
      <w:r w:rsidRPr="003871E4">
        <w:t>strategy</w:t>
      </w:r>
      <w:r w:rsidR="009A0847">
        <w:t xml:space="preserve"> </w:t>
      </w:r>
      <w:r w:rsidRPr="003871E4">
        <w:t>profile</w:t>
      </w:r>
      <w:r w:rsidR="009A0847">
        <w:t xml:space="preserve"> </w:t>
      </w:r>
      <w:r w:rsidR="00C56D23" w:rsidRPr="003871E4">
        <w:rPr>
          <w:b/>
        </w:rPr>
        <w:t>No</w:t>
      </w:r>
      <w:r w:rsidR="00BC099D" w:rsidRPr="003871E4">
        <w:rPr>
          <w:b/>
        </w:rPr>
        <w:t>ST</w:t>
      </w:r>
      <w:r w:rsidR="009A0847">
        <w:t xml:space="preserve"> </w:t>
      </w:r>
      <w:r w:rsidRPr="003871E4">
        <w:t>is</w:t>
      </w:r>
      <w:r w:rsidR="009A0847">
        <w:t xml:space="preserve"> </w:t>
      </w:r>
      <w:r w:rsidRPr="003871E4">
        <w:t>an</w:t>
      </w:r>
      <w:r w:rsidR="009A0847">
        <w:t xml:space="preserve"> </w:t>
      </w:r>
      <w:r w:rsidRPr="003871E4">
        <w:t>equilibrium</w:t>
      </w:r>
      <w:r w:rsidR="009A0847">
        <w:t xml:space="preserve"> </w:t>
      </w:r>
      <w:r w:rsidRPr="003871E4">
        <w:t>only</w:t>
      </w:r>
      <w:r w:rsidR="009A0847">
        <w:t xml:space="preserve"> </w:t>
      </w:r>
      <w:r w:rsidRPr="003871E4">
        <w:t>when</w:t>
      </w:r>
      <w:r w:rsidR="009A0847">
        <w:t xml:space="preserve"> </w:t>
      </w:r>
      <m:oMath>
        <m:r>
          <m:rPr>
            <m:sty m:val="p"/>
          </m:rPr>
          <w:rPr>
            <w:rFonts w:ascii="Cambria Math" w:hAnsi="Cambria Math"/>
          </w:rPr>
          <m:t>θ</m:t>
        </m:r>
      </m:oMath>
      <w:r w:rsidR="009A0847">
        <w:t xml:space="preserve"> </w:t>
      </w:r>
      <w:r w:rsidRPr="003871E4">
        <w:t>is</w:t>
      </w:r>
      <w:r w:rsidR="009A0847">
        <w:t xml:space="preserve"> </w:t>
      </w:r>
      <w:r w:rsidRPr="003871E4">
        <w:t>small</w:t>
      </w:r>
      <w:r w:rsidR="009A0847">
        <w:t xml:space="preserve"> </w:t>
      </w:r>
      <w:r w:rsidRPr="003871E4">
        <w:t>enough,</w:t>
      </w:r>
      <w:r w:rsidR="009A0847">
        <w:t xml:space="preserve"> </w:t>
      </w:r>
      <w:r w:rsidRPr="003871E4">
        <w:t>i.e.</w:t>
      </w:r>
      <w:r w:rsidR="009A0847">
        <w:t xml:space="preserve"> </w:t>
      </w:r>
      <m:oMath>
        <m:r>
          <m:rPr>
            <m:sty m:val="p"/>
          </m:rPr>
          <w:rPr>
            <w:rFonts w:ascii="Cambria Math" w:hAnsi="Cambria Math"/>
            <w:sz w:val="22"/>
            <w:szCs w:val="22"/>
          </w:rPr>
          <m:t>θ&lt;</m:t>
        </m:r>
        <m:sSub>
          <m:sSubPr>
            <m:ctrlPr>
              <w:rPr>
                <w:rFonts w:ascii="Cambria Math" w:hAnsi="Cambria Math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θ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0</m:t>
            </m:r>
          </m:sub>
        </m:sSub>
      </m:oMath>
      <w:r w:rsidRPr="003871E4">
        <w:t>.</w:t>
      </w:r>
      <m:oMath>
        <m:r>
          <m:rPr>
            <m:sty m:val="p"/>
          </m:rPr>
          <w:rPr>
            <w:rFonts w:ascii="Cambria Math" w:hAnsi="Cambria Math"/>
            <w:sz w:val="22"/>
            <w:szCs w:val="22"/>
          </w:rPr>
          <m:t xml:space="preserve"> </m:t>
        </m:r>
        <m:r>
          <w:rPr>
            <w:rFonts w:ascii="Cambria Math" w:hAnsi="Cambria Math"/>
            <w:sz w:val="22"/>
            <w:szCs w:val="22"/>
          </w:rPr>
          <m:t>∎</m:t>
        </m:r>
      </m:oMath>
      <w:r w:rsidR="009A0847">
        <w:rPr>
          <w:i/>
        </w:rPr>
        <w:t xml:space="preserve"> </w:t>
      </w:r>
    </w:p>
    <w:p w14:paraId="50429DF9" w14:textId="5047D975" w:rsidR="00E852D2" w:rsidRPr="00A86ADD" w:rsidRDefault="00E852D2" w:rsidP="00F86E09">
      <w:pPr>
        <w:pStyle w:val="Heading2"/>
        <w:widowControl w:val="0"/>
      </w:pPr>
      <w:r w:rsidRPr="00A86ADD">
        <w:t>Proof</w:t>
      </w:r>
      <w:r w:rsidR="009A0847">
        <w:t xml:space="preserve"> </w:t>
      </w:r>
      <w:r w:rsidRPr="00A86ADD">
        <w:t>of</w:t>
      </w:r>
      <w:r w:rsidR="009A0847">
        <w:t xml:space="preserve"> </w:t>
      </w:r>
      <w:r w:rsidRPr="00A86ADD">
        <w:t>Corollary</w:t>
      </w:r>
      <w:r w:rsidR="009A0847">
        <w:t xml:space="preserve"> </w:t>
      </w:r>
      <w:r w:rsidRPr="00A86ADD">
        <w:t>1</w:t>
      </w:r>
    </w:p>
    <w:p w14:paraId="38C51184" w14:textId="78BA4249" w:rsidR="00E852D2" w:rsidRPr="00D301DF" w:rsidRDefault="00C56D23" w:rsidP="00F86E09">
      <w:pPr>
        <w:pStyle w:val="Olivier1"/>
        <w:widowControl w:val="0"/>
        <w:spacing w:line="240" w:lineRule="auto"/>
      </w:pPr>
      <w:r>
        <w:t>The</w:t>
      </w:r>
      <w:r w:rsidR="009A0847">
        <w:t xml:space="preserve"> </w:t>
      </w:r>
      <w:r w:rsidR="00E852D2" w:rsidRPr="00D301DF">
        <w:t>endogenous</w:t>
      </w:r>
      <w:r w:rsidR="009A0847">
        <w:t xml:space="preserve"> </w:t>
      </w:r>
      <w:r w:rsidR="00E852D2" w:rsidRPr="00D301DF">
        <w:t>probability</w:t>
      </w:r>
      <w:r w:rsidR="009A0847">
        <w:t xml:space="preserve"> </w:t>
      </w:r>
      <w:r w:rsidR="00E852D2" w:rsidRPr="00D301DF">
        <w:t>of</w:t>
      </w:r>
      <w:r w:rsidR="009A0847">
        <w:t xml:space="preserve"> </w:t>
      </w:r>
      <w:r w:rsidR="00E852D2" w:rsidRPr="00D301DF">
        <w:t>detection</w:t>
      </w:r>
      <w:r w:rsidR="009A0847">
        <w:t xml:space="preserve"> </w:t>
      </w:r>
      <w:r>
        <w:t>is</w:t>
      </w:r>
      <w:r w:rsidR="009A0847">
        <w:t xml:space="preserve"> </w:t>
      </w:r>
      <m:oMath>
        <m:r>
          <w:rPr>
            <w:rFonts w:ascii="Cambria Math" w:hAnsi="Cambria Math"/>
            <w:sz w:val="22"/>
            <w:szCs w:val="22"/>
          </w:rPr>
          <m:t>θ</m:t>
        </m:r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n</m:t>
            </m:r>
          </m:e>
        </m:d>
      </m:oMath>
      <w:r>
        <w:rPr>
          <w:sz w:val="22"/>
          <w:szCs w:val="22"/>
        </w:rPr>
        <w:t>,</w:t>
      </w:r>
      <w:r w:rsidR="009A0847">
        <w:rPr>
          <w:sz w:val="22"/>
          <w:szCs w:val="22"/>
        </w:rPr>
        <w:t xml:space="preserve"> </w:t>
      </w:r>
      <w:r>
        <w:rPr>
          <w:sz w:val="22"/>
          <w:szCs w:val="22"/>
        </w:rPr>
        <w:t>with</w:t>
      </w:r>
      <w:r w:rsidR="009A0847">
        <w:rPr>
          <w:sz w:val="22"/>
          <w:szCs w:val="22"/>
        </w:rPr>
        <w:t xml:space="preserve"> </w:t>
      </w:r>
      <m:oMath>
        <m:r>
          <w:rPr>
            <w:rFonts w:ascii="Cambria Math" w:hAnsi="Cambria Math"/>
            <w:sz w:val="22"/>
            <w:szCs w:val="22"/>
          </w:rPr>
          <m:t>θ'</m:t>
        </m:r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n</m:t>
            </m:r>
          </m:e>
        </m:d>
        <m:r>
          <w:rPr>
            <w:rFonts w:ascii="Cambria Math" w:hAnsi="Cambria Math"/>
            <w:sz w:val="22"/>
            <w:szCs w:val="22"/>
          </w:rPr>
          <m:t>&lt;0</m:t>
        </m:r>
      </m:oMath>
      <w:r>
        <w:t>,</w:t>
      </w:r>
      <w:r w:rsidR="009A0847">
        <w:t xml:space="preserve"> </w:t>
      </w:r>
      <w:r w:rsidR="00E852D2" w:rsidRPr="00D301DF">
        <w:t>the</w:t>
      </w:r>
      <w:r w:rsidR="009A0847">
        <w:t xml:space="preserve"> </w:t>
      </w:r>
      <w:r w:rsidR="00E852D2" w:rsidRPr="00D301DF">
        <w:t>threshold</w:t>
      </w:r>
      <w:r w:rsidR="009A0847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 w:rsidR="009A0847">
        <w:t xml:space="preserve"> </w:t>
      </w:r>
      <w:r>
        <w:t>is</w:t>
      </w:r>
      <w:r w:rsidR="009A0847">
        <w:t xml:space="preserve"> </w:t>
      </w:r>
      <w:r w:rsidR="00E852D2" w:rsidRPr="00D301DF">
        <w:t>such</w:t>
      </w:r>
      <w:r w:rsidR="009A0847">
        <w:t xml:space="preserve"> </w:t>
      </w:r>
      <w:r w:rsidR="00E852D2" w:rsidRPr="00D301DF">
        <w:t>that</w:t>
      </w:r>
      <w:r w:rsidR="009A0847">
        <w:t xml:space="preserve"> </w:t>
      </w:r>
      <m:oMath>
        <m:r>
          <w:rPr>
            <w:rFonts w:ascii="Cambria Math" w:hAnsi="Cambria Math"/>
            <w:sz w:val="22"/>
            <w:szCs w:val="22"/>
          </w:rPr>
          <m:t>θ</m:t>
        </m:r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2"/>
                    <w:szCs w:val="22"/>
                  </w:rPr>
                  <m:t>0</m:t>
                </m:r>
              </m:sub>
            </m:sSub>
          </m:e>
        </m:d>
        <m:r>
          <w:rPr>
            <w:rFonts w:ascii="Cambria Math" w:hAnsi="Cambria Math"/>
            <w:sz w:val="22"/>
            <w:szCs w:val="22"/>
          </w:rPr>
          <m:t>=</m:t>
        </m:r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θ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0</m:t>
            </m:r>
          </m:sub>
        </m:sSub>
        <m:r>
          <w:rPr>
            <w:rFonts w:ascii="Cambria Math" w:hAnsi="Cambria Math"/>
            <w:sz w:val="22"/>
            <w:szCs w:val="22"/>
          </w:rPr>
          <m:t>=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  <w:u w:val="single"/>
              </w:rPr>
              <m:t>c</m:t>
            </m:r>
            <m:r>
              <w:rPr>
                <w:rFonts w:ascii="Cambria Math" w:hAnsi="Cambria Math"/>
                <w:sz w:val="22"/>
                <w:szCs w:val="22"/>
              </w:rPr>
              <m:t>-dw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k</m:t>
            </m:r>
          </m:den>
        </m:f>
      </m:oMath>
      <w:r w:rsidR="00E852D2" w:rsidRPr="00D301DF">
        <w:t>,</w:t>
      </w:r>
      <w:r w:rsidR="009A0847">
        <w:t xml:space="preserve"> </w:t>
      </w:r>
      <w:r w:rsidR="00E852D2" w:rsidRPr="00D301DF">
        <w:t>and</w:t>
      </w:r>
      <m:oMath>
        <m: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N</m:t>
            </m:r>
          </m:e>
          <m:sub>
            <m:acc>
              <m:accPr>
                <m:chr m:val="̅"/>
                <m:ctrlPr>
                  <w:rPr>
                    <w:rFonts w:ascii="Cambria Math" w:hAnsi="Cambria Math"/>
                    <w:sz w:val="22"/>
                    <w:szCs w:val="22"/>
                  </w:rPr>
                </m:ctrlPr>
              </m:acc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L</m:t>
                </m:r>
              </m:e>
            </m:acc>
          </m:sub>
        </m:sSub>
        <m:r>
          <w:rPr>
            <w:rFonts w:ascii="Cambria Math" w:hAnsi="Cambria Math"/>
            <w:sz w:val="22"/>
            <w:szCs w:val="22"/>
          </w:rPr>
          <m:t>=</m:t>
        </m:r>
        <m:d>
          <m:dPr>
            <m:ctrlPr>
              <w:rPr>
                <w:rFonts w:ascii="Cambria Math" w:hAnsi="Cambria Math"/>
                <w:sz w:val="22"/>
                <w:szCs w:val="22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sz w:val="22"/>
                    <w:szCs w:val="22"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S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sz w:val="22"/>
                            <w:szCs w:val="22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L</m:t>
                        </m:r>
                      </m:e>
                    </m:acc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+</m:t>
                </m:r>
                <m:r>
                  <w:rPr>
                    <w:rFonts w:ascii="Cambria Math" w:hAnsi="Cambria Math"/>
                    <w:sz w:val="22"/>
                    <w:szCs w:val="22"/>
                  </w:rPr>
                  <m:t>P</m:t>
                </m:r>
              </m:e>
              <m:sub>
                <m:acc>
                  <m:accPr>
                    <m:chr m:val="̅"/>
                    <m:ctrlPr>
                      <w:rPr>
                        <w:rFonts w:ascii="Cambria Math" w:hAnsi="Cambria Math"/>
                        <w:sz w:val="22"/>
                        <w:szCs w:val="22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S</m:t>
                    </m:r>
                  </m:e>
                </m:acc>
                <m:acc>
                  <m:accPr>
                    <m:chr m:val="̅"/>
                    <m:ctrlPr>
                      <w:rPr>
                        <w:rFonts w:ascii="Cambria Math" w:hAnsi="Cambria Math"/>
                        <w:sz w:val="22"/>
                        <w:szCs w:val="22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L</m:t>
                    </m:r>
                  </m:e>
                </m:acc>
              </m:sub>
            </m:sSub>
          </m:e>
        </m:d>
        <m:r>
          <w:rPr>
            <w:rFonts w:ascii="Cambria Math" w:hAnsi="Cambria Math"/>
            <w:sz w:val="22"/>
            <w:szCs w:val="22"/>
          </w:rPr>
          <m:t>N</m:t>
        </m:r>
      </m:oMath>
      <w:r w:rsidR="009A0847">
        <w:t xml:space="preserve"> </w:t>
      </w:r>
      <w:r>
        <w:t>is</w:t>
      </w:r>
      <w:r w:rsidR="009A0847">
        <w:t xml:space="preserve"> </w:t>
      </w:r>
      <w:r w:rsidR="00E852D2" w:rsidRPr="00D301DF">
        <w:t>the</w:t>
      </w:r>
      <w:r w:rsidR="009A0847">
        <w:t xml:space="preserve"> </w:t>
      </w:r>
      <w:r w:rsidR="00E852D2" w:rsidRPr="00D301DF">
        <w:t>expected</w:t>
      </w:r>
      <w:r w:rsidR="009A0847">
        <w:t xml:space="preserve"> </w:t>
      </w:r>
      <w:r w:rsidR="00E852D2" w:rsidRPr="00D301DF">
        <w:t>number</w:t>
      </w:r>
      <w:r w:rsidR="009A0847">
        <w:t xml:space="preserve"> </w:t>
      </w:r>
      <w:r w:rsidR="00E852D2" w:rsidRPr="00D301DF">
        <w:t>of</w:t>
      </w:r>
      <w:r w:rsidR="009A0847">
        <w:t xml:space="preserve"> </w:t>
      </w:r>
      <w:r w:rsidR="00E852D2" w:rsidRPr="00D301DF">
        <w:t>illiquid</w:t>
      </w:r>
      <w:r w:rsidR="009A0847">
        <w:t xml:space="preserve"> </w:t>
      </w:r>
      <w:r w:rsidR="00E852D2" w:rsidRPr="00D301DF">
        <w:t>banks.</w:t>
      </w:r>
      <w:r w:rsidR="009A0847">
        <w:t xml:space="preserve"> </w:t>
      </w:r>
    </w:p>
    <w:p w14:paraId="7B3DBC5B" w14:textId="08DB8ECF" w:rsidR="00E852D2" w:rsidRPr="00D301DF" w:rsidRDefault="00D301DF" w:rsidP="00F86E09">
      <w:pPr>
        <w:pStyle w:val="Olivier1"/>
        <w:widowControl w:val="0"/>
        <w:spacing w:line="240" w:lineRule="auto"/>
        <w:ind w:left="1620" w:hanging="1620"/>
        <w:rPr>
          <w:b/>
        </w:rPr>
      </w:pPr>
      <w:r>
        <w:rPr>
          <w:b/>
          <w:u w:val="single"/>
        </w:rPr>
        <w:t>Cor</w:t>
      </w:r>
      <w:r w:rsidR="00E852D2" w:rsidRPr="00D301DF">
        <w:rPr>
          <w:b/>
          <w:u w:val="single"/>
        </w:rPr>
        <w:t>ol</w:t>
      </w:r>
      <w:r>
        <w:rPr>
          <w:b/>
          <w:u w:val="single"/>
        </w:rPr>
        <w:t>l</w:t>
      </w:r>
      <w:r w:rsidR="00E852D2" w:rsidRPr="00D301DF">
        <w:rPr>
          <w:b/>
          <w:u w:val="single"/>
        </w:rPr>
        <w:t>ary</w:t>
      </w:r>
      <w:r w:rsidR="009A0847">
        <w:rPr>
          <w:b/>
          <w:u w:val="single"/>
        </w:rPr>
        <w:t xml:space="preserve"> </w:t>
      </w:r>
      <w:r>
        <w:rPr>
          <w:b/>
          <w:u w:val="single"/>
        </w:rPr>
        <w:t>1</w:t>
      </w:r>
      <w:r w:rsidR="00E852D2" w:rsidRPr="00D301DF">
        <w:t>:</w:t>
      </w:r>
      <w:r w:rsidR="009A0847">
        <w:t xml:space="preserve">     </w:t>
      </w:r>
      <w:r w:rsidR="00E852D2" w:rsidRPr="00D301DF">
        <w:t>If</w:t>
      </w:r>
      <w:r w:rsidR="009A0847">
        <w:t xml:space="preserve"> </w:t>
      </w:r>
      <m:oMath>
        <m:r>
          <w:rPr>
            <w:rFonts w:ascii="Cambria Math" w:hAnsi="Cambria Math"/>
            <w:sz w:val="22"/>
            <w:szCs w:val="22"/>
          </w:rPr>
          <m:t>1&lt;</m:t>
        </m:r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n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0</m:t>
            </m:r>
          </m:sub>
        </m:sSub>
        <m:r>
          <w:rPr>
            <w:rFonts w:ascii="Cambria Math" w:hAnsi="Cambria Math"/>
            <w:sz w:val="22"/>
            <w:szCs w:val="22"/>
          </w:rPr>
          <m:t>&lt;</m:t>
        </m:r>
        <m:sSub>
          <m:sSubPr>
            <m:ctrlPr>
              <w:rPr>
                <w:rFonts w:ascii="Cambria Math" w:hAnsi="Cambria Math"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N</m:t>
            </m:r>
          </m:e>
          <m:sub>
            <m:acc>
              <m:accPr>
                <m:chr m:val="̅"/>
                <m:ctrlPr>
                  <w:rPr>
                    <w:rFonts w:ascii="Cambria Math" w:hAnsi="Cambria Math"/>
                    <w:sz w:val="22"/>
                    <w:szCs w:val="22"/>
                  </w:rPr>
                </m:ctrlPr>
              </m:acc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L</m:t>
                </m:r>
              </m:e>
            </m:acc>
          </m:sub>
        </m:sSub>
      </m:oMath>
      <w:r w:rsidR="00E852D2" w:rsidRPr="00D301DF">
        <w:t>,</w:t>
      </w:r>
      <w:r w:rsidR="009A0847">
        <w:t xml:space="preserve"> </w:t>
      </w:r>
      <w:r w:rsidR="00E852D2" w:rsidRPr="00D301DF">
        <w:t>then</w:t>
      </w:r>
      <w:r w:rsidR="009A0847">
        <w:t xml:space="preserve"> </w:t>
      </w:r>
      <w:r w:rsidR="00E852D2" w:rsidRPr="00D301DF">
        <w:t>there</w:t>
      </w:r>
      <w:r w:rsidR="009A0847">
        <w:t xml:space="preserve"> </w:t>
      </w:r>
      <w:r w:rsidR="00E852D2" w:rsidRPr="00D301DF">
        <w:t>are</w:t>
      </w:r>
      <w:r w:rsidR="009A0847">
        <w:t xml:space="preserve"> </w:t>
      </w:r>
      <w:r w:rsidR="00E852D2" w:rsidRPr="00D301DF">
        <w:t>two</w:t>
      </w:r>
      <w:r w:rsidR="009A0847">
        <w:t xml:space="preserve"> </w:t>
      </w:r>
      <w:r w:rsidR="00E852D2" w:rsidRPr="00D301DF">
        <w:t>equilibria,</w:t>
      </w:r>
      <w:r w:rsidR="009A0847">
        <w:t xml:space="preserve"> </w:t>
      </w:r>
      <m:oMath>
        <m:r>
          <m:rPr>
            <m:sty m:val="bi"/>
          </m:rPr>
          <w:rPr>
            <w:rFonts w:ascii="Cambria Math" w:hAnsi="Cambria Math"/>
            <w:sz w:val="22"/>
            <w:szCs w:val="22"/>
          </w:rPr>
          <m:t>NoSt</m:t>
        </m:r>
      </m:oMath>
      <w:r w:rsidR="009A0847">
        <w:t xml:space="preserve"> </w:t>
      </w:r>
      <w:r w:rsidR="00E852D2" w:rsidRPr="00D301DF">
        <w:t>and</w:t>
      </w:r>
      <w:r w:rsidR="009A0847">
        <w:t xml:space="preserve"> </w:t>
      </w:r>
      <m:oMath>
        <m:r>
          <m:rPr>
            <m:sty m:val="bi"/>
          </m:rPr>
          <w:rPr>
            <w:rFonts w:ascii="Cambria Math" w:hAnsi="Cambria Math"/>
            <w:sz w:val="22"/>
            <w:szCs w:val="22"/>
          </w:rPr>
          <m:t>St</m:t>
        </m:r>
      </m:oMath>
      <w:r w:rsidR="00E852D2" w:rsidRPr="00D301DF">
        <w:rPr>
          <w:b/>
        </w:rPr>
        <w:t>.</w:t>
      </w:r>
      <w:r w:rsidR="009A0847">
        <w:rPr>
          <w:b/>
        </w:rPr>
        <w:t xml:space="preserve"> </w:t>
      </w:r>
      <w:r w:rsidR="00E852D2" w:rsidRPr="00D301DF">
        <w:t>Otherwise,</w:t>
      </w:r>
      <w:r w:rsidR="009A0847">
        <w:t xml:space="preserve"> </w:t>
      </w:r>
      <m:oMath>
        <m:r>
          <m:rPr>
            <m:sty m:val="bi"/>
          </m:rPr>
          <w:rPr>
            <w:rFonts w:ascii="Cambria Math" w:hAnsi="Cambria Math"/>
            <w:sz w:val="22"/>
            <w:szCs w:val="22"/>
          </w:rPr>
          <m:t>NoSt</m:t>
        </m:r>
      </m:oMath>
      <w:r w:rsidR="009A0847">
        <w:rPr>
          <w:b/>
          <w:szCs w:val="24"/>
        </w:rPr>
        <w:t xml:space="preserve"> </w:t>
      </w:r>
      <w:r w:rsidR="00E852D2" w:rsidRPr="003871E4">
        <w:rPr>
          <w:szCs w:val="24"/>
        </w:rPr>
        <w:t>is</w:t>
      </w:r>
      <w:r w:rsidR="009A0847">
        <w:rPr>
          <w:szCs w:val="24"/>
        </w:rPr>
        <w:t xml:space="preserve"> </w:t>
      </w:r>
      <w:r w:rsidR="00E852D2" w:rsidRPr="003871E4">
        <w:rPr>
          <w:szCs w:val="24"/>
        </w:rPr>
        <w:t>the</w:t>
      </w:r>
      <w:r w:rsidR="009A0847">
        <w:rPr>
          <w:szCs w:val="24"/>
        </w:rPr>
        <w:t xml:space="preserve"> </w:t>
      </w:r>
      <w:r w:rsidR="00E852D2" w:rsidRPr="003871E4">
        <w:rPr>
          <w:szCs w:val="24"/>
        </w:rPr>
        <w:t>uni</w:t>
      </w:r>
      <w:r w:rsidR="00E852D2" w:rsidRPr="00D301DF">
        <w:t>que</w:t>
      </w:r>
      <w:r w:rsidR="009A0847">
        <w:t xml:space="preserve"> </w:t>
      </w:r>
      <w:r w:rsidR="00E852D2" w:rsidRPr="00D301DF">
        <w:t>equilibrium</w:t>
      </w:r>
      <w:r w:rsidR="009A0847">
        <w:t xml:space="preserve"> </w:t>
      </w:r>
      <w:r w:rsidR="00E852D2" w:rsidRPr="00D301DF">
        <w:t>when</w:t>
      </w:r>
      <w:r w:rsidR="009A0847"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n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0</m:t>
            </m:r>
          </m:sub>
        </m:sSub>
        <m:r>
          <w:rPr>
            <w:rFonts w:ascii="Cambria Math" w:hAnsi="Cambria Math"/>
            <w:sz w:val="22"/>
            <w:szCs w:val="22"/>
          </w:rPr>
          <m:t>&lt;1</m:t>
        </m:r>
      </m:oMath>
      <w:r w:rsidR="009A0847">
        <w:t xml:space="preserve"> </w:t>
      </w:r>
      <w:r w:rsidR="00E852D2" w:rsidRPr="00D301DF">
        <w:t>and</w:t>
      </w:r>
      <w:r w:rsidR="009A0847">
        <w:t xml:space="preserve"> </w:t>
      </w:r>
      <m:oMath>
        <m:r>
          <m:rPr>
            <m:sty m:val="bi"/>
          </m:rPr>
          <w:rPr>
            <w:rFonts w:ascii="Cambria Math" w:hAnsi="Cambria Math"/>
            <w:sz w:val="22"/>
            <w:szCs w:val="22"/>
          </w:rPr>
          <m:t>St</m:t>
        </m:r>
      </m:oMath>
      <w:r w:rsidR="009A0847">
        <w:t xml:space="preserve"> </w:t>
      </w:r>
      <w:r w:rsidR="00E852D2" w:rsidRPr="00D301DF">
        <w:t>is</w:t>
      </w:r>
      <w:r w:rsidR="009A0847">
        <w:t xml:space="preserve"> </w:t>
      </w:r>
      <w:r w:rsidR="00E852D2" w:rsidRPr="00D301DF">
        <w:t>the</w:t>
      </w:r>
      <w:r w:rsidR="009A0847">
        <w:t xml:space="preserve"> </w:t>
      </w:r>
      <w:r w:rsidR="00E852D2" w:rsidRPr="00D301DF">
        <w:t>unique</w:t>
      </w:r>
      <w:r w:rsidR="009A0847">
        <w:t xml:space="preserve"> </w:t>
      </w:r>
      <w:r w:rsidR="00E852D2" w:rsidRPr="00D301DF">
        <w:t>equilibrium</w:t>
      </w:r>
      <w:r w:rsidR="009A0847">
        <w:t xml:space="preserve"> </w:t>
      </w:r>
      <w:r w:rsidR="00E852D2" w:rsidRPr="00D301DF">
        <w:t>when</w:t>
      </w:r>
      <w:r w:rsidR="009A0847"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n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0</m:t>
            </m:r>
          </m:sub>
        </m:sSub>
        <m:r>
          <w:rPr>
            <w:rFonts w:ascii="Cambria Math" w:hAnsi="Cambria Math"/>
            <w:sz w:val="22"/>
            <w:szCs w:val="22"/>
          </w:rPr>
          <m:t>&gt;</m:t>
        </m:r>
        <m:sSub>
          <m:sSubPr>
            <m:ctrlPr>
              <w:rPr>
                <w:rFonts w:ascii="Cambria Math" w:hAnsi="Cambria Math"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N</m:t>
            </m:r>
          </m:e>
          <m:sub>
            <m:acc>
              <m:accPr>
                <m:chr m:val="̅"/>
                <m:ctrlPr>
                  <w:rPr>
                    <w:rFonts w:ascii="Cambria Math" w:hAnsi="Cambria Math"/>
                    <w:sz w:val="22"/>
                    <w:szCs w:val="22"/>
                  </w:rPr>
                </m:ctrlPr>
              </m:acc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L</m:t>
                </m:r>
              </m:e>
            </m:acc>
          </m:sub>
        </m:sSub>
      </m:oMath>
      <w:r w:rsidR="00E852D2" w:rsidRPr="00D301DF">
        <w:t>.</w:t>
      </w:r>
    </w:p>
    <w:p w14:paraId="51ECCBAF" w14:textId="338892AD" w:rsidR="00E852D2" w:rsidRPr="00D301DF" w:rsidRDefault="00C56D23" w:rsidP="00F86E09">
      <w:pPr>
        <w:pStyle w:val="Olivier1"/>
        <w:widowControl w:val="0"/>
        <w:spacing w:line="240" w:lineRule="auto"/>
        <w:rPr>
          <w:b/>
        </w:rPr>
      </w:pPr>
      <w:r w:rsidRPr="00A75740">
        <w:rPr>
          <w:b/>
        </w:rPr>
        <w:t>Proof</w:t>
      </w:r>
      <w:r w:rsidRPr="00A75740">
        <w:t>:</w:t>
      </w:r>
      <w:r w:rsidR="009A0847">
        <w:t xml:space="preserve"> </w:t>
      </w:r>
      <w:r w:rsidR="00E852D2" w:rsidRPr="00D301DF">
        <w:t>When</w:t>
      </w:r>
      <w:r w:rsidR="009A0847"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n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0</m:t>
            </m:r>
          </m:sub>
        </m:sSub>
        <m:r>
          <w:rPr>
            <w:rFonts w:ascii="Cambria Math" w:hAnsi="Cambria Math"/>
            <w:sz w:val="22"/>
            <w:szCs w:val="22"/>
          </w:rPr>
          <m:t>&lt;1</m:t>
        </m:r>
      </m:oMath>
      <w:r w:rsidR="009A0847">
        <w:t xml:space="preserve"> </w:t>
      </w:r>
      <w:r w:rsidR="00E852D2" w:rsidRPr="00D301DF">
        <w:t>we</w:t>
      </w:r>
      <w:r w:rsidR="009A0847">
        <w:t xml:space="preserve"> </w:t>
      </w:r>
      <w:r w:rsidR="00E852D2" w:rsidRPr="00D301DF">
        <w:t>have</w:t>
      </w:r>
      <w:r w:rsidR="009A0847">
        <w:t xml:space="preserve"> </w:t>
      </w:r>
      <m:oMath>
        <m:r>
          <w:rPr>
            <w:rFonts w:ascii="Cambria Math" w:hAnsi="Cambria Math"/>
            <w:sz w:val="22"/>
            <w:szCs w:val="22"/>
          </w:rPr>
          <m:t>θ</m:t>
        </m:r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2"/>
                    <w:szCs w:val="22"/>
                  </w:rPr>
                  <m:t>0</m:t>
                </m:r>
              </m:sub>
            </m:sSub>
          </m:e>
        </m:d>
        <m:r>
          <w:rPr>
            <w:rFonts w:ascii="Cambria Math" w:hAnsi="Cambria Math"/>
            <w:sz w:val="22"/>
            <w:szCs w:val="22"/>
          </w:rPr>
          <m:t>&gt;θ</m:t>
        </m:r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1</m:t>
            </m:r>
          </m:e>
        </m:d>
        <m:r>
          <w:rPr>
            <w:rFonts w:ascii="Cambria Math" w:hAnsi="Cambria Math"/>
            <w:sz w:val="22"/>
            <w:szCs w:val="22"/>
          </w:rPr>
          <m:t>≥θ</m:t>
        </m:r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n</m:t>
            </m:r>
          </m:e>
        </m:d>
        <m:r>
          <w:rPr>
            <w:rFonts w:ascii="Cambria Math" w:hAnsi="Cambria Math"/>
            <w:sz w:val="22"/>
            <w:szCs w:val="22"/>
          </w:rPr>
          <m:t xml:space="preserve"> </m:t>
        </m:r>
      </m:oMath>
      <w:r w:rsidR="009A0847">
        <w:rPr>
          <w:sz w:val="22"/>
          <w:szCs w:val="22"/>
        </w:rPr>
        <w:t xml:space="preserve"> </w:t>
      </w:r>
      <w:r w:rsidR="00E852D2" w:rsidRPr="00D301DF">
        <w:t>for</w:t>
      </w:r>
      <w:r w:rsidR="009A0847">
        <w:t xml:space="preserve"> </w:t>
      </w:r>
      <w:r w:rsidR="00E852D2" w:rsidRPr="00D301DF">
        <w:t>all</w:t>
      </w:r>
      <w:r w:rsidR="009A0847">
        <w:t xml:space="preserve"> </w:t>
      </w:r>
      <m:oMath>
        <m:r>
          <w:rPr>
            <w:rFonts w:ascii="Cambria Math" w:hAnsi="Cambria Math"/>
            <w:sz w:val="22"/>
            <w:szCs w:val="22"/>
          </w:rPr>
          <m:t>n≥1</m:t>
        </m:r>
      </m:oMath>
      <w:r w:rsidR="00E852D2" w:rsidRPr="00D301DF">
        <w:t>.</w:t>
      </w:r>
      <w:r w:rsidR="009A0847">
        <w:t xml:space="preserve"> </w:t>
      </w:r>
      <w:r w:rsidR="00E852D2" w:rsidRPr="00D301DF">
        <w:t>Thus,</w:t>
      </w:r>
      <w:r w:rsidR="009A0847">
        <w:t xml:space="preserve"> </w:t>
      </w:r>
      <w:r>
        <w:t>a</w:t>
      </w:r>
      <w:r w:rsidR="009A0847">
        <w:t xml:space="preserve"> </w:t>
      </w:r>
      <w:r>
        <w:t>single</w:t>
      </w:r>
      <w:r w:rsidR="009A0847">
        <w:t xml:space="preserve"> </w:t>
      </w:r>
      <w:r>
        <w:t>DW</w:t>
      </w:r>
      <w:r w:rsidR="009A0847">
        <w:t xml:space="preserve"> </w:t>
      </w:r>
      <w:r>
        <w:t>borrower</w:t>
      </w:r>
      <w:r w:rsidR="009A0847">
        <w:t xml:space="preserve"> </w:t>
      </w:r>
      <w:r>
        <w:t>is</w:t>
      </w:r>
      <w:r w:rsidR="009A0847">
        <w:t xml:space="preserve"> </w:t>
      </w:r>
      <w:r>
        <w:t>sufficient</w:t>
      </w:r>
      <w:r w:rsidR="009A0847">
        <w:t xml:space="preserve"> </w:t>
      </w:r>
      <w:r>
        <w:t>to</w:t>
      </w:r>
      <w:r w:rsidR="009A0847">
        <w:t xml:space="preserve"> </w:t>
      </w:r>
      <w:r>
        <w:t>make</w:t>
      </w:r>
      <w:r w:rsidR="009A0847">
        <w:t xml:space="preserve"> </w:t>
      </w:r>
      <w:r>
        <w:t>the</w:t>
      </w:r>
      <w:r w:rsidR="009A0847">
        <w:t xml:space="preserve"> </w:t>
      </w:r>
      <w:r>
        <w:t>detection</w:t>
      </w:r>
      <w:r w:rsidR="009A0847">
        <w:t xml:space="preserve"> </w:t>
      </w:r>
      <w:r>
        <w:t>probability</w:t>
      </w:r>
      <w:r w:rsidR="009A0847">
        <w:t xml:space="preserve"> </w:t>
      </w:r>
      <w:r>
        <w:t>lower</w:t>
      </w:r>
      <w:r w:rsidR="009A0847">
        <w:t xml:space="preserve"> </w:t>
      </w:r>
      <w:r>
        <w:t>than</w:t>
      </w:r>
      <w:r w:rsidR="009A0847">
        <w:t xml:space="preserve"> </w:t>
      </w:r>
      <w:r>
        <w:t>the</w:t>
      </w:r>
      <w:r w:rsidR="009A0847">
        <w:t xml:space="preserve"> </w:t>
      </w:r>
      <w:r>
        <w:t>threshold</w:t>
      </w:r>
      <w:r w:rsidR="009A0847"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θ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0</m:t>
            </m:r>
          </m:sub>
        </m:sSub>
      </m:oMath>
      <w:r>
        <w:rPr>
          <w:sz w:val="22"/>
          <w:szCs w:val="22"/>
        </w:rPr>
        <w:t>.</w:t>
      </w:r>
      <w:r w:rsidR="009A0847">
        <w:rPr>
          <w:sz w:val="22"/>
          <w:szCs w:val="22"/>
        </w:rPr>
        <w:t xml:space="preserve"> </w:t>
      </w:r>
      <w:r w:rsidR="00E852D2" w:rsidRPr="00D301DF">
        <w:t>According</w:t>
      </w:r>
      <w:r w:rsidR="009A0847">
        <w:t xml:space="preserve"> </w:t>
      </w:r>
      <w:r w:rsidR="00E852D2" w:rsidRPr="00D301DF">
        <w:t>to</w:t>
      </w:r>
      <w:r w:rsidR="009A0847">
        <w:t xml:space="preserve"> </w:t>
      </w:r>
      <w:r w:rsidR="00E852D2" w:rsidRPr="00D301DF">
        <w:t>Proposition</w:t>
      </w:r>
      <w:r w:rsidR="009A0847">
        <w:t xml:space="preserve"> </w:t>
      </w:r>
      <w:r w:rsidR="00E852D2" w:rsidRPr="00D301DF">
        <w:t>1,</w:t>
      </w:r>
      <w:r w:rsidR="009A0847">
        <w:t xml:space="preserve"> </w:t>
      </w:r>
      <w:r>
        <w:t>with</w:t>
      </w:r>
      <w:r w:rsidR="009A0847">
        <w:t xml:space="preserve"> </w:t>
      </w:r>
      <w:r>
        <w:t>such</w:t>
      </w:r>
      <w:r w:rsidR="009A0847">
        <w:t xml:space="preserve"> </w:t>
      </w:r>
      <w:r>
        <w:t>low</w:t>
      </w:r>
      <w:r w:rsidR="009A0847">
        <w:t xml:space="preserve"> </w:t>
      </w:r>
      <w:r>
        <w:t>probability</w:t>
      </w:r>
      <w:r w:rsidR="009A0847">
        <w:t xml:space="preserve"> </w:t>
      </w:r>
      <w:r>
        <w:t>of</w:t>
      </w:r>
      <w:r w:rsidR="009A0847">
        <w:t xml:space="preserve"> </w:t>
      </w:r>
      <w:r>
        <w:t>detection</w:t>
      </w:r>
      <w:r w:rsidR="009A0847">
        <w:t xml:space="preserve"> </w:t>
      </w:r>
      <w:r>
        <w:t>the</w:t>
      </w:r>
      <w:r w:rsidR="009A0847">
        <w:t xml:space="preserve"> </w:t>
      </w:r>
      <w:r w:rsidR="00E852D2" w:rsidRPr="00D301DF">
        <w:t>best</w:t>
      </w:r>
      <w:r w:rsidR="009A0847">
        <w:t xml:space="preserve"> </w:t>
      </w:r>
      <w:r w:rsidR="00E852D2" w:rsidRPr="00D301DF">
        <w:t>response</w:t>
      </w:r>
      <w:r w:rsidR="009A0847">
        <w:t xml:space="preserve"> </w:t>
      </w:r>
      <w:r>
        <w:t>of</w:t>
      </w:r>
      <w:r w:rsidR="009A0847">
        <w:t xml:space="preserve"> </w:t>
      </w:r>
      <w:r>
        <w:t>any</w:t>
      </w:r>
      <w:r w:rsidR="009A0847">
        <w:t xml:space="preserve"> </w:t>
      </w:r>
      <w:r w:rsidR="00E852D2" w:rsidRPr="00D301DF">
        <w:t>illiquid</w:t>
      </w:r>
      <w:r w:rsidR="009A0847">
        <w:t xml:space="preserve"> </w:t>
      </w:r>
      <w:r w:rsidR="00E852D2" w:rsidRPr="00D301DF">
        <w:t>bank</w:t>
      </w:r>
      <w:r w:rsidR="009A0847">
        <w:t xml:space="preserve"> </w:t>
      </w:r>
      <w:r w:rsidR="00E852D2" w:rsidRPr="00D301DF">
        <w:t>is</w:t>
      </w:r>
      <w:r w:rsidR="009A0847">
        <w:t xml:space="preserve"> </w:t>
      </w:r>
      <w:r w:rsidR="00E852D2" w:rsidRPr="00D301DF">
        <w:t>to</w:t>
      </w:r>
      <w:r w:rsidR="009A0847">
        <w:t xml:space="preserve"> </w:t>
      </w:r>
      <w:r w:rsidR="00E852D2" w:rsidRPr="00D301DF">
        <w:t>borrow</w:t>
      </w:r>
      <w:r w:rsidR="009A0847">
        <w:t xml:space="preserve"> </w:t>
      </w:r>
      <w:r w:rsidR="00E852D2" w:rsidRPr="00D301DF">
        <w:t>at</w:t>
      </w:r>
      <w:r w:rsidR="009A0847">
        <w:t xml:space="preserve"> </w:t>
      </w:r>
      <w:r w:rsidR="00E852D2" w:rsidRPr="00D301DF">
        <w:t>the</w:t>
      </w:r>
      <w:r w:rsidR="009A0847">
        <w:t xml:space="preserve"> </w:t>
      </w:r>
      <w:r w:rsidR="00E852D2" w:rsidRPr="00D301DF">
        <w:t>DW</w:t>
      </w:r>
      <w:r w:rsidR="00D75A05">
        <w:t xml:space="preserve"> regardless of the number of DW borrowers</w:t>
      </w:r>
      <w:r w:rsidR="0040451C">
        <w:t>,</w:t>
      </w:r>
      <w:r w:rsidR="009A0847">
        <w:t xml:space="preserve"> </w:t>
      </w:r>
      <w:r w:rsidR="00E852D2" w:rsidRPr="00D301DF">
        <w:t>and</w:t>
      </w:r>
      <w:r w:rsidR="009A0847">
        <w:t xml:space="preserve"> </w:t>
      </w:r>
      <w:r w:rsidR="00E852D2" w:rsidRPr="00D301DF">
        <w:t>the</w:t>
      </w:r>
      <w:r w:rsidR="009A0847">
        <w:t xml:space="preserve"> </w:t>
      </w:r>
      <w:r w:rsidR="00E852D2" w:rsidRPr="00D301DF">
        <w:t>unique</w:t>
      </w:r>
      <w:r w:rsidR="009A0847">
        <w:t xml:space="preserve"> </w:t>
      </w:r>
      <w:r w:rsidR="00E852D2" w:rsidRPr="00D301DF">
        <w:t>equilibrium</w:t>
      </w:r>
      <w:r w:rsidR="009A0847">
        <w:t xml:space="preserve"> </w:t>
      </w:r>
      <w:r w:rsidR="00E852D2" w:rsidRPr="00D301DF">
        <w:t>is</w:t>
      </w:r>
      <w:r w:rsidR="009A0847">
        <w:t xml:space="preserve"> </w:t>
      </w:r>
      <m:oMath>
        <m:r>
          <m:rPr>
            <m:sty m:val="bi"/>
          </m:rPr>
          <w:rPr>
            <w:rFonts w:ascii="Cambria Math" w:hAnsi="Cambria Math"/>
            <w:sz w:val="22"/>
            <w:szCs w:val="22"/>
          </w:rPr>
          <m:t>NoSt</m:t>
        </m:r>
      </m:oMath>
      <w:r w:rsidR="00E852D2" w:rsidRPr="00D301DF">
        <w:t>.</w:t>
      </w:r>
    </w:p>
    <w:p w14:paraId="044EDAA9" w14:textId="78AEA77F" w:rsidR="00E852D2" w:rsidRPr="00D301DF" w:rsidRDefault="00E852D2" w:rsidP="00F86E09">
      <w:pPr>
        <w:pStyle w:val="Olivier1"/>
        <w:widowControl w:val="0"/>
        <w:spacing w:line="240" w:lineRule="auto"/>
      </w:pPr>
      <w:r w:rsidRPr="00D301DF">
        <w:t>When</w:t>
      </w:r>
      <w:r w:rsidR="009A0847"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n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0</m:t>
            </m:r>
          </m:sub>
        </m:sSub>
        <m:r>
          <w:rPr>
            <w:rFonts w:ascii="Cambria Math" w:hAnsi="Cambria Math"/>
            <w:sz w:val="22"/>
            <w:szCs w:val="22"/>
          </w:rPr>
          <m:t>&gt;</m:t>
        </m:r>
        <m:sSub>
          <m:sSubPr>
            <m:ctrlPr>
              <w:rPr>
                <w:rFonts w:ascii="Cambria Math" w:hAnsi="Cambria Math"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N</m:t>
            </m:r>
          </m:e>
          <m:sub>
            <m:acc>
              <m:accPr>
                <m:chr m:val="̅"/>
                <m:ctrlPr>
                  <w:rPr>
                    <w:rFonts w:ascii="Cambria Math" w:hAnsi="Cambria Math"/>
                    <w:sz w:val="22"/>
                    <w:szCs w:val="22"/>
                  </w:rPr>
                </m:ctrlPr>
              </m:acc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L</m:t>
                </m:r>
              </m:e>
            </m:acc>
          </m:sub>
        </m:sSub>
        <m:r>
          <w:rPr>
            <w:rFonts w:ascii="Cambria Math" w:hAnsi="Cambria Math"/>
            <w:sz w:val="22"/>
            <w:szCs w:val="22"/>
          </w:rPr>
          <m:t xml:space="preserve"> </m:t>
        </m:r>
      </m:oMath>
      <w:r w:rsidRPr="00D301DF">
        <w:t>we</w:t>
      </w:r>
      <w:r w:rsidR="009A0847">
        <w:t xml:space="preserve"> </w:t>
      </w:r>
      <w:r w:rsidRPr="00D301DF">
        <w:t>have</w:t>
      </w:r>
      <w:r w:rsidR="009A0847">
        <w:t xml:space="preserve"> </w:t>
      </w:r>
      <m:oMath>
        <m:r>
          <w:rPr>
            <w:rFonts w:ascii="Cambria Math" w:hAnsi="Cambria Math"/>
            <w:sz w:val="22"/>
            <w:szCs w:val="22"/>
          </w:rPr>
          <m:t>θ</m:t>
        </m:r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2"/>
                    <w:szCs w:val="22"/>
                  </w:rPr>
                  <m:t>0</m:t>
                </m:r>
              </m:sub>
            </m:sSub>
          </m:e>
        </m:d>
        <m:r>
          <w:rPr>
            <w:rFonts w:ascii="Cambria Math" w:hAnsi="Cambria Math"/>
            <w:sz w:val="22"/>
            <w:szCs w:val="22"/>
          </w:rPr>
          <m:t>&lt;θ</m:t>
        </m:r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N</m:t>
                </m:r>
              </m:e>
              <m:sub>
                <m:acc>
                  <m:accPr>
                    <m:chr m:val="̅"/>
                    <m:ctrlPr>
                      <w:rPr>
                        <w:rFonts w:ascii="Cambria Math" w:hAnsi="Cambria Math"/>
                        <w:sz w:val="22"/>
                        <w:szCs w:val="22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L</m:t>
                    </m:r>
                  </m:e>
                </m:acc>
              </m:sub>
            </m:sSub>
          </m:e>
        </m:d>
        <m:r>
          <w:rPr>
            <w:rFonts w:ascii="Cambria Math" w:hAnsi="Cambria Math"/>
            <w:sz w:val="22"/>
            <w:szCs w:val="22"/>
          </w:rPr>
          <m:t>≤θ</m:t>
        </m:r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n</m:t>
            </m:r>
          </m:e>
        </m:d>
        <m:r>
          <w:rPr>
            <w:rFonts w:ascii="Cambria Math" w:hAnsi="Cambria Math"/>
            <w:sz w:val="22"/>
            <w:szCs w:val="22"/>
          </w:rPr>
          <m:t xml:space="preserve"> </m:t>
        </m:r>
      </m:oMath>
      <w:r w:rsidRPr="00D301DF">
        <w:t>for</w:t>
      </w:r>
      <w:r w:rsidR="009A0847">
        <w:t xml:space="preserve"> </w:t>
      </w:r>
      <w:r w:rsidRPr="00D301DF">
        <w:t>a</w:t>
      </w:r>
      <w:r w:rsidR="0040451C">
        <w:t>ny</w:t>
      </w:r>
      <w:r w:rsidR="009A0847">
        <w:t xml:space="preserve"> </w:t>
      </w:r>
      <m:oMath>
        <m:r>
          <w:rPr>
            <w:rFonts w:ascii="Cambria Math" w:hAnsi="Cambria Math"/>
            <w:sz w:val="22"/>
            <w:szCs w:val="22"/>
          </w:rPr>
          <m:t>n≤</m:t>
        </m:r>
        <m:sSub>
          <m:sSubPr>
            <m:ctrlPr>
              <w:rPr>
                <w:rFonts w:ascii="Cambria Math" w:hAnsi="Cambria Math"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N</m:t>
            </m:r>
          </m:e>
          <m:sub>
            <m:acc>
              <m:accPr>
                <m:chr m:val="̅"/>
                <m:ctrlPr>
                  <w:rPr>
                    <w:rFonts w:ascii="Cambria Math" w:hAnsi="Cambria Math"/>
                    <w:sz w:val="22"/>
                    <w:szCs w:val="22"/>
                  </w:rPr>
                </m:ctrlPr>
              </m:acc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L</m:t>
                </m:r>
              </m:e>
            </m:acc>
          </m:sub>
        </m:sSub>
      </m:oMath>
      <w:r w:rsidRPr="00D301DF">
        <w:t>.</w:t>
      </w:r>
      <w:r w:rsidR="009A0847">
        <w:t xml:space="preserve"> </w:t>
      </w:r>
      <w:r w:rsidRPr="00D301DF">
        <w:t>Thus,</w:t>
      </w:r>
      <w:r w:rsidR="009A0847">
        <w:t xml:space="preserve"> </w:t>
      </w:r>
      <w:r w:rsidRPr="00D301DF">
        <w:t>more</w:t>
      </w:r>
      <w:r w:rsidR="009A0847">
        <w:t xml:space="preserve"> </w:t>
      </w:r>
      <w:r w:rsidRPr="00D301DF">
        <w:t>than</w:t>
      </w:r>
      <w:r w:rsidR="009A0847">
        <w:t xml:space="preserve"> </w:t>
      </w:r>
      <w:r w:rsidRPr="00D301DF">
        <w:t>the</w:t>
      </w:r>
      <w:r w:rsidR="009A0847">
        <w:t xml:space="preserve"> </w:t>
      </w:r>
      <w:r w:rsidRPr="00D301DF">
        <w:t>expected</w:t>
      </w:r>
      <w:r w:rsidR="009A0847">
        <w:t xml:space="preserve"> </w:t>
      </w:r>
      <w:r w:rsidRPr="00D301DF">
        <w:t>number</w:t>
      </w:r>
      <w:r w:rsidR="009A0847">
        <w:t xml:space="preserve"> </w:t>
      </w:r>
      <w:r w:rsidRPr="00D301DF">
        <w:t>of</w:t>
      </w:r>
      <w:r w:rsidR="009A0847">
        <w:t xml:space="preserve"> </w:t>
      </w:r>
      <w:r w:rsidRPr="00D301DF">
        <w:t>illiquid</w:t>
      </w:r>
      <w:r w:rsidR="009A0847">
        <w:t xml:space="preserve"> </w:t>
      </w:r>
      <w:r w:rsidRPr="00D301DF">
        <w:t>banks</w:t>
      </w:r>
      <w:r w:rsidR="009A0847">
        <w:t xml:space="preserve"> </w:t>
      </w:r>
      <w:r w:rsidRPr="00D301DF">
        <w:t>would</w:t>
      </w:r>
      <w:r w:rsidR="009A0847">
        <w:t xml:space="preserve"> </w:t>
      </w:r>
      <w:r w:rsidRPr="00D301DF">
        <w:t>be</w:t>
      </w:r>
      <w:r w:rsidR="009A0847">
        <w:t xml:space="preserve"> </w:t>
      </w:r>
      <w:r w:rsidRPr="00D301DF">
        <w:t>required</w:t>
      </w:r>
      <w:r w:rsidR="009A0847">
        <w:t xml:space="preserve"> </w:t>
      </w:r>
      <w:r w:rsidR="0040451C">
        <w:t>to</w:t>
      </w:r>
      <w:r w:rsidR="009A0847">
        <w:t xml:space="preserve"> </w:t>
      </w:r>
      <w:r w:rsidR="00D75A05">
        <w:t>access</w:t>
      </w:r>
      <w:r w:rsidR="009A0847">
        <w:t xml:space="preserve"> </w:t>
      </w:r>
      <w:r w:rsidR="0040451C">
        <w:t>the</w:t>
      </w:r>
      <w:r w:rsidR="009A0847">
        <w:t xml:space="preserve"> </w:t>
      </w:r>
      <w:r w:rsidR="0040451C">
        <w:t>DW</w:t>
      </w:r>
      <w:r w:rsidR="009A0847">
        <w:t xml:space="preserve"> </w:t>
      </w:r>
      <w:r w:rsidR="00D75A05">
        <w:t xml:space="preserve">simultaneously </w:t>
      </w:r>
      <w:r w:rsidR="0040451C">
        <w:t>for</w:t>
      </w:r>
      <w:r w:rsidR="009A0847">
        <w:t xml:space="preserve"> </w:t>
      </w:r>
      <w:r w:rsidR="0040451C">
        <w:t>the</w:t>
      </w:r>
      <w:r w:rsidR="009A0847">
        <w:t xml:space="preserve"> </w:t>
      </w:r>
      <w:r w:rsidR="0040451C">
        <w:t>detection</w:t>
      </w:r>
      <w:r w:rsidR="009A0847">
        <w:t xml:space="preserve"> </w:t>
      </w:r>
      <w:r w:rsidR="0040451C">
        <w:t>probability</w:t>
      </w:r>
      <w:r w:rsidR="009A0847">
        <w:t xml:space="preserve"> </w:t>
      </w:r>
      <w:r w:rsidR="0040451C">
        <w:t>to</w:t>
      </w:r>
      <w:r w:rsidR="009A0847">
        <w:t xml:space="preserve"> </w:t>
      </w:r>
      <w:r w:rsidR="0040451C">
        <w:t>become</w:t>
      </w:r>
      <w:r w:rsidR="009A0847">
        <w:t xml:space="preserve"> </w:t>
      </w:r>
      <w:r w:rsidR="0040451C">
        <w:t>lower</w:t>
      </w:r>
      <w:r w:rsidR="009A0847">
        <w:t xml:space="preserve"> </w:t>
      </w:r>
      <w:r w:rsidR="0040451C">
        <w:t>than</w:t>
      </w:r>
      <w:r w:rsidR="009A0847">
        <w:t xml:space="preserve"> </w:t>
      </w:r>
      <w:r w:rsidR="0040451C">
        <w:t>the</w:t>
      </w:r>
      <w:r w:rsidR="009A0847">
        <w:t xml:space="preserve"> </w:t>
      </w:r>
      <w:r w:rsidR="0040451C">
        <w:t>threshold</w:t>
      </w:r>
      <w:r w:rsidR="009A0847"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θ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0</m:t>
            </m:r>
          </m:sub>
        </m:sSub>
      </m:oMath>
      <w:r w:rsidR="0040451C" w:rsidRPr="0040451C">
        <w:rPr>
          <w:szCs w:val="24"/>
        </w:rPr>
        <w:t>.</w:t>
      </w:r>
      <w:r w:rsidR="009A0847">
        <w:rPr>
          <w:szCs w:val="24"/>
        </w:rPr>
        <w:t xml:space="preserve"> </w:t>
      </w:r>
      <w:r w:rsidR="0040451C" w:rsidRPr="0040451C">
        <w:rPr>
          <w:szCs w:val="24"/>
        </w:rPr>
        <w:t>In</w:t>
      </w:r>
      <w:r w:rsidR="009A0847">
        <w:rPr>
          <w:szCs w:val="24"/>
        </w:rPr>
        <w:t xml:space="preserve"> </w:t>
      </w:r>
      <w:r w:rsidR="0040451C" w:rsidRPr="0040451C">
        <w:rPr>
          <w:szCs w:val="24"/>
        </w:rPr>
        <w:t>that</w:t>
      </w:r>
      <w:r w:rsidR="009A0847">
        <w:rPr>
          <w:szCs w:val="24"/>
        </w:rPr>
        <w:t xml:space="preserve"> </w:t>
      </w:r>
      <w:r w:rsidR="0040451C" w:rsidRPr="0040451C">
        <w:rPr>
          <w:szCs w:val="24"/>
        </w:rPr>
        <w:t>case,</w:t>
      </w:r>
      <w:r w:rsidR="009A0847">
        <w:rPr>
          <w:szCs w:val="24"/>
        </w:rPr>
        <w:t xml:space="preserve"> </w:t>
      </w:r>
      <w:r w:rsidR="0040451C" w:rsidRPr="0040451C">
        <w:rPr>
          <w:szCs w:val="24"/>
        </w:rPr>
        <w:t>an</w:t>
      </w:r>
      <w:r w:rsidR="009A0847">
        <w:rPr>
          <w:szCs w:val="24"/>
        </w:rPr>
        <w:t xml:space="preserve"> </w:t>
      </w:r>
      <w:r w:rsidR="0040451C" w:rsidRPr="0040451C">
        <w:rPr>
          <w:szCs w:val="24"/>
        </w:rPr>
        <w:t>ill</w:t>
      </w:r>
      <w:r w:rsidR="0040451C">
        <w:rPr>
          <w:szCs w:val="24"/>
        </w:rPr>
        <w:t>iquid</w:t>
      </w:r>
      <w:r w:rsidR="009A0847">
        <w:rPr>
          <w:szCs w:val="24"/>
        </w:rPr>
        <w:t xml:space="preserve"> </w:t>
      </w:r>
      <w:r w:rsidR="0040451C">
        <w:rPr>
          <w:szCs w:val="24"/>
        </w:rPr>
        <w:t>bank</w:t>
      </w:r>
      <w:r w:rsidR="009A0847">
        <w:rPr>
          <w:szCs w:val="24"/>
        </w:rPr>
        <w:t xml:space="preserve"> </w:t>
      </w:r>
      <w:r w:rsidR="0040451C" w:rsidRPr="0040451C">
        <w:rPr>
          <w:szCs w:val="24"/>
        </w:rPr>
        <w:t>should</w:t>
      </w:r>
      <w:r w:rsidR="009A0847">
        <w:rPr>
          <w:szCs w:val="24"/>
        </w:rPr>
        <w:t xml:space="preserve"> </w:t>
      </w:r>
      <w:r w:rsidR="0040451C" w:rsidRPr="0040451C">
        <w:rPr>
          <w:szCs w:val="24"/>
        </w:rPr>
        <w:t>expect</w:t>
      </w:r>
      <w:r w:rsidR="009A0847">
        <w:rPr>
          <w:szCs w:val="24"/>
        </w:rPr>
        <w:t xml:space="preserve"> </w:t>
      </w:r>
      <w:r w:rsidR="0040451C" w:rsidRPr="0040451C">
        <w:rPr>
          <w:szCs w:val="24"/>
        </w:rPr>
        <w:t>the</w:t>
      </w:r>
      <w:r w:rsidR="009A0847">
        <w:rPr>
          <w:szCs w:val="24"/>
        </w:rPr>
        <w:t xml:space="preserve"> </w:t>
      </w:r>
      <w:r w:rsidR="0040451C" w:rsidRPr="0040451C">
        <w:rPr>
          <w:szCs w:val="24"/>
        </w:rPr>
        <w:t>detection</w:t>
      </w:r>
      <w:r w:rsidR="009A0847">
        <w:rPr>
          <w:szCs w:val="24"/>
        </w:rPr>
        <w:t xml:space="preserve"> </w:t>
      </w:r>
      <w:r w:rsidR="0040451C">
        <w:rPr>
          <w:szCs w:val="24"/>
        </w:rPr>
        <w:t>probability</w:t>
      </w:r>
      <w:r w:rsidR="009A0847">
        <w:rPr>
          <w:szCs w:val="24"/>
        </w:rPr>
        <w:t xml:space="preserve"> </w:t>
      </w:r>
      <w:r w:rsidR="0040451C">
        <w:rPr>
          <w:szCs w:val="24"/>
        </w:rPr>
        <w:t>t</w:t>
      </w:r>
      <w:r w:rsidR="0040451C" w:rsidRPr="0040451C">
        <w:rPr>
          <w:szCs w:val="24"/>
        </w:rPr>
        <w:t>o</w:t>
      </w:r>
      <w:r w:rsidR="009A0847">
        <w:rPr>
          <w:szCs w:val="24"/>
        </w:rPr>
        <w:t xml:space="preserve"> </w:t>
      </w:r>
      <w:r w:rsidR="0040451C" w:rsidRPr="0040451C">
        <w:rPr>
          <w:szCs w:val="24"/>
        </w:rPr>
        <w:t>be</w:t>
      </w:r>
      <w:r w:rsidR="009A0847">
        <w:rPr>
          <w:szCs w:val="24"/>
        </w:rPr>
        <w:t xml:space="preserve"> </w:t>
      </w:r>
      <w:r w:rsidR="0040451C" w:rsidRPr="0040451C">
        <w:rPr>
          <w:szCs w:val="24"/>
        </w:rPr>
        <w:t>too</w:t>
      </w:r>
      <w:r w:rsidR="009A0847">
        <w:rPr>
          <w:szCs w:val="24"/>
        </w:rPr>
        <w:t xml:space="preserve"> </w:t>
      </w:r>
      <w:r w:rsidR="0040451C" w:rsidRPr="0040451C">
        <w:rPr>
          <w:szCs w:val="24"/>
        </w:rPr>
        <w:t>high</w:t>
      </w:r>
      <w:r w:rsidR="009A0847">
        <w:rPr>
          <w:szCs w:val="24"/>
        </w:rPr>
        <w:t xml:space="preserve"> </w:t>
      </w:r>
      <w:r w:rsidR="0040451C" w:rsidRPr="0040451C">
        <w:rPr>
          <w:szCs w:val="24"/>
        </w:rPr>
        <w:t>(i.e.</w:t>
      </w:r>
      <w:r w:rsidR="009A0847">
        <w:rPr>
          <w:szCs w:val="24"/>
        </w:rPr>
        <w:t xml:space="preserve"> </w:t>
      </w:r>
      <w:r w:rsidR="0040451C" w:rsidRPr="0040451C">
        <w:rPr>
          <w:szCs w:val="24"/>
        </w:rPr>
        <w:t>higher</w:t>
      </w:r>
      <w:r w:rsidR="009A0847">
        <w:rPr>
          <w:szCs w:val="24"/>
        </w:rPr>
        <w:t xml:space="preserve"> </w:t>
      </w:r>
      <w:r w:rsidR="0040451C" w:rsidRPr="0040451C">
        <w:rPr>
          <w:szCs w:val="24"/>
        </w:rPr>
        <w:t>than</w:t>
      </w:r>
      <w:r w:rsidR="009A0847">
        <w:rPr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θ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0</m:t>
            </m:r>
          </m:sub>
        </m:sSub>
      </m:oMath>
      <w:r w:rsidR="0040451C" w:rsidRPr="0040451C">
        <w:rPr>
          <w:szCs w:val="24"/>
        </w:rPr>
        <w:t>)</w:t>
      </w:r>
      <w:r w:rsidR="009A0847">
        <w:rPr>
          <w:szCs w:val="24"/>
        </w:rPr>
        <w:t xml:space="preserve"> </w:t>
      </w:r>
      <w:r w:rsidR="0040451C">
        <w:rPr>
          <w:szCs w:val="24"/>
        </w:rPr>
        <w:t>to</w:t>
      </w:r>
      <w:r w:rsidR="009A0847">
        <w:rPr>
          <w:szCs w:val="24"/>
        </w:rPr>
        <w:t xml:space="preserve"> </w:t>
      </w:r>
      <w:r w:rsidR="0040451C">
        <w:rPr>
          <w:szCs w:val="24"/>
        </w:rPr>
        <w:t>make</w:t>
      </w:r>
      <w:r w:rsidR="009A0847">
        <w:rPr>
          <w:szCs w:val="24"/>
        </w:rPr>
        <w:t xml:space="preserve"> </w:t>
      </w:r>
      <w:r w:rsidR="0040451C">
        <w:rPr>
          <w:szCs w:val="24"/>
        </w:rPr>
        <w:t>it</w:t>
      </w:r>
      <w:r w:rsidR="009A0847">
        <w:rPr>
          <w:szCs w:val="24"/>
        </w:rPr>
        <w:t xml:space="preserve"> </w:t>
      </w:r>
      <w:r w:rsidR="0040451C">
        <w:rPr>
          <w:szCs w:val="24"/>
        </w:rPr>
        <w:t>a</w:t>
      </w:r>
      <w:r w:rsidR="009A0847">
        <w:rPr>
          <w:szCs w:val="24"/>
        </w:rPr>
        <w:t xml:space="preserve"> </w:t>
      </w:r>
      <w:r w:rsidR="0040451C">
        <w:rPr>
          <w:szCs w:val="24"/>
        </w:rPr>
        <w:t>best</w:t>
      </w:r>
      <w:r w:rsidR="009A0847">
        <w:rPr>
          <w:szCs w:val="24"/>
        </w:rPr>
        <w:t xml:space="preserve"> </w:t>
      </w:r>
      <w:r w:rsidR="0040451C">
        <w:rPr>
          <w:szCs w:val="24"/>
        </w:rPr>
        <w:t>response</w:t>
      </w:r>
      <w:r w:rsidR="009A0847">
        <w:rPr>
          <w:szCs w:val="24"/>
        </w:rPr>
        <w:t xml:space="preserve"> </w:t>
      </w:r>
      <w:r w:rsidRPr="00D301DF">
        <w:t>to</w:t>
      </w:r>
      <w:r w:rsidR="009A0847">
        <w:t xml:space="preserve"> </w:t>
      </w:r>
      <w:r w:rsidRPr="00D301DF">
        <w:t>borrow</w:t>
      </w:r>
      <w:r w:rsidR="009A0847">
        <w:t xml:space="preserve"> </w:t>
      </w:r>
      <w:r w:rsidRPr="00D301DF">
        <w:t>at</w:t>
      </w:r>
      <w:r w:rsidR="009A0847">
        <w:t xml:space="preserve"> </w:t>
      </w:r>
      <w:r w:rsidRPr="00D301DF">
        <w:t>the</w:t>
      </w:r>
      <w:r w:rsidR="009A0847">
        <w:t xml:space="preserve"> </w:t>
      </w:r>
      <w:r w:rsidRPr="00D301DF">
        <w:t>DW</w:t>
      </w:r>
      <w:r w:rsidR="002E4DDD">
        <w:t>.</w:t>
      </w:r>
      <w:r w:rsidR="009A0847">
        <w:t xml:space="preserve"> </w:t>
      </w:r>
      <w:r w:rsidR="002E4DDD">
        <w:t>T</w:t>
      </w:r>
      <w:r w:rsidRPr="00D301DF">
        <w:t>he</w:t>
      </w:r>
      <w:r w:rsidR="009A0847">
        <w:t xml:space="preserve"> </w:t>
      </w:r>
      <w:r w:rsidRPr="00D301DF">
        <w:t>unique</w:t>
      </w:r>
      <w:r w:rsidR="009A0847">
        <w:t xml:space="preserve"> </w:t>
      </w:r>
      <w:r w:rsidRPr="00D301DF">
        <w:t>equilibrium</w:t>
      </w:r>
      <w:r w:rsidR="009A0847">
        <w:t xml:space="preserve"> </w:t>
      </w:r>
      <w:r w:rsidRPr="00D301DF">
        <w:t>is</w:t>
      </w:r>
      <w:r w:rsidR="009A0847">
        <w:t xml:space="preserve"> </w:t>
      </w:r>
      <w:r w:rsidR="002E4DDD">
        <w:t>therefore</w:t>
      </w:r>
      <w:r w:rsidR="009A0847">
        <w:t xml:space="preserve"> </w:t>
      </w:r>
      <m:oMath>
        <m:r>
          <m:rPr>
            <m:sty m:val="bi"/>
          </m:rPr>
          <w:rPr>
            <w:rFonts w:ascii="Cambria Math" w:hAnsi="Cambria Math"/>
            <w:sz w:val="22"/>
            <w:szCs w:val="22"/>
          </w:rPr>
          <m:t>St</m:t>
        </m:r>
      </m:oMath>
      <w:r w:rsidR="009A0847">
        <w:t xml:space="preserve"> </w:t>
      </w:r>
      <w:r w:rsidR="002E4DDD">
        <w:t>in</w:t>
      </w:r>
      <w:r w:rsidR="009A0847">
        <w:t xml:space="preserve"> </w:t>
      </w:r>
      <w:r w:rsidR="002E4DDD">
        <w:t>that</w:t>
      </w:r>
      <w:r w:rsidR="009A0847">
        <w:t xml:space="preserve"> </w:t>
      </w:r>
      <w:r w:rsidR="002E4DDD">
        <w:t>case.</w:t>
      </w:r>
    </w:p>
    <w:p w14:paraId="60272FF4" w14:textId="665B184F" w:rsidR="001C003C" w:rsidRPr="00C56D23" w:rsidRDefault="00E852D2" w:rsidP="00F86E09">
      <w:pPr>
        <w:pStyle w:val="Olivier1"/>
        <w:widowControl w:val="0"/>
        <w:spacing w:line="240" w:lineRule="auto"/>
        <w:rPr>
          <w:i/>
          <w:sz w:val="22"/>
          <w:szCs w:val="22"/>
        </w:rPr>
      </w:pPr>
      <w:r w:rsidRPr="00D301DF">
        <w:t>Finally,</w:t>
      </w:r>
      <w:r w:rsidR="009A0847">
        <w:t xml:space="preserve"> </w:t>
      </w:r>
      <w:r w:rsidRPr="00D301DF">
        <w:t>consider</w:t>
      </w:r>
      <w:r w:rsidR="009A0847">
        <w:t xml:space="preserve"> </w:t>
      </w:r>
      <w:r w:rsidRPr="00D301DF">
        <w:t>the</w:t>
      </w:r>
      <w:r w:rsidR="009A0847">
        <w:t xml:space="preserve"> </w:t>
      </w:r>
      <w:r w:rsidRPr="00D301DF">
        <w:t>case</w:t>
      </w:r>
      <w:r w:rsidR="009A0847">
        <w:t xml:space="preserve"> </w:t>
      </w:r>
      <m:oMath>
        <m:r>
          <w:rPr>
            <w:rFonts w:ascii="Cambria Math" w:hAnsi="Cambria Math"/>
            <w:sz w:val="22"/>
            <w:szCs w:val="22"/>
          </w:rPr>
          <m:t>1&lt;</m:t>
        </m:r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n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0</m:t>
            </m:r>
          </m:sub>
        </m:sSub>
        <m:r>
          <w:rPr>
            <w:rFonts w:ascii="Cambria Math" w:hAnsi="Cambria Math"/>
            <w:sz w:val="22"/>
            <w:szCs w:val="22"/>
          </w:rPr>
          <m:t>&lt;</m:t>
        </m:r>
        <m:sSub>
          <m:sSubPr>
            <m:ctrlPr>
              <w:rPr>
                <w:rFonts w:ascii="Cambria Math" w:hAnsi="Cambria Math"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N</m:t>
            </m:r>
          </m:e>
          <m:sub>
            <m:acc>
              <m:accPr>
                <m:chr m:val="̅"/>
                <m:ctrlPr>
                  <w:rPr>
                    <w:rFonts w:ascii="Cambria Math" w:hAnsi="Cambria Math"/>
                    <w:sz w:val="22"/>
                    <w:szCs w:val="22"/>
                  </w:rPr>
                </m:ctrlPr>
              </m:acc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L</m:t>
                </m:r>
              </m:e>
            </m:acc>
          </m:sub>
        </m:sSub>
        <m:r>
          <w:rPr>
            <w:rFonts w:ascii="Cambria Math" w:hAnsi="Cambria Math"/>
            <w:sz w:val="22"/>
            <w:szCs w:val="22"/>
          </w:rPr>
          <m:t>.</m:t>
        </m:r>
      </m:oMath>
      <w:r w:rsidR="009A0847">
        <w:t xml:space="preserve"> </w:t>
      </w:r>
      <w:r w:rsidRPr="00D301DF">
        <w:t>If</w:t>
      </w:r>
      <w:r w:rsidR="009A0847">
        <w:t xml:space="preserve"> </w:t>
      </w:r>
      <w:r w:rsidRPr="00D301DF">
        <w:t>there</w:t>
      </w:r>
      <w:r w:rsidR="009A0847">
        <w:t xml:space="preserve"> </w:t>
      </w:r>
      <w:r w:rsidRPr="00D301DF">
        <w:t>is</w:t>
      </w:r>
      <w:r w:rsidR="009A0847">
        <w:t xml:space="preserve"> </w:t>
      </w:r>
      <w:r w:rsidRPr="00D301DF">
        <w:t>a</w:t>
      </w:r>
      <w:r w:rsidR="009A0847">
        <w:t xml:space="preserve"> </w:t>
      </w:r>
      <w:r w:rsidRPr="00D301DF">
        <w:t>critical</w:t>
      </w:r>
      <w:r w:rsidR="009A0847">
        <w:t xml:space="preserve"> </w:t>
      </w:r>
      <w:r w:rsidRPr="00D301DF">
        <w:t>mass</w:t>
      </w:r>
      <w:r w:rsidR="009A0847"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/>
                <w:sz w:val="22"/>
                <w:szCs w:val="22"/>
              </w:rPr>
              <m:t>n</m:t>
            </m:r>
          </m:e>
        </m:acc>
      </m:oMath>
      <w:r w:rsidR="009A0847">
        <w:t xml:space="preserve"> </w:t>
      </w:r>
      <w:r w:rsidR="0040451C">
        <w:t>of</w:t>
      </w:r>
      <w:r w:rsidR="009A0847">
        <w:t xml:space="preserve"> </w:t>
      </w:r>
      <w:r w:rsidR="0040451C">
        <w:t>DW</w:t>
      </w:r>
      <w:r w:rsidR="009A0847">
        <w:t xml:space="preserve"> </w:t>
      </w:r>
      <w:r w:rsidR="0040451C">
        <w:t>borrower</w:t>
      </w:r>
      <w:r w:rsidR="002E4DDD">
        <w:t>s</w:t>
      </w:r>
      <w:r w:rsidR="009A0847">
        <w:t xml:space="preserve"> </w:t>
      </w:r>
      <w:r w:rsidR="0040451C">
        <w:t>such</w:t>
      </w:r>
      <w:r w:rsidR="009A0847">
        <w:t xml:space="preserve"> </w:t>
      </w:r>
      <w:r w:rsidR="0040451C">
        <w:t>that</w:t>
      </w:r>
      <w:r w:rsidR="009A0847"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n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0</m:t>
            </m:r>
          </m:sub>
        </m:sSub>
        <m:r>
          <w:rPr>
            <w:rFonts w:ascii="Cambria Math" w:hAnsi="Cambria Math"/>
            <w:sz w:val="22"/>
            <w:szCs w:val="22"/>
          </w:rPr>
          <m:t>&lt;</m:t>
        </m:r>
        <m:acc>
          <m:accPr>
            <m:chr m:val="̅"/>
            <m:ctrlPr>
              <w:rPr>
                <w:rFonts w:ascii="Cambria Math" w:hAnsi="Cambria Math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/>
                <w:sz w:val="22"/>
                <w:szCs w:val="22"/>
              </w:rPr>
              <m:t>n</m:t>
            </m:r>
          </m:e>
        </m:acc>
        <m:r>
          <w:rPr>
            <w:rFonts w:ascii="Cambria Math" w:hAnsi="Cambria Math"/>
            <w:sz w:val="22"/>
            <w:szCs w:val="22"/>
          </w:rPr>
          <m:t>+1&lt;</m:t>
        </m:r>
        <m:sSub>
          <m:sSubPr>
            <m:ctrlPr>
              <w:rPr>
                <w:rFonts w:ascii="Cambria Math" w:hAnsi="Cambria Math"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N</m:t>
            </m:r>
          </m:e>
          <m:sub>
            <m:acc>
              <m:accPr>
                <m:chr m:val="̅"/>
                <m:ctrlPr>
                  <w:rPr>
                    <w:rFonts w:ascii="Cambria Math" w:hAnsi="Cambria Math"/>
                    <w:sz w:val="22"/>
                    <w:szCs w:val="22"/>
                  </w:rPr>
                </m:ctrlPr>
              </m:acc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L</m:t>
                </m:r>
              </m:e>
            </m:acc>
          </m:sub>
        </m:sSub>
      </m:oMath>
      <w:r w:rsidRPr="00D301DF">
        <w:t>,</w:t>
      </w:r>
      <w:r w:rsidR="009A0847">
        <w:t xml:space="preserve"> </w:t>
      </w:r>
      <w:r w:rsidRPr="00D301DF">
        <w:t>then</w:t>
      </w:r>
      <w:r w:rsidR="009A0847">
        <w:t xml:space="preserve"> </w:t>
      </w:r>
      <w:r w:rsidRPr="00D301DF">
        <w:t>the</w:t>
      </w:r>
      <w:r w:rsidR="009A0847">
        <w:t xml:space="preserve"> </w:t>
      </w:r>
      <w:r w:rsidRPr="00D301DF">
        <w:t>best</w:t>
      </w:r>
      <w:r w:rsidR="009A0847">
        <w:t xml:space="preserve"> </w:t>
      </w:r>
      <w:r w:rsidRPr="00D301DF">
        <w:t>response</w:t>
      </w:r>
      <w:r w:rsidR="009A0847">
        <w:t xml:space="preserve"> </w:t>
      </w:r>
      <w:r w:rsidRPr="00D301DF">
        <w:t>for</w:t>
      </w:r>
      <w:r w:rsidR="009A0847">
        <w:t xml:space="preserve"> </w:t>
      </w:r>
      <w:r w:rsidRPr="00D301DF">
        <w:t>an</w:t>
      </w:r>
      <w:r w:rsidR="009A0847">
        <w:t xml:space="preserve"> </w:t>
      </w:r>
      <w:r w:rsidRPr="00D301DF">
        <w:t>illiquid</w:t>
      </w:r>
      <w:r w:rsidR="009A0847">
        <w:t xml:space="preserve"> </w:t>
      </w:r>
      <w:r w:rsidRPr="00D301DF">
        <w:t>bank</w:t>
      </w:r>
      <w:r w:rsidR="009A0847">
        <w:t xml:space="preserve"> </w:t>
      </w:r>
      <w:r w:rsidRPr="00D301DF">
        <w:t>is</w:t>
      </w:r>
      <w:r w:rsidR="009A0847">
        <w:t xml:space="preserve"> </w:t>
      </w:r>
      <w:r w:rsidRPr="00D301DF">
        <w:t>to</w:t>
      </w:r>
      <w:r w:rsidR="009A0847">
        <w:t xml:space="preserve"> </w:t>
      </w:r>
      <w:r w:rsidRPr="00D301DF">
        <w:t>borrow</w:t>
      </w:r>
      <w:r w:rsidR="009A0847">
        <w:t xml:space="preserve"> </w:t>
      </w:r>
      <w:r w:rsidRPr="00D301DF">
        <w:t>at</w:t>
      </w:r>
      <w:r w:rsidR="009A0847">
        <w:t xml:space="preserve"> </w:t>
      </w:r>
      <w:r w:rsidRPr="00D301DF">
        <w:t>the</w:t>
      </w:r>
      <w:r w:rsidR="009A0847">
        <w:t xml:space="preserve"> </w:t>
      </w:r>
      <w:r w:rsidRPr="00D301DF">
        <w:t>DW.</w:t>
      </w:r>
      <w:r w:rsidR="009A0847">
        <w:t xml:space="preserve"> </w:t>
      </w:r>
      <w:r w:rsidR="0040451C">
        <w:t>Indeed,</w:t>
      </w:r>
      <w:r w:rsidR="009A0847">
        <w:t xml:space="preserve"> </w:t>
      </w:r>
      <w:r w:rsidR="0040451C">
        <w:t>doing</w:t>
      </w:r>
      <w:r w:rsidR="009A0847">
        <w:t xml:space="preserve"> </w:t>
      </w:r>
      <w:r w:rsidR="0040451C">
        <w:t>so</w:t>
      </w:r>
      <w:r w:rsidR="009A0847">
        <w:t xml:space="preserve"> </w:t>
      </w:r>
      <w:r w:rsidR="0040451C">
        <w:t>would</w:t>
      </w:r>
      <w:r w:rsidR="009A0847">
        <w:t xml:space="preserve"> </w:t>
      </w:r>
      <w:r w:rsidR="0040451C">
        <w:t>make</w:t>
      </w:r>
      <w:r w:rsidR="009A0847">
        <w:t xml:space="preserve"> </w:t>
      </w:r>
      <w:r w:rsidR="0040451C">
        <w:t>the</w:t>
      </w:r>
      <w:r w:rsidR="009A0847">
        <w:t xml:space="preserve"> </w:t>
      </w:r>
      <w:r w:rsidR="0040451C">
        <w:t>detection</w:t>
      </w:r>
      <w:r w:rsidR="009A0847">
        <w:t xml:space="preserve"> </w:t>
      </w:r>
      <w:r w:rsidR="0040451C">
        <w:t>probability</w:t>
      </w:r>
      <w:r w:rsidR="009A0847">
        <w:t xml:space="preserve"> </w:t>
      </w:r>
      <w:r w:rsidR="0040451C">
        <w:t>lower</w:t>
      </w:r>
      <w:r w:rsidR="009A0847">
        <w:t xml:space="preserve"> </w:t>
      </w:r>
      <w:r w:rsidR="0040451C">
        <w:t>that</w:t>
      </w:r>
      <w:r w:rsidR="009A0847">
        <w:t xml:space="preserve"> </w:t>
      </w:r>
      <w:r w:rsidR="0040451C">
        <w:t>the</w:t>
      </w:r>
      <w:r w:rsidR="009A0847">
        <w:t xml:space="preserve"> </w:t>
      </w:r>
      <w:r w:rsidR="0040451C">
        <w:t>threshold</w:t>
      </w:r>
      <w:r w:rsidR="009A0847">
        <w:t xml:space="preserve"> </w:t>
      </w:r>
      <w:r w:rsidR="0040451C">
        <w:t>(i.e.</w:t>
      </w:r>
      <w:r w:rsidR="009A0847">
        <w:t xml:space="preserve"> </w:t>
      </w:r>
      <m:oMath>
        <m:r>
          <w:rPr>
            <w:rFonts w:ascii="Cambria Math" w:hAnsi="Cambria Math"/>
            <w:sz w:val="22"/>
            <w:szCs w:val="22"/>
          </w:rPr>
          <m:t>θ</m:t>
        </m:r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acc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n</m:t>
                </m:r>
              </m:e>
            </m:acc>
            <m:r>
              <w:rPr>
                <w:rFonts w:ascii="Cambria Math" w:hAnsi="Cambria Math"/>
                <w:sz w:val="22"/>
                <w:szCs w:val="22"/>
              </w:rPr>
              <m:t>+1</m:t>
            </m:r>
          </m:e>
        </m:d>
        <m:r>
          <w:rPr>
            <w:rFonts w:ascii="Cambria Math" w:hAnsi="Cambria Math"/>
            <w:sz w:val="22"/>
            <w:szCs w:val="22"/>
          </w:rPr>
          <m:t>&lt;</m:t>
        </m:r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θ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0</m:t>
            </m:r>
          </m:sub>
        </m:sSub>
      </m:oMath>
      <w:r w:rsidR="0040451C">
        <w:t>)</w:t>
      </w:r>
      <w:r w:rsidR="00A86ADD">
        <w:t>.</w:t>
      </w:r>
      <w:r w:rsidR="009A0847">
        <w:t xml:space="preserve"> </w:t>
      </w:r>
      <w:r w:rsidRPr="00D301DF">
        <w:t>Thus</w:t>
      </w:r>
      <w:r w:rsidR="009A0847">
        <w:t xml:space="preserve"> </w:t>
      </w:r>
      <m:oMath>
        <m:r>
          <m:rPr>
            <m:sty m:val="bi"/>
          </m:rPr>
          <w:rPr>
            <w:rFonts w:ascii="Cambria Math" w:hAnsi="Cambria Math"/>
            <w:sz w:val="22"/>
            <w:szCs w:val="22"/>
          </w:rPr>
          <m:t>NoSt</m:t>
        </m:r>
      </m:oMath>
      <w:r w:rsidR="009A0847">
        <w:t xml:space="preserve"> </w:t>
      </w:r>
      <w:r w:rsidRPr="00D301DF">
        <w:t>is</w:t>
      </w:r>
      <w:r w:rsidR="009A0847">
        <w:t xml:space="preserve"> </w:t>
      </w:r>
      <w:r w:rsidRPr="00D301DF">
        <w:t>an</w:t>
      </w:r>
      <w:r w:rsidR="009A0847">
        <w:t xml:space="preserve"> </w:t>
      </w:r>
      <w:r w:rsidRPr="00D301DF">
        <w:t>equilibrium.</w:t>
      </w:r>
      <w:r w:rsidR="009A0847">
        <w:t xml:space="preserve"> </w:t>
      </w:r>
      <w:r w:rsidRPr="00D301DF">
        <w:t>Conversely,</w:t>
      </w:r>
      <w:r w:rsidR="009A0847">
        <w:t xml:space="preserve"> </w:t>
      </w:r>
      <w:r w:rsidRPr="00D301DF">
        <w:t>if</w:t>
      </w:r>
      <w:r w:rsidR="009A0847">
        <w:t xml:space="preserve"> </w:t>
      </w:r>
      <w:r w:rsidRPr="00D301DF">
        <w:t>there</w:t>
      </w:r>
      <w:r w:rsidR="009A0847">
        <w:t xml:space="preserve"> </w:t>
      </w:r>
      <w:r w:rsidR="00A86ADD">
        <w:t>are</w:t>
      </w:r>
      <w:r w:rsidR="009A0847">
        <w:t xml:space="preserve"> </w:t>
      </w:r>
      <w:r w:rsidR="00A86ADD">
        <w:t>too</w:t>
      </w:r>
      <w:r w:rsidR="009A0847">
        <w:t xml:space="preserve"> </w:t>
      </w:r>
      <w:r w:rsidR="00A86ADD">
        <w:t>few</w:t>
      </w:r>
      <w:r w:rsidR="009A0847">
        <w:t xml:space="preserve"> </w:t>
      </w:r>
      <w:r w:rsidR="00A86ADD">
        <w:t>DW</w:t>
      </w:r>
      <w:r w:rsidR="009A0847">
        <w:t xml:space="preserve"> </w:t>
      </w:r>
      <w:r w:rsidR="00A86ADD">
        <w:t>borrowers</w:t>
      </w:r>
      <w:r w:rsidR="00A86ADD" w:rsidRPr="002E4DDD">
        <w:rPr>
          <w:szCs w:val="24"/>
        </w:rPr>
        <w:t>,</w:t>
      </w:r>
      <w:r w:rsidR="009A0847">
        <w:rPr>
          <w:szCs w:val="24"/>
        </w:rPr>
        <w:t xml:space="preserve"> </w:t>
      </w:r>
      <w:r w:rsidR="00A86ADD" w:rsidRPr="002E4DDD">
        <w:rPr>
          <w:szCs w:val="24"/>
        </w:rPr>
        <w:t>to</w:t>
      </w:r>
      <w:r w:rsidR="009A0847">
        <w:rPr>
          <w:szCs w:val="24"/>
        </w:rPr>
        <w:t xml:space="preserve"> </w:t>
      </w:r>
      <w:r w:rsidR="00A86ADD" w:rsidRPr="002E4DDD">
        <w:rPr>
          <w:szCs w:val="24"/>
        </w:rPr>
        <w:t>make</w:t>
      </w:r>
      <w:r w:rsidR="009A0847">
        <w:rPr>
          <w:szCs w:val="24"/>
        </w:rPr>
        <w:t xml:space="preserve"> </w:t>
      </w:r>
      <w:r w:rsidR="00A86ADD" w:rsidRPr="002E4DDD">
        <w:rPr>
          <w:szCs w:val="24"/>
        </w:rPr>
        <w:t>the</w:t>
      </w:r>
      <w:r w:rsidR="009A0847">
        <w:rPr>
          <w:szCs w:val="24"/>
        </w:rPr>
        <w:t xml:space="preserve"> </w:t>
      </w:r>
      <w:r w:rsidR="00A86ADD" w:rsidRPr="002E4DDD">
        <w:rPr>
          <w:szCs w:val="24"/>
        </w:rPr>
        <w:t>detection</w:t>
      </w:r>
      <w:r w:rsidR="009A0847">
        <w:rPr>
          <w:szCs w:val="24"/>
        </w:rPr>
        <w:t xml:space="preserve"> </w:t>
      </w:r>
      <w:r w:rsidR="00A86ADD" w:rsidRPr="002E4DDD">
        <w:rPr>
          <w:szCs w:val="24"/>
        </w:rPr>
        <w:t>probability</w:t>
      </w:r>
      <w:r w:rsidR="009A0847">
        <w:rPr>
          <w:szCs w:val="24"/>
        </w:rPr>
        <w:t xml:space="preserve"> </w:t>
      </w:r>
      <w:r w:rsidR="00A86ADD" w:rsidRPr="002E4DDD">
        <w:rPr>
          <w:szCs w:val="24"/>
        </w:rPr>
        <w:t>low</w:t>
      </w:r>
      <w:r w:rsidR="009A0847">
        <w:rPr>
          <w:szCs w:val="24"/>
        </w:rPr>
        <w:t xml:space="preserve"> </w:t>
      </w:r>
      <w:r w:rsidR="00A86ADD" w:rsidRPr="002E4DDD">
        <w:rPr>
          <w:szCs w:val="24"/>
        </w:rPr>
        <w:t>enough</w:t>
      </w:r>
      <w:r w:rsidR="009A0847">
        <w:rPr>
          <w:szCs w:val="24"/>
        </w:rPr>
        <w:t xml:space="preserve"> </w:t>
      </w:r>
      <w:r w:rsidR="00A86ADD">
        <w:rPr>
          <w:sz w:val="22"/>
          <w:szCs w:val="22"/>
        </w:rPr>
        <w:t>(</w:t>
      </w:r>
      <w:r w:rsidR="00A86ADD">
        <w:t>i.e.</w:t>
      </w:r>
      <w:r w:rsidR="009A0847">
        <w:t xml:space="preserve"> </w:t>
      </w:r>
      <m:oMath>
        <m:r>
          <w:rPr>
            <w:rFonts w:ascii="Cambria Math" w:hAnsi="Cambria Math"/>
            <w:sz w:val="22"/>
            <w:szCs w:val="22"/>
          </w:rPr>
          <m:t>1&lt;</m:t>
        </m:r>
        <m:acc>
          <m:accPr>
            <m:chr m:val="̅"/>
            <m:ctrlPr>
              <w:rPr>
                <w:rFonts w:ascii="Cambria Math" w:hAnsi="Cambria Math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/>
                <w:sz w:val="22"/>
                <w:szCs w:val="22"/>
              </w:rPr>
              <m:t>n</m:t>
            </m:r>
          </m:e>
        </m:acc>
        <m:r>
          <w:rPr>
            <w:rFonts w:ascii="Cambria Math" w:hAnsi="Cambria Math"/>
            <w:sz w:val="22"/>
            <w:szCs w:val="22"/>
          </w:rPr>
          <m:t>+1&lt;</m:t>
        </m:r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n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0</m:t>
            </m:r>
          </m:sub>
        </m:sSub>
      </m:oMath>
      <w:r w:rsidR="00A86ADD">
        <w:rPr>
          <w:sz w:val="22"/>
          <w:szCs w:val="22"/>
        </w:rPr>
        <w:t>),</w:t>
      </w:r>
      <w:r w:rsidR="009A0847">
        <w:t xml:space="preserve"> </w:t>
      </w:r>
      <w:r w:rsidRPr="00D301DF">
        <w:t>then</w:t>
      </w:r>
      <w:r w:rsidR="009A0847">
        <w:t xml:space="preserve"> </w:t>
      </w:r>
      <w:r w:rsidRPr="00D301DF">
        <w:t>the</w:t>
      </w:r>
      <w:r w:rsidR="009A0847">
        <w:t xml:space="preserve"> </w:t>
      </w:r>
      <w:r w:rsidRPr="00D301DF">
        <w:t>best</w:t>
      </w:r>
      <w:r w:rsidR="009A0847">
        <w:t xml:space="preserve"> </w:t>
      </w:r>
      <w:r w:rsidRPr="00D301DF">
        <w:t>response</w:t>
      </w:r>
      <w:r w:rsidR="009A0847">
        <w:t xml:space="preserve"> </w:t>
      </w:r>
      <w:r w:rsidRPr="00D301DF">
        <w:t>for</w:t>
      </w:r>
      <w:r w:rsidR="009A0847">
        <w:t xml:space="preserve"> </w:t>
      </w:r>
      <w:r w:rsidRPr="00D301DF">
        <w:t>an</w:t>
      </w:r>
      <w:r w:rsidR="009A0847">
        <w:t xml:space="preserve"> </w:t>
      </w:r>
      <w:r w:rsidRPr="00D301DF">
        <w:t>illiquid</w:t>
      </w:r>
      <w:r w:rsidR="009A0847">
        <w:t xml:space="preserve"> </w:t>
      </w:r>
      <w:r w:rsidRPr="00D301DF">
        <w:t>bank</w:t>
      </w:r>
      <w:r w:rsidR="009A0847">
        <w:t xml:space="preserve"> </w:t>
      </w:r>
      <w:r w:rsidRPr="00D301DF">
        <w:t>is</w:t>
      </w:r>
      <w:r w:rsidR="009A0847">
        <w:t xml:space="preserve"> </w:t>
      </w:r>
      <w:r w:rsidRPr="00D301DF">
        <w:t>not</w:t>
      </w:r>
      <w:r w:rsidR="009A0847">
        <w:t xml:space="preserve"> </w:t>
      </w:r>
      <w:r w:rsidRPr="00D301DF">
        <w:t>to</w:t>
      </w:r>
      <w:r w:rsidR="009A0847">
        <w:t xml:space="preserve"> </w:t>
      </w:r>
      <w:r w:rsidRPr="00D301DF">
        <w:t>borrow</w:t>
      </w:r>
      <w:r w:rsidR="009A0847">
        <w:t xml:space="preserve"> </w:t>
      </w:r>
      <w:r w:rsidRPr="00D301DF">
        <w:t>at</w:t>
      </w:r>
      <w:r w:rsidR="009A0847">
        <w:t xml:space="preserve"> </w:t>
      </w:r>
      <w:r w:rsidRPr="00D301DF">
        <w:t>the</w:t>
      </w:r>
      <w:r w:rsidR="009A0847">
        <w:t xml:space="preserve"> </w:t>
      </w:r>
      <w:r w:rsidRPr="00D301DF">
        <w:t>DW.</w:t>
      </w:r>
      <w:r w:rsidR="009A0847">
        <w:t xml:space="preserve"> </w:t>
      </w:r>
      <w:r w:rsidRPr="00D301DF">
        <w:t>Thus,</w:t>
      </w:r>
      <w:r w:rsidR="009A0847">
        <w:t xml:space="preserve"> </w:t>
      </w:r>
      <m:oMath>
        <m:r>
          <m:rPr>
            <m:sty m:val="bi"/>
          </m:rPr>
          <w:rPr>
            <w:rFonts w:ascii="Cambria Math" w:hAnsi="Cambria Math"/>
            <w:sz w:val="22"/>
            <w:szCs w:val="22"/>
          </w:rPr>
          <m:t>St</m:t>
        </m:r>
      </m:oMath>
      <w:r w:rsidR="009A0847">
        <w:t xml:space="preserve"> </w:t>
      </w:r>
      <w:r w:rsidRPr="00D301DF">
        <w:t>is</w:t>
      </w:r>
      <w:r w:rsidR="009A0847">
        <w:t xml:space="preserve"> </w:t>
      </w:r>
      <w:r w:rsidRPr="00D301DF">
        <w:t>also</w:t>
      </w:r>
      <w:r w:rsidR="009A0847">
        <w:t xml:space="preserve"> </w:t>
      </w:r>
      <w:r w:rsidRPr="00D301DF">
        <w:t>an</w:t>
      </w:r>
      <w:r w:rsidR="009A0847">
        <w:t xml:space="preserve"> </w:t>
      </w:r>
      <w:r w:rsidRPr="00D301DF">
        <w:t>equilibrium.</w:t>
      </w:r>
      <w:r w:rsidR="009A0847">
        <w:t xml:space="preserve"> </w:t>
      </w:r>
      <m:oMath>
        <m:r>
          <w:rPr>
            <w:rFonts w:ascii="Cambria Math" w:hAnsi="Cambria Math"/>
            <w:sz w:val="22"/>
            <w:szCs w:val="22"/>
          </w:rPr>
          <m:t>∎</m:t>
        </m:r>
      </m:oMath>
    </w:p>
    <w:p w14:paraId="5EFF8DDB" w14:textId="79C0F443" w:rsidR="00A86ADD" w:rsidRPr="00DB66E3" w:rsidRDefault="00A86ADD" w:rsidP="00F86E09">
      <w:pPr>
        <w:pStyle w:val="Heading2"/>
        <w:widowControl w:val="0"/>
      </w:pPr>
      <w:r>
        <w:t>Proof</w:t>
      </w:r>
      <w:r w:rsidR="009A0847">
        <w:t xml:space="preserve"> </w:t>
      </w:r>
      <w:r>
        <w:t>of</w:t>
      </w:r>
      <w:r w:rsidR="009A0847">
        <w:t xml:space="preserve"> </w:t>
      </w:r>
      <w:r>
        <w:t>Proposition</w:t>
      </w:r>
      <w:r w:rsidR="009A0847">
        <w:t xml:space="preserve"> </w:t>
      </w:r>
      <w:r>
        <w:t>2</w:t>
      </w:r>
    </w:p>
    <w:p w14:paraId="328AD88B" w14:textId="005D34E8" w:rsidR="00A86ADD" w:rsidRPr="00FB100E" w:rsidRDefault="00FB100E" w:rsidP="00F86E09">
      <w:pPr>
        <w:pStyle w:val="Olivier1"/>
        <w:widowControl w:val="0"/>
        <w:spacing w:line="240" w:lineRule="auto"/>
      </w:pPr>
      <w:r>
        <w:t>With</w:t>
      </w:r>
      <w:r w:rsidR="009A0847">
        <w:t xml:space="preserve"> </w:t>
      </w:r>
      <w:r w:rsidRPr="0010084B">
        <w:t>probability</w:t>
      </w:r>
      <w:r w:rsidR="009A0847">
        <w:t xml:space="preserve"> </w:t>
      </w:r>
      <m:oMath>
        <m:r>
          <w:rPr>
            <w:rFonts w:ascii="Cambria Math" w:hAnsi="Cambria Math"/>
            <w:sz w:val="22"/>
            <w:szCs w:val="22"/>
          </w:rPr>
          <m:t>α</m:t>
        </m:r>
      </m:oMath>
      <w:r w:rsidR="009A0847">
        <w:t xml:space="preserve"> </w:t>
      </w:r>
      <w:r>
        <w:t>a</w:t>
      </w:r>
      <w:r w:rsidR="009A0847">
        <w:t xml:space="preserve"> </w:t>
      </w:r>
      <w:r>
        <w:t>bank</w:t>
      </w:r>
      <w:r w:rsidR="009A0847">
        <w:t xml:space="preserve"> </w:t>
      </w:r>
      <w:r w:rsidRPr="0010084B">
        <w:t>has</w:t>
      </w:r>
      <w:r w:rsidR="009A0847">
        <w:t xml:space="preserve"> </w:t>
      </w:r>
      <w:r w:rsidRPr="0010084B">
        <w:t>to</w:t>
      </w:r>
      <w:r w:rsidR="009A0847">
        <w:t xml:space="preserve"> </w:t>
      </w:r>
      <w:r w:rsidRPr="0010084B">
        <w:t>borrow</w:t>
      </w:r>
      <w:r w:rsidR="009A0847">
        <w:t xml:space="preserve"> </w:t>
      </w:r>
      <w:r w:rsidRPr="0010084B">
        <w:t>at</w:t>
      </w:r>
      <w:r w:rsidR="009A0847">
        <w:t xml:space="preserve"> </w:t>
      </w:r>
      <w:r w:rsidRPr="0010084B">
        <w:t>the</w:t>
      </w:r>
      <w:r w:rsidR="009A0847">
        <w:t xml:space="preserve"> </w:t>
      </w:r>
      <w:r w:rsidRPr="0010084B">
        <w:t>DW</w:t>
      </w:r>
      <w:r w:rsidR="009A0847">
        <w:t xml:space="preserve"> </w:t>
      </w:r>
      <w:r w:rsidRPr="0010084B">
        <w:t>in</w:t>
      </w:r>
      <w:r w:rsidR="009A0847">
        <w:t xml:space="preserve"> </w:t>
      </w:r>
      <w:r w:rsidRPr="0010084B">
        <w:t>period</w:t>
      </w:r>
      <w:r w:rsidR="009A0847">
        <w:t xml:space="preserve"> </w:t>
      </w:r>
      <w:r w:rsidRPr="0010084B">
        <w:t>1</w:t>
      </w:r>
      <w:r w:rsidR="009A0847">
        <w:t xml:space="preserve"> </w:t>
      </w:r>
      <w:r>
        <w:t>regardless</w:t>
      </w:r>
      <w:r w:rsidR="009A0847">
        <w:t xml:space="preserve"> </w:t>
      </w:r>
      <w:r>
        <w:t>of</w:t>
      </w:r>
      <w:r w:rsidR="009A0847">
        <w:t xml:space="preserve"> </w:t>
      </w:r>
      <w:r>
        <w:t>type</w:t>
      </w:r>
      <w:r w:rsidRPr="0010084B">
        <w:t>.</w:t>
      </w:r>
      <w:r w:rsidR="009A0847">
        <w:t xml:space="preserve"> </w:t>
      </w:r>
      <w:r>
        <w:t>Voluntary</w:t>
      </w:r>
      <w:r w:rsidR="009A0847">
        <w:t xml:space="preserve"> </w:t>
      </w:r>
      <w:r>
        <w:t>and</w:t>
      </w:r>
      <w:r w:rsidR="009A0847">
        <w:t xml:space="preserve"> </w:t>
      </w:r>
      <w:r>
        <w:t>involuntary</w:t>
      </w:r>
      <w:r w:rsidR="009A0847">
        <w:t xml:space="preserve"> </w:t>
      </w:r>
      <w:r>
        <w:t>DW</w:t>
      </w:r>
      <w:r w:rsidR="009A0847">
        <w:t xml:space="preserve"> </w:t>
      </w:r>
      <w:r>
        <w:t>borrowers</w:t>
      </w:r>
      <w:r w:rsidR="009A0847">
        <w:t xml:space="preserve"> </w:t>
      </w:r>
      <w:r>
        <w:t>pay</w:t>
      </w:r>
      <w:r w:rsidR="009A0847">
        <w:t xml:space="preserve"> </w:t>
      </w:r>
      <m:oMath>
        <m:r>
          <w:rPr>
            <w:rFonts w:ascii="Cambria Math" w:hAnsi="Cambria Math"/>
            <w:sz w:val="22"/>
            <w:szCs w:val="22"/>
          </w:rPr>
          <m:t>dw</m:t>
        </m:r>
      </m:oMath>
      <w:r>
        <w:t>,</w:t>
      </w:r>
      <w:r w:rsidR="009A0847">
        <w:t xml:space="preserve"> </w:t>
      </w:r>
      <w:r>
        <w:t>they</w:t>
      </w:r>
      <w:r w:rsidR="009A0847">
        <w:t xml:space="preserve"> </w:t>
      </w:r>
      <w:r>
        <w:t>are</w:t>
      </w:r>
      <w:r w:rsidR="009A0847">
        <w:t xml:space="preserve"> </w:t>
      </w:r>
      <w:r>
        <w:t>indistinguishable,</w:t>
      </w:r>
      <w:r w:rsidR="009A0847">
        <w:t xml:space="preserve"> </w:t>
      </w:r>
      <w:r>
        <w:t>an</w:t>
      </w:r>
      <w:r w:rsidR="002E4DDD">
        <w:t>d</w:t>
      </w:r>
      <w:r w:rsidR="009A0847">
        <w:t xml:space="preserve"> </w:t>
      </w:r>
      <w:r w:rsidR="002E4DDD">
        <w:t>they</w:t>
      </w:r>
      <w:r w:rsidR="009A0847">
        <w:t xml:space="preserve"> </w:t>
      </w:r>
      <w:r w:rsidR="002E4DDD">
        <w:t>face</w:t>
      </w:r>
      <w:r w:rsidR="009A0847">
        <w:t xml:space="preserve"> </w:t>
      </w:r>
      <w:r w:rsidR="002E4DDD">
        <w:t>the</w:t>
      </w:r>
      <w:r w:rsidR="009A0847">
        <w:t xml:space="preserve"> </w:t>
      </w:r>
      <w:r w:rsidR="002E4DDD">
        <w:t>same</w:t>
      </w:r>
      <w:r w:rsidR="009A0847">
        <w:t xml:space="preserve"> </w:t>
      </w:r>
      <w:r w:rsidR="00D220E7">
        <w:t xml:space="preserve">endogenous detection probability </w:t>
      </w:r>
      <m:oMath>
        <m:r>
          <w:rPr>
            <w:rFonts w:ascii="Cambria Math" w:hAnsi="Cambria Math"/>
            <w:sz w:val="22"/>
            <w:szCs w:val="22"/>
          </w:rPr>
          <m:t>θ</m:t>
        </m:r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n+</m:t>
            </m:r>
            <m:acc>
              <m:accPr>
                <m:chr m:val="̃"/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acc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n</m:t>
                </m:r>
              </m:e>
            </m:acc>
          </m:e>
        </m:d>
      </m:oMath>
      <w:r w:rsidR="00D220E7" w:rsidRPr="0010084B">
        <w:t>,</w:t>
      </w:r>
      <w:r w:rsidR="00D220E7">
        <w:t xml:space="preserve"> </w:t>
      </w:r>
      <w:r w:rsidR="00D220E7" w:rsidRPr="0010084B">
        <w:t>where</w:t>
      </w:r>
      <w:r w:rsidR="00D220E7">
        <w:t xml:space="preserve"> </w:t>
      </w:r>
      <m:oMath>
        <m:r>
          <w:rPr>
            <w:rFonts w:ascii="Cambria Math" w:hAnsi="Cambria Math"/>
            <w:sz w:val="22"/>
            <w:szCs w:val="22"/>
          </w:rPr>
          <m:t>n</m:t>
        </m:r>
      </m:oMath>
      <w:r w:rsidR="00D220E7">
        <w:t xml:space="preserve"> and </w:t>
      </w:r>
      <m:oMath>
        <m:acc>
          <m:accPr>
            <m:chr m:val="̃"/>
            <m:ctrlPr>
              <w:rPr>
                <w:rFonts w:ascii="Cambria Math" w:hAnsi="Cambria Math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/>
                <w:sz w:val="22"/>
                <w:szCs w:val="22"/>
              </w:rPr>
              <m:t>n</m:t>
            </m:r>
          </m:e>
        </m:acc>
      </m:oMath>
      <w:r w:rsidR="00D220E7">
        <w:t xml:space="preserve"> are </w:t>
      </w:r>
      <w:r w:rsidR="00D220E7" w:rsidRPr="0010084B">
        <w:t>the</w:t>
      </w:r>
      <w:r w:rsidR="00D220E7">
        <w:t xml:space="preserve"> </w:t>
      </w:r>
      <w:r w:rsidR="00D220E7" w:rsidRPr="0010084B">
        <w:t>number</w:t>
      </w:r>
      <w:r w:rsidR="00D220E7">
        <w:t xml:space="preserve"> </w:t>
      </w:r>
      <w:r w:rsidR="00D220E7" w:rsidRPr="0010084B">
        <w:t>of</w:t>
      </w:r>
      <w:r w:rsidR="00D220E7">
        <w:t xml:space="preserve"> </w:t>
      </w:r>
      <w:r w:rsidR="00D220E7" w:rsidRPr="0010084B">
        <w:t>banks</w:t>
      </w:r>
      <w:r w:rsidR="00D220E7">
        <w:t xml:space="preserve"> </w:t>
      </w:r>
      <w:r w:rsidR="00D220E7" w:rsidRPr="0010084B">
        <w:t>that</w:t>
      </w:r>
      <w:r w:rsidR="00D220E7">
        <w:t xml:space="preserve"> </w:t>
      </w:r>
      <w:r w:rsidR="00D220E7" w:rsidRPr="0010084B">
        <w:t>borrow</w:t>
      </w:r>
      <w:r w:rsidR="00D220E7">
        <w:t xml:space="preserve"> </w:t>
      </w:r>
      <w:r w:rsidR="00D220E7" w:rsidRPr="0010084B">
        <w:t>at</w:t>
      </w:r>
      <w:r w:rsidR="00D220E7">
        <w:t xml:space="preserve"> </w:t>
      </w:r>
      <w:r w:rsidR="00D220E7" w:rsidRPr="0010084B">
        <w:t>the</w:t>
      </w:r>
      <w:r w:rsidR="00D220E7">
        <w:t xml:space="preserve"> </w:t>
      </w:r>
      <w:r w:rsidR="00D220E7" w:rsidRPr="0010084B">
        <w:t>DW</w:t>
      </w:r>
      <w:r w:rsidR="00D220E7">
        <w:t xml:space="preserve"> voluntarily and </w:t>
      </w:r>
      <w:r w:rsidR="00D220E7" w:rsidRPr="0010084B">
        <w:t>involuntarily</w:t>
      </w:r>
      <w:r w:rsidR="00D220E7">
        <w:t>, respectively</w:t>
      </w:r>
      <w:r>
        <w:rPr>
          <w:sz w:val="22"/>
          <w:szCs w:val="22"/>
        </w:rPr>
        <w:t>.</w:t>
      </w:r>
      <w:r w:rsidR="009A0847">
        <w:t xml:space="preserve"> </w:t>
      </w:r>
      <w:r w:rsidR="00D220E7">
        <w:t>We</w:t>
      </w:r>
      <w:r w:rsidR="009A0847">
        <w:t xml:space="preserve"> </w:t>
      </w:r>
      <w:r>
        <w:t>denote</w:t>
      </w:r>
      <w:r w:rsidR="009A0847"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α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0</m:t>
            </m:r>
          </m:sub>
        </m:sSub>
        <m:r>
          <w:rPr>
            <w:rFonts w:ascii="Cambria Math" w:hAnsi="Cambria Math"/>
            <w:sz w:val="22"/>
            <w:szCs w:val="22"/>
          </w:rPr>
          <m:t>=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v-</m:t>
            </m:r>
            <m:bar>
              <m:bar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bar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P</m:t>
                </m:r>
              </m:e>
            </m:bar>
            <m:r>
              <w:rPr>
                <w:rFonts w:ascii="Cambria Math" w:hAnsi="Cambria Math"/>
                <w:sz w:val="22"/>
                <w:szCs w:val="22"/>
              </w:rPr>
              <m:t>V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V(p-</m:t>
            </m:r>
            <m:bar>
              <m:bar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bar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P</m:t>
                </m:r>
              </m:e>
            </m:bar>
            <m:r>
              <w:rPr>
                <w:rFonts w:ascii="Cambria Math" w:hAnsi="Cambria Math"/>
                <w:sz w:val="22"/>
                <w:szCs w:val="22"/>
              </w:rPr>
              <m:t>)</m:t>
            </m:r>
          </m:den>
        </m:f>
      </m:oMath>
      <w:r w:rsidR="009A0847">
        <w:t xml:space="preserve"> </w:t>
      </w:r>
      <w:r w:rsidR="00A86ADD">
        <w:t>and</w:t>
      </w:r>
      <w:r w:rsidR="009A0847">
        <w:t xml:space="preserve"> </w:t>
      </w:r>
      <m:oMath>
        <m:r>
          <m:rPr>
            <m:sty m:val="bi"/>
          </m:rPr>
          <w:rPr>
            <w:rFonts w:ascii="Cambria Math" w:hAnsi="Cambria Math"/>
            <w:sz w:val="22"/>
            <w:szCs w:val="22"/>
          </w:rPr>
          <m:t>NoSt</m:t>
        </m:r>
        <m:r>
          <m:rPr>
            <m:sty m:val="b"/>
          </m:rPr>
          <w:rPr>
            <w:rFonts w:ascii="Cambria Math" w:hAnsi="Cambria Math"/>
            <w:sz w:val="22"/>
            <w:szCs w:val="22"/>
          </w:rPr>
          <m:t>'</m:t>
        </m:r>
      </m:oMath>
      <w:r>
        <w:t>=</w:t>
      </w:r>
      <w:r w:rsidR="00A86ADD" w:rsidRPr="00A75740">
        <w:t>{Illiquid</w:t>
      </w:r>
      <w:r w:rsidR="009A0847">
        <w:t xml:space="preserve"> </w:t>
      </w:r>
      <w:r w:rsidR="00A86ADD" w:rsidRPr="00A75740">
        <w:t>banks</w:t>
      </w:r>
      <w:r w:rsidR="009A0847">
        <w:t xml:space="preserve"> </w:t>
      </w:r>
      <w:r w:rsidR="00A86ADD" w:rsidRPr="00A75740">
        <w:t>borrow</w:t>
      </w:r>
      <w:r w:rsidR="009A0847">
        <w:t xml:space="preserve"> </w:t>
      </w:r>
      <w:r w:rsidR="00A86ADD" w:rsidRPr="00A75740">
        <w:t>at</w:t>
      </w:r>
      <w:r w:rsidR="009A0847">
        <w:t xml:space="preserve"> </w:t>
      </w:r>
      <w:r w:rsidR="00A86ADD" w:rsidRPr="00A75740">
        <w:t>the</w:t>
      </w:r>
      <w:r w:rsidR="009A0847">
        <w:t xml:space="preserve"> </w:t>
      </w:r>
      <w:r w:rsidR="00A86ADD" w:rsidRPr="00A75740">
        <w:t>DW;</w:t>
      </w:r>
      <w:r w:rsidR="009A0847">
        <w:t xml:space="preserve"> </w:t>
      </w:r>
      <w:r w:rsidR="00A86ADD" w:rsidRPr="00A75740">
        <w:t>Investors</w:t>
      </w:r>
      <w:r w:rsidR="009A0847">
        <w:t xml:space="preserve"> </w:t>
      </w:r>
      <w:r w:rsidR="00A86ADD" w:rsidRPr="00A75740">
        <w:t>fund</w:t>
      </w:r>
      <w:r w:rsidR="009A0847">
        <w:t xml:space="preserve"> </w:t>
      </w:r>
      <w:r w:rsidR="00A86ADD">
        <w:t>every</w:t>
      </w:r>
      <w:r w:rsidR="009A0847">
        <w:t xml:space="preserve"> </w:t>
      </w:r>
      <w:r w:rsidR="00A86ADD" w:rsidRPr="00A75740">
        <w:t>bank}</w:t>
      </w:r>
      <w:r>
        <w:t>.</w:t>
      </w:r>
      <w:r w:rsidR="00E5669D">
        <w:t xml:space="preserve"> Recall that we focus on the case </w:t>
      </w:r>
      <m:oMath>
        <m:r>
          <w:rPr>
            <w:rFonts w:ascii="Cambria Math" w:hAnsi="Cambria Math"/>
            <w:sz w:val="22"/>
            <w:szCs w:val="22"/>
          </w:rPr>
          <m:t>1&lt;</m:t>
        </m:r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n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0</m:t>
            </m:r>
          </m:sub>
        </m:sSub>
        <m:r>
          <w:rPr>
            <w:rFonts w:ascii="Cambria Math" w:hAnsi="Cambria Math"/>
            <w:sz w:val="22"/>
            <w:szCs w:val="22"/>
          </w:rPr>
          <m:t>&lt;</m:t>
        </m:r>
        <m:sSub>
          <m:sSubPr>
            <m:ctrlPr>
              <w:rPr>
                <w:rFonts w:ascii="Cambria Math" w:hAnsi="Cambria Math"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N</m:t>
            </m:r>
          </m:e>
          <m:sub>
            <m:acc>
              <m:accPr>
                <m:chr m:val="̅"/>
                <m:ctrlPr>
                  <w:rPr>
                    <w:rFonts w:ascii="Cambria Math" w:hAnsi="Cambria Math"/>
                    <w:sz w:val="22"/>
                    <w:szCs w:val="22"/>
                  </w:rPr>
                </m:ctrlPr>
              </m:acc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L</m:t>
                </m:r>
              </m:e>
            </m:acc>
          </m:sub>
        </m:sSub>
      </m:oMath>
      <w:r w:rsidR="00E5669D">
        <w:rPr>
          <w:sz w:val="22"/>
          <w:szCs w:val="22"/>
        </w:rPr>
        <w:t>.</w:t>
      </w:r>
    </w:p>
    <w:p w14:paraId="13A20DD6" w14:textId="77777777" w:rsidR="00A86ADD" w:rsidRPr="00A86ADD" w:rsidRDefault="00A86ADD" w:rsidP="00F86E09">
      <w:pPr>
        <w:pStyle w:val="Olivier1"/>
        <w:widowControl w:val="0"/>
        <w:spacing w:line="240" w:lineRule="auto"/>
        <w:rPr>
          <w:sz w:val="8"/>
          <w:szCs w:val="8"/>
        </w:rPr>
      </w:pPr>
    </w:p>
    <w:p w14:paraId="4AF98D34" w14:textId="3DD7F0B3" w:rsidR="00A86ADD" w:rsidRDefault="00A86ADD" w:rsidP="00F86E09">
      <w:pPr>
        <w:pStyle w:val="Olivier1"/>
        <w:widowControl w:val="0"/>
        <w:spacing w:line="240" w:lineRule="auto"/>
        <w:ind w:left="1980" w:hanging="1980"/>
      </w:pPr>
      <w:r w:rsidRPr="0010084B">
        <w:rPr>
          <w:b/>
          <w:u w:val="single"/>
        </w:rPr>
        <w:t>Proposition</w:t>
      </w:r>
      <w:r w:rsidR="009A0847">
        <w:rPr>
          <w:b/>
          <w:u w:val="single"/>
        </w:rPr>
        <w:t xml:space="preserve"> </w:t>
      </w:r>
      <w:r w:rsidRPr="0010084B">
        <w:rPr>
          <w:b/>
          <w:u w:val="single"/>
        </w:rPr>
        <w:t>2</w:t>
      </w:r>
      <w:r w:rsidRPr="0010084B">
        <w:t>:</w:t>
      </w:r>
      <w:r w:rsidR="009A0847">
        <w:rPr>
          <w:i/>
          <w:iCs/>
        </w:rPr>
        <w:t xml:space="preserve"> </w:t>
      </w:r>
      <w:r>
        <w:rPr>
          <w:i/>
          <w:iCs/>
        </w:rPr>
        <w:tab/>
      </w:r>
      <m:oMath>
        <m:r>
          <m:rPr>
            <m:sty m:val="bi"/>
          </m:rPr>
          <w:rPr>
            <w:rFonts w:ascii="Cambria Math" w:hAnsi="Cambria Math"/>
            <w:sz w:val="22"/>
            <w:szCs w:val="22"/>
          </w:rPr>
          <m:t>St</m:t>
        </m:r>
      </m:oMath>
      <w:r w:rsidR="009A0847">
        <w:t xml:space="preserve"> </w:t>
      </w:r>
      <w:r w:rsidRPr="0010084B">
        <w:t>is</w:t>
      </w:r>
      <w:r w:rsidR="009A0847">
        <w:t xml:space="preserve"> </w:t>
      </w:r>
      <w:r w:rsidRPr="0010084B">
        <w:t>no</w:t>
      </w:r>
      <w:r w:rsidR="009A0847">
        <w:t xml:space="preserve"> </w:t>
      </w:r>
      <w:r w:rsidRPr="0010084B">
        <w:t>longer</w:t>
      </w:r>
      <w:r w:rsidR="009A0847">
        <w:t xml:space="preserve"> </w:t>
      </w:r>
      <w:r w:rsidRPr="0010084B">
        <w:t>an</w:t>
      </w:r>
      <w:r w:rsidR="009A0847">
        <w:t xml:space="preserve"> </w:t>
      </w:r>
      <w:r w:rsidRPr="0010084B">
        <w:t>equilibrium</w:t>
      </w:r>
      <w:r w:rsidR="009A0847">
        <w:t xml:space="preserve"> </w:t>
      </w:r>
      <m:oMath>
        <m:r>
          <w:rPr>
            <w:rFonts w:ascii="Cambria Math" w:hAnsi="Cambria Math"/>
            <w:sz w:val="22"/>
            <w:szCs w:val="22"/>
          </w:rPr>
          <m:t>∀α&gt;0</m:t>
        </m:r>
      </m:oMath>
      <w:r>
        <w:rPr>
          <w:i/>
          <w:iCs/>
        </w:rPr>
        <w:t>.</w:t>
      </w:r>
      <w:r w:rsidR="009A0847">
        <w:rPr>
          <w:iCs/>
        </w:rPr>
        <w:t xml:space="preserve"> </w:t>
      </w:r>
      <w:r>
        <w:t>T</w:t>
      </w:r>
      <w:r w:rsidRPr="0010084B">
        <w:t>he</w:t>
      </w:r>
      <w:r w:rsidR="009A0847">
        <w:t xml:space="preserve"> </w:t>
      </w:r>
      <w:r w:rsidRPr="0010084B">
        <w:t>unique</w:t>
      </w:r>
      <w:r w:rsidR="009A0847">
        <w:t xml:space="preserve"> </w:t>
      </w:r>
      <w:r w:rsidRPr="0010084B">
        <w:t>equilibrium</w:t>
      </w:r>
      <w:r w:rsidR="009A0847">
        <w:t xml:space="preserve"> </w:t>
      </w:r>
      <w:r>
        <w:t>is</w:t>
      </w:r>
      <w:r w:rsidR="009A0847">
        <w:t xml:space="preserve"> </w:t>
      </w:r>
      <m:oMath>
        <m:r>
          <m:rPr>
            <m:sty m:val="bi"/>
          </m:rPr>
          <w:rPr>
            <w:rFonts w:ascii="Cambria Math" w:hAnsi="Cambria Math"/>
            <w:sz w:val="22"/>
            <w:szCs w:val="22"/>
          </w:rPr>
          <m:t>NoSt</m:t>
        </m:r>
      </m:oMath>
      <w:r w:rsidR="009A0847">
        <w:t xml:space="preserve"> </w:t>
      </w:r>
      <w:r>
        <w:t>when</w:t>
      </w:r>
      <w:r w:rsidR="009A0847">
        <w:t xml:space="preserve"> </w:t>
      </w:r>
      <m:oMath>
        <m:r>
          <w:rPr>
            <w:rFonts w:ascii="Cambria Math" w:hAnsi="Cambria Math"/>
            <w:sz w:val="22"/>
            <w:szCs w:val="22"/>
          </w:rPr>
          <m:t>α&lt;</m:t>
        </m:r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α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0</m:t>
            </m:r>
          </m:sub>
        </m:sSub>
      </m:oMath>
      <w:r>
        <w:t>,</w:t>
      </w:r>
      <w:r w:rsidR="009A0847">
        <w:t xml:space="preserve"> </w:t>
      </w:r>
      <w:r>
        <w:t>and</w:t>
      </w:r>
      <w:r w:rsidR="009A0847">
        <w:t xml:space="preserve"> </w:t>
      </w:r>
      <m:oMath>
        <m:r>
          <m:rPr>
            <m:sty m:val="bi"/>
          </m:rPr>
          <w:rPr>
            <w:rFonts w:ascii="Cambria Math" w:hAnsi="Cambria Math"/>
            <w:sz w:val="22"/>
            <w:szCs w:val="22"/>
          </w:rPr>
          <m:t>NoSt</m:t>
        </m:r>
        <m:r>
          <m:rPr>
            <m:sty m:val="b"/>
          </m:rPr>
          <w:rPr>
            <w:rFonts w:ascii="Cambria Math" w:hAnsi="Cambria Math"/>
            <w:sz w:val="22"/>
            <w:szCs w:val="22"/>
          </w:rPr>
          <m:t>'</m:t>
        </m:r>
      </m:oMath>
      <w:r w:rsidR="009A0847">
        <w:rPr>
          <w:b/>
        </w:rPr>
        <w:t xml:space="preserve"> </w:t>
      </w:r>
      <w:r w:rsidRPr="00506A04">
        <w:t>othe</w:t>
      </w:r>
      <w:r>
        <w:t>r</w:t>
      </w:r>
      <w:r w:rsidRPr="00506A04">
        <w:t>wise</w:t>
      </w:r>
      <w:r w:rsidRPr="0010084B">
        <w:t>.</w:t>
      </w:r>
    </w:p>
    <w:p w14:paraId="7A0456FB" w14:textId="792A160F" w:rsidR="00315B5A" w:rsidRPr="007F0F19" w:rsidRDefault="00A86ADD" w:rsidP="00F86E09">
      <w:pPr>
        <w:pStyle w:val="Olivier1"/>
        <w:widowControl w:val="0"/>
        <w:spacing w:line="240" w:lineRule="auto"/>
      </w:pPr>
      <w:r w:rsidRPr="00A75740">
        <w:rPr>
          <w:b/>
        </w:rPr>
        <w:t>Proof</w:t>
      </w:r>
      <w:r w:rsidRPr="00A75740">
        <w:t>:</w:t>
      </w:r>
      <w:r w:rsidR="009A0847">
        <w:t xml:space="preserve"> </w:t>
      </w:r>
      <w:r w:rsidR="00315B5A" w:rsidRPr="007F0F19">
        <w:t>First,</w:t>
      </w:r>
      <w:r w:rsidR="009A0847">
        <w:t xml:space="preserve"> </w:t>
      </w:r>
      <w:r w:rsidR="00315B5A" w:rsidRPr="007F0F19">
        <w:t>observe</w:t>
      </w:r>
      <w:r w:rsidR="009A0847">
        <w:t xml:space="preserve"> </w:t>
      </w:r>
      <w:r w:rsidR="00315B5A" w:rsidRPr="007F0F19">
        <w:t>that</w:t>
      </w:r>
      <w:r w:rsidR="009A0847">
        <w:t xml:space="preserve"> </w:t>
      </w:r>
      <w:r w:rsidR="00D53388" w:rsidRPr="007F0F19">
        <w:t>the</w:t>
      </w:r>
      <w:r w:rsidR="009A0847">
        <w:t xml:space="preserve"> </w:t>
      </w:r>
      <w:r w:rsidR="00D53388" w:rsidRPr="007F0F19">
        <w:t>two</w:t>
      </w:r>
      <w:r w:rsidR="009A0847">
        <w:t xml:space="preserve"> </w:t>
      </w:r>
      <w:r w:rsidR="00D53388" w:rsidRPr="007F0F19">
        <w:t>types</w:t>
      </w:r>
      <w:r w:rsidR="009A0847">
        <w:t xml:space="preserve"> </w:t>
      </w:r>
      <w:r w:rsidR="00D53388" w:rsidRPr="007F0F19">
        <w:t>of</w:t>
      </w:r>
      <w:r w:rsidR="009A0847">
        <w:t xml:space="preserve"> </w:t>
      </w:r>
      <w:r w:rsidR="00D53388" w:rsidRPr="007F0F19">
        <w:t>illiquid</w:t>
      </w:r>
      <w:r w:rsidR="009A0847">
        <w:t xml:space="preserve"> </w:t>
      </w:r>
      <w:r w:rsidR="00D53388" w:rsidRPr="007F0F19">
        <w:t>banks</w:t>
      </w:r>
      <w:r w:rsidR="009A0847">
        <w:t xml:space="preserve"> </w:t>
      </w:r>
      <w:r w:rsidR="00E5669D">
        <w:t xml:space="preserve">(i.e. solvent and insolvent) </w:t>
      </w:r>
      <w:r w:rsidR="008A13CF">
        <w:t>still</w:t>
      </w:r>
      <w:r w:rsidR="009A0847">
        <w:t xml:space="preserve"> </w:t>
      </w:r>
      <w:r w:rsidR="00D53388" w:rsidRPr="007F0F19">
        <w:t>have</w:t>
      </w:r>
      <w:r w:rsidR="009A0847">
        <w:t xml:space="preserve"> </w:t>
      </w:r>
      <w:r w:rsidR="00D53388" w:rsidRPr="007F0F19">
        <w:t>the</w:t>
      </w:r>
      <w:r w:rsidR="009A0847">
        <w:t xml:space="preserve"> </w:t>
      </w:r>
      <w:r w:rsidR="00D53388" w:rsidRPr="007F0F19">
        <w:t>same</w:t>
      </w:r>
      <w:r w:rsidR="009A0847">
        <w:t xml:space="preserve"> </w:t>
      </w:r>
      <w:r w:rsidR="00D53388" w:rsidRPr="007F0F19">
        <w:t>payoff</w:t>
      </w:r>
      <w:r w:rsidR="009A0847">
        <w:t xml:space="preserve"> </w:t>
      </w:r>
      <w:r w:rsidR="00D53388" w:rsidRPr="007F0F19">
        <w:t>function.</w:t>
      </w:r>
      <w:r w:rsidR="009A0847">
        <w:t xml:space="preserve"> </w:t>
      </w:r>
      <w:r w:rsidR="00D53388" w:rsidRPr="007F0F19">
        <w:t>Therefore,</w:t>
      </w:r>
      <w:r w:rsidR="009A0847">
        <w:t xml:space="preserve"> </w:t>
      </w:r>
      <w:r w:rsidR="00315B5A" w:rsidRPr="007F0F19">
        <w:t>there</w:t>
      </w:r>
      <w:r w:rsidR="009A0847">
        <w:t xml:space="preserve"> </w:t>
      </w:r>
      <w:r w:rsidR="00315B5A" w:rsidRPr="007F0F19">
        <w:t>cannot</w:t>
      </w:r>
      <w:r w:rsidR="009A0847">
        <w:t xml:space="preserve"> </w:t>
      </w:r>
      <w:r w:rsidR="00315B5A" w:rsidRPr="007F0F19">
        <w:t>be</w:t>
      </w:r>
      <w:r w:rsidR="009A0847">
        <w:t xml:space="preserve"> </w:t>
      </w:r>
      <w:r w:rsidR="00315B5A" w:rsidRPr="007F0F19">
        <w:t>a</w:t>
      </w:r>
      <w:r w:rsidR="009A0847">
        <w:t xml:space="preserve"> </w:t>
      </w:r>
      <w:r w:rsidR="00315B5A" w:rsidRPr="007F0F19">
        <w:t>separating</w:t>
      </w:r>
      <w:r w:rsidR="009A0847">
        <w:t xml:space="preserve"> </w:t>
      </w:r>
      <w:r w:rsidR="00315B5A" w:rsidRPr="007F0F19">
        <w:t>equilibrium</w:t>
      </w:r>
      <w:r w:rsidR="009A0847">
        <w:t xml:space="preserve"> </w:t>
      </w:r>
      <w:r w:rsidR="00315B5A" w:rsidRPr="007F0F19">
        <w:t>in</w:t>
      </w:r>
      <w:r w:rsidR="009A0847">
        <w:t xml:space="preserve"> </w:t>
      </w:r>
      <w:r w:rsidR="00315B5A" w:rsidRPr="007F0F19">
        <w:t>which</w:t>
      </w:r>
      <w:r w:rsidR="009A0847">
        <w:t xml:space="preserve"> </w:t>
      </w:r>
      <w:r w:rsidR="00315B5A" w:rsidRPr="007F0F19">
        <w:t>one</w:t>
      </w:r>
      <w:r w:rsidR="009A0847">
        <w:t xml:space="preserve"> </w:t>
      </w:r>
      <w:r w:rsidR="00315B5A" w:rsidRPr="007F0F19">
        <w:t>type</w:t>
      </w:r>
      <w:r w:rsidR="009A0847">
        <w:t xml:space="preserve"> </w:t>
      </w:r>
      <w:r w:rsidR="00315B5A" w:rsidRPr="007F0F19">
        <w:t>of</w:t>
      </w:r>
      <w:r w:rsidR="009A0847">
        <w:t xml:space="preserve"> </w:t>
      </w:r>
      <w:r w:rsidR="00315B5A" w:rsidRPr="007F0F19">
        <w:t>illiquid</w:t>
      </w:r>
      <w:r w:rsidR="009A0847">
        <w:t xml:space="preserve"> </w:t>
      </w:r>
      <w:r w:rsidR="00315B5A" w:rsidRPr="007F0F19">
        <w:t>bank</w:t>
      </w:r>
      <w:r w:rsidR="009A0847">
        <w:t xml:space="preserve"> </w:t>
      </w:r>
      <w:r w:rsidR="000B3A00" w:rsidRPr="007F0F19">
        <w:t>voluntarily</w:t>
      </w:r>
      <w:r w:rsidR="009A0847">
        <w:t xml:space="preserve"> </w:t>
      </w:r>
      <w:r w:rsidR="00315B5A" w:rsidRPr="007F0F19">
        <w:t>borrows</w:t>
      </w:r>
      <w:r w:rsidR="009A0847">
        <w:t xml:space="preserve"> </w:t>
      </w:r>
      <w:r w:rsidR="00315B5A" w:rsidRPr="007F0F19">
        <w:t>at</w:t>
      </w:r>
      <w:r w:rsidR="009A0847">
        <w:t xml:space="preserve"> </w:t>
      </w:r>
      <w:r w:rsidR="00315B5A" w:rsidRPr="007F0F19">
        <w:t>the</w:t>
      </w:r>
      <w:r w:rsidR="009A0847">
        <w:t xml:space="preserve"> </w:t>
      </w:r>
      <w:r w:rsidR="00315B5A" w:rsidRPr="007F0F19">
        <w:t>DW</w:t>
      </w:r>
      <w:r w:rsidR="009A0847">
        <w:t xml:space="preserve"> </w:t>
      </w:r>
      <w:r w:rsidR="00315B5A" w:rsidRPr="007F0F19">
        <w:t>while</w:t>
      </w:r>
      <w:r w:rsidR="009A0847">
        <w:t xml:space="preserve"> </w:t>
      </w:r>
      <w:r w:rsidR="00315B5A" w:rsidRPr="007F0F19">
        <w:t>the</w:t>
      </w:r>
      <w:r w:rsidR="009A0847">
        <w:t xml:space="preserve"> </w:t>
      </w:r>
      <w:r w:rsidR="00315B5A" w:rsidRPr="007F0F19">
        <w:t>other</w:t>
      </w:r>
      <w:r w:rsidR="009A0847">
        <w:t xml:space="preserve"> </w:t>
      </w:r>
      <w:r w:rsidR="00315B5A" w:rsidRPr="007F0F19">
        <w:t>type</w:t>
      </w:r>
      <w:r w:rsidR="009A0847">
        <w:t xml:space="preserve"> </w:t>
      </w:r>
      <w:r w:rsidR="00315B5A" w:rsidRPr="007F0F19">
        <w:t>does</w:t>
      </w:r>
      <w:r w:rsidR="009A0847">
        <w:t xml:space="preserve"> </w:t>
      </w:r>
      <w:r w:rsidR="00315B5A" w:rsidRPr="007F0F19">
        <w:t>not.</w:t>
      </w:r>
      <w:r w:rsidR="009A0847">
        <w:t xml:space="preserve"> </w:t>
      </w:r>
    </w:p>
    <w:p w14:paraId="59FD5C63" w14:textId="7A101D48" w:rsidR="00284F79" w:rsidRPr="007F0F19" w:rsidRDefault="00315B5A" w:rsidP="00F86E09">
      <w:pPr>
        <w:pStyle w:val="Olivier1"/>
        <w:widowControl w:val="0"/>
        <w:spacing w:line="240" w:lineRule="auto"/>
      </w:pPr>
      <w:r w:rsidRPr="007F0F19">
        <w:lastRenderedPageBreak/>
        <w:t>Consider</w:t>
      </w:r>
      <w:r w:rsidR="009A0847">
        <w:t xml:space="preserve"> </w:t>
      </w:r>
      <w:r w:rsidRPr="007F0F19">
        <w:t>the</w:t>
      </w:r>
      <w:r w:rsidR="009A0847">
        <w:t xml:space="preserve"> </w:t>
      </w:r>
      <w:r w:rsidRPr="007F0F19">
        <w:t>case</w:t>
      </w:r>
      <w:r w:rsidR="009A0847">
        <w:t xml:space="preserve"> </w:t>
      </w:r>
      <w:r w:rsidRPr="007F0F19">
        <w:t>where</w:t>
      </w:r>
      <w:r w:rsidR="009A0847">
        <w:t xml:space="preserve"> </w:t>
      </w:r>
      <w:r w:rsidRPr="007F0F19">
        <w:rPr>
          <w:u w:val="single"/>
        </w:rPr>
        <w:t>no</w:t>
      </w:r>
      <w:r w:rsidR="009A0847">
        <w:rPr>
          <w:u w:val="single"/>
        </w:rPr>
        <w:t xml:space="preserve"> </w:t>
      </w:r>
      <w:r w:rsidRPr="007F0F19">
        <w:rPr>
          <w:u w:val="single"/>
        </w:rPr>
        <w:t>bank</w:t>
      </w:r>
      <w:r w:rsidR="009A0847">
        <w:rPr>
          <w:u w:val="single"/>
        </w:rPr>
        <w:t xml:space="preserve"> </w:t>
      </w:r>
      <w:r w:rsidR="000B3A00" w:rsidRPr="007F0F19">
        <w:rPr>
          <w:u w:val="single"/>
        </w:rPr>
        <w:t>voluntarily</w:t>
      </w:r>
      <w:r w:rsidR="009A0847">
        <w:rPr>
          <w:u w:val="single"/>
        </w:rPr>
        <w:t xml:space="preserve"> </w:t>
      </w:r>
      <w:r w:rsidRPr="007F0F19">
        <w:rPr>
          <w:u w:val="single"/>
        </w:rPr>
        <w:t>borrows</w:t>
      </w:r>
      <w:r w:rsidR="009A0847">
        <w:rPr>
          <w:u w:val="single"/>
        </w:rPr>
        <w:t xml:space="preserve"> </w:t>
      </w:r>
      <w:r w:rsidRPr="007F0F19">
        <w:rPr>
          <w:u w:val="single"/>
        </w:rPr>
        <w:t>at</w:t>
      </w:r>
      <w:r w:rsidR="009A0847">
        <w:rPr>
          <w:u w:val="single"/>
        </w:rPr>
        <w:t xml:space="preserve"> </w:t>
      </w:r>
      <w:r w:rsidRPr="007F0F19">
        <w:rPr>
          <w:u w:val="single"/>
        </w:rPr>
        <w:t>the</w:t>
      </w:r>
      <w:r w:rsidR="009A0847">
        <w:rPr>
          <w:u w:val="single"/>
        </w:rPr>
        <w:t xml:space="preserve"> </w:t>
      </w:r>
      <w:r w:rsidRPr="007F0F19">
        <w:rPr>
          <w:u w:val="single"/>
        </w:rPr>
        <w:t>DW</w:t>
      </w:r>
      <w:r w:rsidRPr="007F0F19">
        <w:t>.</w:t>
      </w:r>
      <w:r w:rsidR="009A0847">
        <w:t xml:space="preserve"> </w:t>
      </w:r>
      <w:r w:rsidRPr="007F0F19">
        <w:t>In</w:t>
      </w:r>
      <w:r w:rsidR="009A0847">
        <w:t xml:space="preserve"> </w:t>
      </w:r>
      <w:r w:rsidRPr="007F0F19">
        <w:t>that</w:t>
      </w:r>
      <w:r w:rsidR="009A0847">
        <w:t xml:space="preserve"> </w:t>
      </w:r>
      <w:r w:rsidRPr="007F0F19">
        <w:t>case,</w:t>
      </w:r>
      <w:r w:rsidR="009A0847">
        <w:t xml:space="preserve"> </w:t>
      </w:r>
      <w:r w:rsidRPr="007F0F19">
        <w:t>the</w:t>
      </w:r>
      <w:r w:rsidR="009A0847">
        <w:t xml:space="preserve"> </w:t>
      </w:r>
      <w:r w:rsidRPr="007F0F19">
        <w:t>investor</w:t>
      </w:r>
      <w:r w:rsidR="009A0847">
        <w:t xml:space="preserve"> </w:t>
      </w:r>
      <w:r w:rsidRPr="007F0F19">
        <w:t>cannot</w:t>
      </w:r>
      <w:r w:rsidR="009A0847">
        <w:t xml:space="preserve"> </w:t>
      </w:r>
      <w:r w:rsidRPr="007F0F19">
        <w:t>update</w:t>
      </w:r>
      <w:r w:rsidR="009A0847">
        <w:t xml:space="preserve"> </w:t>
      </w:r>
      <w:r w:rsidRPr="007F0F19">
        <w:t>its</w:t>
      </w:r>
      <w:r w:rsidR="009A0847">
        <w:t xml:space="preserve"> </w:t>
      </w:r>
      <w:r w:rsidRPr="007F0F19">
        <w:t>beliefs</w:t>
      </w:r>
      <w:r w:rsidR="00E5669D">
        <w:t xml:space="preserve"> between the two periods</w:t>
      </w:r>
      <w:r w:rsidRPr="007F0F19">
        <w:t>.</w:t>
      </w:r>
      <w:r w:rsidR="009A0847">
        <w:t xml:space="preserve"> </w:t>
      </w:r>
      <w:r w:rsidR="003515B1" w:rsidRPr="007F0F19">
        <w:t>Indeed,</w:t>
      </w:r>
      <w:r w:rsidR="009A0847">
        <w:t xml:space="preserve"> </w:t>
      </w:r>
      <w:r w:rsidR="003515B1" w:rsidRPr="007F0F19">
        <w:t>if</w:t>
      </w:r>
      <w:r w:rsidR="009A0847">
        <w:t xml:space="preserve"> </w:t>
      </w:r>
      <w:r w:rsidR="003515B1" w:rsidRPr="007F0F19">
        <w:t>a</w:t>
      </w:r>
      <w:r w:rsidR="009A0847">
        <w:t xml:space="preserve"> </w:t>
      </w:r>
      <w:r w:rsidR="003515B1" w:rsidRPr="007F0F19">
        <w:t>bank</w:t>
      </w:r>
      <w:r w:rsidR="009A0847">
        <w:t xml:space="preserve"> </w:t>
      </w:r>
      <w:r w:rsidR="003515B1" w:rsidRPr="007F0F19">
        <w:t>is</w:t>
      </w:r>
      <w:r w:rsidR="009A0847">
        <w:t xml:space="preserve"> </w:t>
      </w:r>
      <w:r w:rsidR="00E5669D">
        <w:t>detected</w:t>
      </w:r>
      <w:r w:rsidR="003515B1" w:rsidRPr="007F0F19">
        <w:t>,</w:t>
      </w:r>
      <w:r w:rsidR="009A0847">
        <w:t xml:space="preserve"> </w:t>
      </w:r>
      <w:r w:rsidR="003515B1" w:rsidRPr="007F0F19">
        <w:t>then</w:t>
      </w:r>
      <w:r w:rsidR="009A0847">
        <w:t xml:space="preserve"> </w:t>
      </w:r>
      <w:r w:rsidR="003515B1" w:rsidRPr="007F0F19">
        <w:t>the</w:t>
      </w:r>
      <w:r w:rsidR="009A0847">
        <w:t xml:space="preserve"> </w:t>
      </w:r>
      <w:r w:rsidR="003515B1" w:rsidRPr="007F0F19">
        <w:t>investor</w:t>
      </w:r>
      <w:r w:rsidR="009A0847">
        <w:t xml:space="preserve"> </w:t>
      </w:r>
      <w:r w:rsidR="003515B1" w:rsidRPr="007F0F19">
        <w:t>knows</w:t>
      </w:r>
      <w:r w:rsidR="009A0847">
        <w:t xml:space="preserve"> </w:t>
      </w:r>
      <w:r w:rsidR="003515B1" w:rsidRPr="007F0F19">
        <w:t>that</w:t>
      </w:r>
      <w:r w:rsidR="009A0847">
        <w:t xml:space="preserve"> </w:t>
      </w:r>
      <w:r w:rsidR="003515B1" w:rsidRPr="007F0F19">
        <w:t>this</w:t>
      </w:r>
      <w:r w:rsidR="009A0847">
        <w:t xml:space="preserve"> </w:t>
      </w:r>
      <w:r w:rsidR="00E5669D">
        <w:t xml:space="preserve">DW </w:t>
      </w:r>
      <w:r w:rsidR="003515B1" w:rsidRPr="007F0F19">
        <w:t>borrowing</w:t>
      </w:r>
      <w:r w:rsidR="009A0847">
        <w:t xml:space="preserve"> </w:t>
      </w:r>
      <w:r w:rsidR="003515B1" w:rsidRPr="007F0F19">
        <w:t>was</w:t>
      </w:r>
      <w:r w:rsidR="009A0847">
        <w:t xml:space="preserve"> </w:t>
      </w:r>
      <w:r w:rsidR="003515B1" w:rsidRPr="007F0F19">
        <w:t>involuntary</w:t>
      </w:r>
      <w:r w:rsidR="009A0847">
        <w:t xml:space="preserve"> </w:t>
      </w:r>
      <w:r w:rsidR="003515B1" w:rsidRPr="007F0F19">
        <w:t>and</w:t>
      </w:r>
      <w:r w:rsidR="009A0847">
        <w:t xml:space="preserve"> </w:t>
      </w:r>
      <w:r w:rsidR="003515B1" w:rsidRPr="007F0F19">
        <w:t>therefore</w:t>
      </w:r>
      <w:r w:rsidR="009A0847">
        <w:t xml:space="preserve"> </w:t>
      </w:r>
      <w:r w:rsidR="00DB3512" w:rsidRPr="007F0F19">
        <w:t>the</w:t>
      </w:r>
      <w:r w:rsidR="009A0847">
        <w:t xml:space="preserve"> </w:t>
      </w:r>
      <w:r w:rsidR="00DB3512" w:rsidRPr="007F0F19">
        <w:t>investor</w:t>
      </w:r>
      <w:r w:rsidR="009A0847">
        <w:t xml:space="preserve"> </w:t>
      </w:r>
      <w:r w:rsidR="00DB3512" w:rsidRPr="007F0F19">
        <w:t>does</w:t>
      </w:r>
      <w:r w:rsidR="009A0847">
        <w:t xml:space="preserve"> </w:t>
      </w:r>
      <w:r w:rsidR="00DB3512" w:rsidRPr="007F0F19">
        <w:t>not</w:t>
      </w:r>
      <w:r w:rsidR="009A0847">
        <w:t xml:space="preserve"> </w:t>
      </w:r>
      <w:r w:rsidR="00DB3512" w:rsidRPr="007F0F19">
        <w:t>receive</w:t>
      </w:r>
      <w:r w:rsidR="009A0847">
        <w:t xml:space="preserve"> </w:t>
      </w:r>
      <w:r w:rsidR="003515B1" w:rsidRPr="007F0F19">
        <w:t>any</w:t>
      </w:r>
      <w:r w:rsidR="009A0847">
        <w:t xml:space="preserve"> </w:t>
      </w:r>
      <w:r w:rsidR="003515B1" w:rsidRPr="007F0F19">
        <w:t>information</w:t>
      </w:r>
      <w:r w:rsidR="009A0847">
        <w:t xml:space="preserve"> </w:t>
      </w:r>
      <w:r w:rsidR="003515B1" w:rsidRPr="007F0F19">
        <w:t>about</w:t>
      </w:r>
      <w:r w:rsidR="009A0847">
        <w:t xml:space="preserve"> </w:t>
      </w:r>
      <w:r w:rsidR="003515B1" w:rsidRPr="007F0F19">
        <w:t>the</w:t>
      </w:r>
      <w:r w:rsidR="009A0847">
        <w:t xml:space="preserve"> </w:t>
      </w:r>
      <w:r w:rsidR="003515B1" w:rsidRPr="007F0F19">
        <w:t>bank’s</w:t>
      </w:r>
      <w:r w:rsidR="009A0847">
        <w:t xml:space="preserve"> </w:t>
      </w:r>
      <w:r w:rsidR="003515B1" w:rsidRPr="007F0F19">
        <w:t>type.</w:t>
      </w:r>
      <w:r w:rsidR="009A0847">
        <w:t xml:space="preserve"> </w:t>
      </w:r>
      <w:r w:rsidR="007F0F19" w:rsidRPr="007F0F19">
        <w:t>In</w:t>
      </w:r>
      <w:r w:rsidR="009A0847">
        <w:t xml:space="preserve"> </w:t>
      </w:r>
      <w:r w:rsidR="007F0F19" w:rsidRPr="007F0F19">
        <w:t>that</w:t>
      </w:r>
      <w:r w:rsidR="009A0847">
        <w:t xml:space="preserve"> </w:t>
      </w:r>
      <w:r w:rsidR="007F0F19" w:rsidRPr="007F0F19">
        <w:t>case,</w:t>
      </w:r>
      <w:r w:rsidR="009A0847">
        <w:t xml:space="preserve"> </w:t>
      </w:r>
      <w:r w:rsidR="007F0F19" w:rsidRPr="007F0F19">
        <w:t>the</w:t>
      </w:r>
      <w:r w:rsidR="009A0847">
        <w:t xml:space="preserve"> </w:t>
      </w:r>
      <w:r w:rsidR="007F0F19" w:rsidRPr="007F0F19">
        <w:t>investor</w:t>
      </w:r>
      <w:r w:rsidR="009A0847">
        <w:t xml:space="preserve"> </w:t>
      </w:r>
      <w:r w:rsidR="007F0F19" w:rsidRPr="007F0F19">
        <w:t>funds</w:t>
      </w:r>
      <w:r w:rsidR="009A0847">
        <w:t xml:space="preserve"> </w:t>
      </w:r>
      <w:r w:rsidR="007F0F19" w:rsidRPr="007F0F19">
        <w:t>every</w:t>
      </w:r>
      <w:r w:rsidR="009A0847">
        <w:t xml:space="preserve"> </w:t>
      </w:r>
      <w:r w:rsidR="007F0F19" w:rsidRPr="007F0F19">
        <w:t>bank,</w:t>
      </w:r>
      <w:r w:rsidR="009A0847">
        <w:t xml:space="preserve"> </w:t>
      </w:r>
      <w:r w:rsidR="007F0F19" w:rsidRPr="007F0F19">
        <w:t>i.e.</w:t>
      </w:r>
      <w:r w:rsidR="009A0847">
        <w:t xml:space="preserve"> </w:t>
      </w:r>
      <w:r w:rsidR="007F0F19" w:rsidRPr="007F0F19">
        <w:t>detected</w:t>
      </w:r>
      <w:r w:rsidR="009A0847">
        <w:t xml:space="preserve"> </w:t>
      </w:r>
      <w:r w:rsidR="007F0F19" w:rsidRPr="007F0F19">
        <w:t>and</w:t>
      </w:r>
      <w:r w:rsidR="009A0847">
        <w:t xml:space="preserve"> </w:t>
      </w:r>
      <w:r w:rsidR="007F0F19" w:rsidRPr="007F0F19">
        <w:t>not</w:t>
      </w:r>
      <w:r w:rsidR="009A0847">
        <w:t xml:space="preserve"> </w:t>
      </w:r>
      <w:r w:rsidR="007F0F19" w:rsidRPr="007F0F19">
        <w:t>detected,</w:t>
      </w:r>
      <w:r w:rsidR="009A0847">
        <w:t xml:space="preserve"> </w:t>
      </w:r>
      <w:r w:rsidR="007F0F19" w:rsidRPr="007F0F19">
        <w:t>because</w:t>
      </w:r>
      <w:r w:rsidR="009A0847">
        <w:t xml:space="preserve"> </w:t>
      </w:r>
      <m:oMath>
        <m:r>
          <w:rPr>
            <w:rFonts w:ascii="Cambria Math" w:hAnsi="Cambria Math"/>
            <w:sz w:val="22"/>
            <w:szCs w:val="22"/>
          </w:rPr>
          <m:t>v&lt;pV</m:t>
        </m:r>
      </m:oMath>
      <w:r w:rsidR="009A0847">
        <w:t xml:space="preserve"> </w:t>
      </w:r>
      <w:r w:rsidR="007F0F19" w:rsidRPr="007F0F19">
        <w:t>under</w:t>
      </w:r>
      <w:r w:rsidR="009A0847">
        <w:t xml:space="preserve"> </w:t>
      </w:r>
      <w:r w:rsidR="007F0F19" w:rsidRPr="007F0F19">
        <w:rPr>
          <w:i/>
        </w:rPr>
        <w:t>R2</w:t>
      </w:r>
      <w:r w:rsidR="007F0F19" w:rsidRPr="007F0F19">
        <w:t>.</w:t>
      </w:r>
      <w:r w:rsidR="009A0847">
        <w:t xml:space="preserve"> </w:t>
      </w:r>
      <w:r w:rsidR="003515B1" w:rsidRPr="007F0F19">
        <w:t>The</w:t>
      </w:r>
      <w:r w:rsidR="009A0847">
        <w:t xml:space="preserve"> </w:t>
      </w:r>
      <w:r w:rsidR="003515B1" w:rsidRPr="007F0F19">
        <w:t>profit</w:t>
      </w:r>
      <w:r w:rsidR="009A0847">
        <w:t xml:space="preserve"> </w:t>
      </w:r>
      <w:r w:rsidR="003515B1" w:rsidRPr="007F0F19">
        <w:t>of</w:t>
      </w:r>
      <w:r w:rsidR="009A0847">
        <w:t xml:space="preserve"> </w:t>
      </w:r>
      <w:r w:rsidR="003515B1" w:rsidRPr="007F0F19">
        <w:t>a</w:t>
      </w:r>
      <w:r w:rsidR="009A0847">
        <w:t xml:space="preserve"> </w:t>
      </w:r>
      <w:r w:rsidR="003515B1" w:rsidRPr="007F0F19">
        <w:t>non-selected</w:t>
      </w:r>
      <w:r w:rsidR="009A0847">
        <w:t xml:space="preserve"> </w:t>
      </w:r>
      <w:r w:rsidRPr="007F0F19">
        <w:t>illiquid</w:t>
      </w:r>
      <w:r w:rsidR="009A0847">
        <w:t xml:space="preserve"> </w:t>
      </w:r>
      <w:r w:rsidRPr="007F0F19">
        <w:t>bank</w:t>
      </w:r>
      <w:r w:rsidR="009A0847">
        <w:t xml:space="preserve"> </w:t>
      </w:r>
      <w:r w:rsidRPr="007F0F19">
        <w:t>(whether</w:t>
      </w:r>
      <w:r w:rsidR="009A0847">
        <w:t xml:space="preserve"> </w:t>
      </w:r>
      <w:r w:rsidRPr="007F0F19">
        <w:t>solvent</w:t>
      </w:r>
      <w:r w:rsidR="009A0847">
        <w:t xml:space="preserve"> </w:t>
      </w:r>
      <w:r w:rsidRPr="007F0F19">
        <w:t>or</w:t>
      </w:r>
      <w:r w:rsidR="009A0847">
        <w:t xml:space="preserve"> </w:t>
      </w:r>
      <w:r w:rsidRPr="007F0F19">
        <w:t>insolvent)</w:t>
      </w:r>
      <w:r w:rsidR="009A0847">
        <w:t xml:space="preserve"> </w:t>
      </w:r>
      <w:r w:rsidRPr="007F0F19">
        <w:t>is</w:t>
      </w:r>
      <w:r w:rsidR="009A0847">
        <w:t xml:space="preserve"> </w:t>
      </w:r>
      <w:r w:rsidRPr="007F0F19">
        <w:t>then</w:t>
      </w:r>
      <w:r w:rsidR="009A0847">
        <w:t xml:space="preserve"> </w:t>
      </w:r>
      <m:oMath>
        <m:r>
          <w:rPr>
            <w:rFonts w:ascii="Cambria Math" w:hAnsi="Cambria Math"/>
            <w:sz w:val="22"/>
            <w:szCs w:val="22"/>
          </w:rPr>
          <m:t>-c+k</m:t>
        </m:r>
      </m:oMath>
      <w:r w:rsidRPr="007F0F19">
        <w:t>.</w:t>
      </w:r>
      <w:r w:rsidR="009A0847">
        <w:t xml:space="preserve"> </w:t>
      </w:r>
      <w:r w:rsidR="00BE71DC" w:rsidRPr="007F0F19">
        <w:t>Because</w:t>
      </w:r>
      <w:r w:rsidR="009A0847">
        <w:t xml:space="preserve"> </w:t>
      </w:r>
      <w:r w:rsidR="00BE71DC" w:rsidRPr="007F0F19">
        <w:t>the</w:t>
      </w:r>
      <w:r w:rsidR="009A0847">
        <w:t xml:space="preserve"> </w:t>
      </w:r>
      <w:r w:rsidR="00BE71DC" w:rsidRPr="007F0F19">
        <w:t>investor</w:t>
      </w:r>
      <w:r w:rsidR="009A0847">
        <w:t xml:space="preserve"> </w:t>
      </w:r>
      <w:r w:rsidR="00BE71DC" w:rsidRPr="007F0F19">
        <w:t>also</w:t>
      </w:r>
      <w:r w:rsidR="009A0847">
        <w:t xml:space="preserve"> </w:t>
      </w:r>
      <w:r w:rsidR="00BE71DC" w:rsidRPr="007F0F19">
        <w:t>funds</w:t>
      </w:r>
      <w:r w:rsidR="009A0847">
        <w:t xml:space="preserve"> </w:t>
      </w:r>
      <w:r w:rsidR="008A13CF">
        <w:t>detected</w:t>
      </w:r>
      <w:r w:rsidR="009A0847">
        <w:t xml:space="preserve"> </w:t>
      </w:r>
      <w:r w:rsidR="00BE71DC" w:rsidRPr="007F0F19">
        <w:t>banks,</w:t>
      </w:r>
      <w:r w:rsidR="009A0847">
        <w:t xml:space="preserve"> </w:t>
      </w:r>
      <w:r w:rsidR="00BE71DC" w:rsidRPr="007F0F19">
        <w:t>a</w:t>
      </w:r>
      <w:r w:rsidR="009A0847">
        <w:t xml:space="preserve"> </w:t>
      </w:r>
      <w:r w:rsidR="00BE71DC" w:rsidRPr="007F0F19">
        <w:t>non-selected</w:t>
      </w:r>
      <w:r w:rsidR="009A0847">
        <w:t xml:space="preserve"> </w:t>
      </w:r>
      <w:r w:rsidR="00BE71DC" w:rsidRPr="007F0F19">
        <w:t>illiquid</w:t>
      </w:r>
      <w:r w:rsidR="009A0847">
        <w:t xml:space="preserve"> </w:t>
      </w:r>
      <w:r w:rsidR="00BE71DC" w:rsidRPr="007F0F19">
        <w:t>bank</w:t>
      </w:r>
      <w:r w:rsidR="009A0847">
        <w:t xml:space="preserve"> </w:t>
      </w:r>
      <w:r w:rsidR="00BE71DC" w:rsidRPr="007F0F19">
        <w:t>has</w:t>
      </w:r>
      <w:r w:rsidR="009A0847">
        <w:t xml:space="preserve"> </w:t>
      </w:r>
      <w:r w:rsidRPr="007F0F19">
        <w:t>an</w:t>
      </w:r>
      <w:r w:rsidR="009A0847">
        <w:t xml:space="preserve"> </w:t>
      </w:r>
      <w:r w:rsidRPr="007F0F19">
        <w:t>incentive</w:t>
      </w:r>
      <w:r w:rsidR="009A0847">
        <w:t xml:space="preserve"> </w:t>
      </w:r>
      <w:r w:rsidR="00BE71DC" w:rsidRPr="007F0F19">
        <w:t>to</w:t>
      </w:r>
      <w:r w:rsidR="009A0847">
        <w:t xml:space="preserve"> </w:t>
      </w:r>
      <w:r w:rsidR="00BE71DC" w:rsidRPr="007F0F19">
        <w:t>deviate</w:t>
      </w:r>
      <w:r w:rsidR="009A0847">
        <w:t xml:space="preserve"> </w:t>
      </w:r>
      <w:r w:rsidR="00BE71DC" w:rsidRPr="007F0F19">
        <w:t>and</w:t>
      </w:r>
      <w:r w:rsidR="009A0847">
        <w:t xml:space="preserve"> </w:t>
      </w:r>
      <w:r w:rsidR="00BE71DC" w:rsidRPr="007F0F19">
        <w:t>borrow</w:t>
      </w:r>
      <w:r w:rsidR="009A0847">
        <w:t xml:space="preserve"> </w:t>
      </w:r>
      <w:r w:rsidR="00BE71DC" w:rsidRPr="007F0F19">
        <w:t>at</w:t>
      </w:r>
      <w:r w:rsidR="009A0847">
        <w:t xml:space="preserve"> </w:t>
      </w:r>
      <w:r w:rsidR="00BE71DC" w:rsidRPr="007F0F19">
        <w:t>the</w:t>
      </w:r>
      <w:r w:rsidR="009A0847">
        <w:t xml:space="preserve"> </w:t>
      </w:r>
      <w:r w:rsidR="00BE71DC" w:rsidRPr="007F0F19">
        <w:t>DW.</w:t>
      </w:r>
      <w:r w:rsidR="009A0847">
        <w:t xml:space="preserve"> </w:t>
      </w:r>
      <w:r w:rsidR="00284F79" w:rsidRPr="007F0F19">
        <w:t>Indeed,</w:t>
      </w:r>
      <w:r w:rsidR="009A0847">
        <w:t xml:space="preserve"> </w:t>
      </w:r>
      <w:r w:rsidR="00284F79" w:rsidRPr="007F0F19">
        <w:t>doing</w:t>
      </w:r>
      <w:r w:rsidR="009A0847">
        <w:t xml:space="preserve"> </w:t>
      </w:r>
      <w:r w:rsidR="00284F79" w:rsidRPr="007F0F19">
        <w:t>so</w:t>
      </w:r>
      <w:r w:rsidR="009A0847">
        <w:t xml:space="preserve"> </w:t>
      </w:r>
      <w:r w:rsidRPr="007F0F19">
        <w:t>would</w:t>
      </w:r>
      <w:r w:rsidR="009A0847">
        <w:t xml:space="preserve"> </w:t>
      </w:r>
      <w:r w:rsidRPr="007F0F19">
        <w:t>yield</w:t>
      </w:r>
      <w:r w:rsidR="009A0847">
        <w:t xml:space="preserve"> </w:t>
      </w:r>
      <w:r w:rsidRPr="007F0F19">
        <w:t>a</w:t>
      </w:r>
      <w:r w:rsidR="009A0847">
        <w:t xml:space="preserve"> </w:t>
      </w:r>
      <w:r w:rsidRPr="007F0F19">
        <w:t>higher</w:t>
      </w:r>
      <w:r w:rsidR="009A0847">
        <w:t xml:space="preserve"> </w:t>
      </w:r>
      <w:r w:rsidRPr="007F0F19">
        <w:t>profit</w:t>
      </w:r>
      <w:r w:rsidR="009A0847">
        <w:t xml:space="preserve"> </w:t>
      </w:r>
      <w:r w:rsidRPr="007F0F19">
        <w:t>(</w:t>
      </w:r>
      <m:oMath>
        <m:r>
          <w:rPr>
            <w:rFonts w:ascii="Cambria Math" w:hAnsi="Cambria Math"/>
            <w:sz w:val="22"/>
            <w:szCs w:val="22"/>
          </w:rPr>
          <m:t>-dw+k</m:t>
        </m:r>
      </m:oMath>
      <w:r w:rsidRPr="007F0F19">
        <w:t>)</w:t>
      </w:r>
      <w:r w:rsidR="009A0847">
        <w:t xml:space="preserve"> </w:t>
      </w:r>
      <w:r w:rsidRPr="007F0F19">
        <w:t>even</w:t>
      </w:r>
      <w:r w:rsidR="009A0847">
        <w:t xml:space="preserve"> </w:t>
      </w:r>
      <w:r w:rsidRPr="007F0F19">
        <w:t>when</w:t>
      </w:r>
      <w:r w:rsidR="009A0847">
        <w:t xml:space="preserve"> </w:t>
      </w:r>
      <w:r w:rsidRPr="007F0F19">
        <w:t>the</w:t>
      </w:r>
      <w:r w:rsidR="009A0847">
        <w:t xml:space="preserve"> </w:t>
      </w:r>
      <w:r w:rsidRPr="007F0F19">
        <w:t>bank</w:t>
      </w:r>
      <w:r w:rsidR="009A0847">
        <w:t xml:space="preserve"> </w:t>
      </w:r>
      <w:r w:rsidRPr="007F0F19">
        <w:t>is</w:t>
      </w:r>
      <w:r w:rsidR="009A0847">
        <w:t xml:space="preserve"> </w:t>
      </w:r>
      <w:r w:rsidR="008A13CF">
        <w:t>detected</w:t>
      </w:r>
      <w:r w:rsidRPr="007F0F19">
        <w:t>.</w:t>
      </w:r>
      <w:r w:rsidR="009A0847">
        <w:t xml:space="preserve"> </w:t>
      </w:r>
      <w:r w:rsidR="00284F79" w:rsidRPr="007F0F19">
        <w:t>Thus,</w:t>
      </w:r>
      <w:r w:rsidR="009A0847">
        <w:t xml:space="preserve"> </w:t>
      </w:r>
      <w:r w:rsidR="00284F79" w:rsidRPr="007F0F19">
        <w:t>the</w:t>
      </w:r>
      <w:r w:rsidR="009A0847">
        <w:t xml:space="preserve"> </w:t>
      </w:r>
      <w:r w:rsidR="00284F79" w:rsidRPr="007F0F19">
        <w:t>strategy</w:t>
      </w:r>
      <w:r w:rsidR="009A0847">
        <w:t xml:space="preserve"> </w:t>
      </w:r>
      <w:r w:rsidR="00284F79" w:rsidRPr="007F0F19">
        <w:t>profile</w:t>
      </w:r>
      <w:r w:rsidR="009A0847">
        <w:t xml:space="preserve"> </w:t>
      </w:r>
      <m:oMath>
        <m:r>
          <m:rPr>
            <m:sty m:val="bi"/>
          </m:rPr>
          <w:rPr>
            <w:rFonts w:ascii="Cambria Math" w:hAnsi="Cambria Math"/>
            <w:sz w:val="22"/>
            <w:szCs w:val="22"/>
          </w:rPr>
          <m:t>St</m:t>
        </m:r>
      </m:oMath>
      <w:r w:rsidR="009A0847">
        <w:t xml:space="preserve"> </w:t>
      </w:r>
      <w:r w:rsidR="00284F79" w:rsidRPr="007F0F19">
        <w:t>can</w:t>
      </w:r>
      <w:r w:rsidR="009A0847">
        <w:t xml:space="preserve"> </w:t>
      </w:r>
      <w:r w:rsidR="00284F79" w:rsidRPr="007F0F19">
        <w:t>no</w:t>
      </w:r>
      <w:r w:rsidR="009A0847">
        <w:t xml:space="preserve"> </w:t>
      </w:r>
      <w:r w:rsidR="00284F79" w:rsidRPr="007F0F19">
        <w:t>longer</w:t>
      </w:r>
      <w:r w:rsidR="009A0847">
        <w:t xml:space="preserve"> </w:t>
      </w:r>
      <w:r w:rsidR="00284F79" w:rsidRPr="007F0F19">
        <w:t>be</w:t>
      </w:r>
      <w:r w:rsidR="009A0847">
        <w:t xml:space="preserve"> </w:t>
      </w:r>
      <w:r w:rsidR="00284F79" w:rsidRPr="007F0F19">
        <w:t>an</w:t>
      </w:r>
      <w:r w:rsidR="009A0847">
        <w:t xml:space="preserve"> </w:t>
      </w:r>
      <w:r w:rsidR="00284F79" w:rsidRPr="007F0F19">
        <w:t>equilibrium.</w:t>
      </w:r>
    </w:p>
    <w:p w14:paraId="57403995" w14:textId="77777777" w:rsidR="00E5669D" w:rsidRDefault="00315B5A" w:rsidP="00F86E09">
      <w:pPr>
        <w:pStyle w:val="Olivier1"/>
        <w:widowControl w:val="0"/>
        <w:spacing w:line="240" w:lineRule="auto"/>
      </w:pPr>
      <w:r w:rsidRPr="001F145D">
        <w:t>Consider</w:t>
      </w:r>
      <w:r w:rsidR="009A0847">
        <w:t xml:space="preserve"> </w:t>
      </w:r>
      <w:r w:rsidRPr="001F145D">
        <w:t>now</w:t>
      </w:r>
      <w:r w:rsidR="009A0847">
        <w:t xml:space="preserve"> </w:t>
      </w:r>
      <w:r w:rsidRPr="001F145D">
        <w:t>the</w:t>
      </w:r>
      <w:r w:rsidR="009A0847">
        <w:t xml:space="preserve"> </w:t>
      </w:r>
      <w:r w:rsidRPr="001F145D">
        <w:t>case</w:t>
      </w:r>
      <w:r w:rsidR="009A0847">
        <w:t xml:space="preserve"> </w:t>
      </w:r>
      <w:r w:rsidRPr="001F145D">
        <w:t>where</w:t>
      </w:r>
      <w:r w:rsidR="009A0847">
        <w:t xml:space="preserve"> </w:t>
      </w:r>
      <w:r w:rsidRPr="001F145D">
        <w:rPr>
          <w:u w:val="single"/>
        </w:rPr>
        <w:t>every</w:t>
      </w:r>
      <w:r w:rsidR="009A0847">
        <w:rPr>
          <w:u w:val="single"/>
        </w:rPr>
        <w:t xml:space="preserve"> </w:t>
      </w:r>
      <w:r w:rsidR="00CC0774" w:rsidRPr="001F145D">
        <w:rPr>
          <w:u w:val="single"/>
        </w:rPr>
        <w:t>non-selected</w:t>
      </w:r>
      <w:r w:rsidR="009A0847">
        <w:rPr>
          <w:u w:val="single"/>
        </w:rPr>
        <w:t xml:space="preserve"> </w:t>
      </w:r>
      <w:r w:rsidRPr="001F145D">
        <w:rPr>
          <w:u w:val="single"/>
        </w:rPr>
        <w:t>illiquid</w:t>
      </w:r>
      <w:r w:rsidR="009A0847">
        <w:rPr>
          <w:u w:val="single"/>
        </w:rPr>
        <w:t xml:space="preserve"> </w:t>
      </w:r>
      <w:r w:rsidRPr="001F145D">
        <w:rPr>
          <w:u w:val="single"/>
        </w:rPr>
        <w:t>bank</w:t>
      </w:r>
      <w:r w:rsidR="009A0847">
        <w:rPr>
          <w:u w:val="single"/>
        </w:rPr>
        <w:t xml:space="preserve"> </w:t>
      </w:r>
      <w:r w:rsidR="00CC0774" w:rsidRPr="001F145D">
        <w:rPr>
          <w:u w:val="single"/>
        </w:rPr>
        <w:t>voluntarily</w:t>
      </w:r>
      <w:r w:rsidR="009A0847">
        <w:rPr>
          <w:u w:val="single"/>
        </w:rPr>
        <w:t xml:space="preserve"> </w:t>
      </w:r>
      <w:r w:rsidR="00CC0774" w:rsidRPr="001F145D">
        <w:rPr>
          <w:u w:val="single"/>
        </w:rPr>
        <w:t>borrows</w:t>
      </w:r>
      <w:r w:rsidR="009A0847">
        <w:rPr>
          <w:u w:val="single"/>
        </w:rPr>
        <w:t xml:space="preserve"> </w:t>
      </w:r>
      <w:r w:rsidRPr="001F145D">
        <w:rPr>
          <w:u w:val="single"/>
        </w:rPr>
        <w:t>at</w:t>
      </w:r>
      <w:r w:rsidR="009A0847">
        <w:rPr>
          <w:u w:val="single"/>
        </w:rPr>
        <w:t xml:space="preserve"> </w:t>
      </w:r>
      <w:r w:rsidRPr="001F145D">
        <w:rPr>
          <w:u w:val="single"/>
        </w:rPr>
        <w:t>the</w:t>
      </w:r>
      <w:r w:rsidR="009A0847">
        <w:rPr>
          <w:u w:val="single"/>
        </w:rPr>
        <w:t xml:space="preserve"> </w:t>
      </w:r>
      <w:r w:rsidRPr="001F145D">
        <w:rPr>
          <w:u w:val="single"/>
        </w:rPr>
        <w:t>DW</w:t>
      </w:r>
      <w:r w:rsidRPr="001F145D">
        <w:t>.</w:t>
      </w:r>
      <w:r w:rsidR="009A0847">
        <w:t xml:space="preserve"> </w:t>
      </w:r>
      <w:r w:rsidRPr="001F145D">
        <w:t>In</w:t>
      </w:r>
      <w:r w:rsidR="009A0847">
        <w:t xml:space="preserve"> </w:t>
      </w:r>
      <w:r w:rsidRPr="001F145D">
        <w:t>that</w:t>
      </w:r>
      <w:r w:rsidR="009A0847">
        <w:t xml:space="preserve"> </w:t>
      </w:r>
      <w:r w:rsidRPr="001F145D">
        <w:t>case,</w:t>
      </w:r>
      <w:r w:rsidR="009A0847">
        <w:t xml:space="preserve"> </w:t>
      </w:r>
      <w:r w:rsidRPr="001F145D">
        <w:t>an</w:t>
      </w:r>
      <w:r w:rsidR="009A0847">
        <w:t xml:space="preserve"> </w:t>
      </w:r>
      <w:r w:rsidRPr="001F145D">
        <w:t>investor</w:t>
      </w:r>
      <w:r w:rsidR="009A0847">
        <w:t xml:space="preserve"> </w:t>
      </w:r>
      <w:r w:rsidRPr="001F145D">
        <w:t>can</w:t>
      </w:r>
      <w:r w:rsidR="009A0847">
        <w:t xml:space="preserve"> </w:t>
      </w:r>
      <w:r w:rsidRPr="001F145D">
        <w:t>update</w:t>
      </w:r>
      <w:r w:rsidR="009A0847">
        <w:t xml:space="preserve"> </w:t>
      </w:r>
      <w:r w:rsidRPr="001F145D">
        <w:t>its</w:t>
      </w:r>
      <w:r w:rsidR="009A0847">
        <w:t xml:space="preserve"> </w:t>
      </w:r>
      <w:r w:rsidRPr="001F145D">
        <w:t>beliefs</w:t>
      </w:r>
      <w:r w:rsidR="009A0847">
        <w:t xml:space="preserve"> </w:t>
      </w:r>
      <w:r w:rsidRPr="001F145D">
        <w:t>when</w:t>
      </w:r>
      <w:r w:rsidR="009A0847">
        <w:t xml:space="preserve"> </w:t>
      </w:r>
      <w:r w:rsidRPr="001F145D">
        <w:t>it</w:t>
      </w:r>
      <w:r w:rsidR="009A0847">
        <w:t xml:space="preserve"> </w:t>
      </w:r>
      <w:r w:rsidRPr="001F145D">
        <w:t>faces</w:t>
      </w:r>
      <w:r w:rsidR="009A0847">
        <w:t xml:space="preserve"> </w:t>
      </w:r>
      <w:r w:rsidRPr="001F145D">
        <w:t>a</w:t>
      </w:r>
      <w:r w:rsidR="009A0847">
        <w:t xml:space="preserve"> </w:t>
      </w:r>
      <w:r w:rsidR="008A13CF">
        <w:t>detected</w:t>
      </w:r>
      <w:r w:rsidR="009A0847">
        <w:t xml:space="preserve"> </w:t>
      </w:r>
      <w:r w:rsidRPr="001F145D">
        <w:t>bank.</w:t>
      </w:r>
      <w:r w:rsidR="009A0847">
        <w:t xml:space="preserve"> </w:t>
      </w:r>
      <w:r w:rsidRPr="001F145D">
        <w:t>In</w:t>
      </w:r>
      <w:r w:rsidR="009A0847">
        <w:t xml:space="preserve"> </w:t>
      </w:r>
      <w:r w:rsidRPr="001F145D">
        <w:t>particular,</w:t>
      </w:r>
      <w:r w:rsidR="009A0847">
        <w:t xml:space="preserve"> </w:t>
      </w:r>
      <w:r w:rsidRPr="001F145D">
        <w:t>because</w:t>
      </w:r>
      <w:r w:rsidR="009A0847">
        <w:t xml:space="preserve"> </w:t>
      </w:r>
      <w:r w:rsidRPr="001F145D">
        <w:t>all</w:t>
      </w:r>
      <w:r w:rsidR="009A0847">
        <w:t xml:space="preserve"> </w:t>
      </w:r>
      <w:r w:rsidRPr="001F145D">
        <w:t>illiquid</w:t>
      </w:r>
      <w:r w:rsidR="009A0847">
        <w:t xml:space="preserve"> </w:t>
      </w:r>
      <w:r w:rsidRPr="001F145D">
        <w:t>banks</w:t>
      </w:r>
      <w:r w:rsidR="009A0847">
        <w:t xml:space="preserve"> </w:t>
      </w:r>
      <w:r w:rsidRPr="001F145D">
        <w:t>borrow</w:t>
      </w:r>
      <w:r w:rsidR="009A0847">
        <w:t xml:space="preserve"> </w:t>
      </w:r>
      <w:r w:rsidRPr="001F145D">
        <w:t>at</w:t>
      </w:r>
      <w:r w:rsidR="009A0847">
        <w:t xml:space="preserve"> </w:t>
      </w:r>
      <w:r w:rsidRPr="001F145D">
        <w:t>the</w:t>
      </w:r>
      <w:r w:rsidR="009A0847">
        <w:t xml:space="preserve"> </w:t>
      </w:r>
      <w:r w:rsidRPr="001F145D">
        <w:t>DW,</w:t>
      </w:r>
      <w:r w:rsidR="009A0847">
        <w:t xml:space="preserve"> </w:t>
      </w:r>
      <w:r w:rsidRPr="001F145D">
        <w:t>the</w:t>
      </w:r>
      <w:r w:rsidR="009A0847">
        <w:t xml:space="preserve"> </w:t>
      </w:r>
      <w:r w:rsidRPr="001F145D">
        <w:t>probability</w:t>
      </w:r>
      <w:r w:rsidR="009A0847">
        <w:t xml:space="preserve"> </w:t>
      </w:r>
      <w:r w:rsidRPr="001F145D">
        <w:t>that</w:t>
      </w:r>
      <w:r w:rsidR="009A0847">
        <w:t xml:space="preserve"> </w:t>
      </w:r>
      <w:r w:rsidRPr="001F145D">
        <w:t>a</w:t>
      </w:r>
      <w:r w:rsidR="009A0847">
        <w:t xml:space="preserve"> </w:t>
      </w:r>
      <w:r w:rsidRPr="001F145D">
        <w:t>bank</w:t>
      </w:r>
      <w:r w:rsidR="009A0847">
        <w:t xml:space="preserve"> </w:t>
      </w:r>
      <w:r w:rsidRPr="001F145D">
        <w:t>is</w:t>
      </w:r>
      <w:r w:rsidR="009A0847">
        <w:t xml:space="preserve"> </w:t>
      </w:r>
      <w:r w:rsidRPr="001F145D">
        <w:t>solvent</w:t>
      </w:r>
      <w:r w:rsidR="009A0847">
        <w:t xml:space="preserve"> </w:t>
      </w:r>
      <w:r w:rsidRPr="001F145D">
        <w:t>conditional</w:t>
      </w:r>
      <w:r w:rsidR="009A0847">
        <w:t xml:space="preserve"> </w:t>
      </w:r>
      <w:r w:rsidRPr="001F145D">
        <w:t>on</w:t>
      </w:r>
      <w:r w:rsidR="009A0847">
        <w:t xml:space="preserve"> </w:t>
      </w:r>
      <w:r w:rsidRPr="001F145D">
        <w:t>being</w:t>
      </w:r>
      <w:r w:rsidR="009A0847">
        <w:t xml:space="preserve"> </w:t>
      </w:r>
      <w:r w:rsidR="008A13CF">
        <w:t>detected</w:t>
      </w:r>
      <w:r w:rsidR="009A0847">
        <w:t xml:space="preserve"> </w:t>
      </w:r>
      <w:r w:rsidRPr="001F145D">
        <w:t>is</w:t>
      </w:r>
      <w:r w:rsidR="009A0847">
        <w:t xml:space="preserve"> </w:t>
      </w:r>
      <m:oMath>
        <m:bar>
          <m:barPr>
            <m:ctrlPr>
              <w:rPr>
                <w:rFonts w:ascii="Cambria Math" w:hAnsi="Cambria Math"/>
                <w:i/>
                <w:sz w:val="22"/>
                <w:szCs w:val="22"/>
              </w:rPr>
            </m:ctrlPr>
          </m:barPr>
          <m:e>
            <m:r>
              <m:rPr>
                <m:scr m:val="script"/>
              </m:rPr>
              <w:rPr>
                <w:rFonts w:ascii="Cambria Math" w:hAnsi="Cambria Math"/>
                <w:sz w:val="22"/>
                <w:szCs w:val="22"/>
              </w:rPr>
              <m:t>P</m:t>
            </m:r>
          </m:e>
        </m:bar>
        <m:r>
          <w:rPr>
            <w:rFonts w:ascii="Cambria Math" w:hAnsi="Cambria Math"/>
            <w:sz w:val="22"/>
            <w:szCs w:val="22"/>
          </w:rPr>
          <m:t>=αp+(1-α)</m:t>
        </m:r>
        <m:bar>
          <m:barPr>
            <m:ctrlPr>
              <w:rPr>
                <w:rFonts w:ascii="Cambria Math" w:hAnsi="Cambria Math"/>
                <w:i/>
                <w:sz w:val="22"/>
                <w:szCs w:val="22"/>
              </w:rPr>
            </m:ctrlPr>
          </m:barPr>
          <m:e>
            <m:r>
              <w:rPr>
                <w:rFonts w:ascii="Cambria Math" w:hAnsi="Cambria Math"/>
                <w:sz w:val="22"/>
                <w:szCs w:val="22"/>
              </w:rPr>
              <m:t>P</m:t>
            </m:r>
          </m:e>
        </m:bar>
      </m:oMath>
      <w:r w:rsidR="009A0847">
        <w:t xml:space="preserve"> </w:t>
      </w:r>
      <w:r w:rsidR="00284F79" w:rsidRPr="001F145D">
        <w:t>where</w:t>
      </w:r>
      <w:r w:rsidR="009A0847">
        <w:t xml:space="preserve"> </w:t>
      </w:r>
      <m:oMath>
        <m:r>
          <w:rPr>
            <w:rFonts w:ascii="Cambria Math" w:hAnsi="Cambria Math"/>
            <w:sz w:val="22"/>
            <w:szCs w:val="22"/>
          </w:rPr>
          <m:t xml:space="preserve">p </m:t>
        </m:r>
      </m:oMath>
      <w:r w:rsidR="006D3658" w:rsidRPr="001F145D">
        <w:t>is</w:t>
      </w:r>
      <w:r w:rsidR="009A0847">
        <w:t xml:space="preserve"> </w:t>
      </w:r>
      <w:r w:rsidR="006D3658" w:rsidRPr="001F145D">
        <w:t>the</w:t>
      </w:r>
      <w:r w:rsidR="009A0847">
        <w:t xml:space="preserve"> </w:t>
      </w:r>
      <w:r w:rsidR="006D3658" w:rsidRPr="001F145D">
        <w:t>unconditional</w:t>
      </w:r>
      <w:r w:rsidR="009A0847">
        <w:t xml:space="preserve"> </w:t>
      </w:r>
      <w:r w:rsidR="006D3658" w:rsidRPr="001F145D">
        <w:t>probability</w:t>
      </w:r>
      <w:r w:rsidR="009A0847">
        <w:t xml:space="preserve"> </w:t>
      </w:r>
      <w:r w:rsidR="006D3658" w:rsidRPr="001F145D">
        <w:t>that</w:t>
      </w:r>
      <w:r w:rsidR="009A0847">
        <w:t xml:space="preserve"> </w:t>
      </w:r>
      <w:r w:rsidR="006D3658" w:rsidRPr="001F145D">
        <w:t>a</w:t>
      </w:r>
      <w:r w:rsidR="009A0847">
        <w:t xml:space="preserve"> </w:t>
      </w:r>
      <w:r w:rsidR="006D3658" w:rsidRPr="001F145D">
        <w:t>bank</w:t>
      </w:r>
      <w:r w:rsidR="009A0847">
        <w:t xml:space="preserve"> </w:t>
      </w:r>
      <w:r w:rsidR="006D3658" w:rsidRPr="001F145D">
        <w:t>is</w:t>
      </w:r>
      <w:r w:rsidR="009A0847">
        <w:t xml:space="preserve"> </w:t>
      </w:r>
      <w:r w:rsidR="006D3658" w:rsidRPr="001F145D">
        <w:t>solvent</w:t>
      </w:r>
      <w:r w:rsidR="009A0847">
        <w:t xml:space="preserve"> </w:t>
      </w:r>
      <w:r w:rsidR="006D3658" w:rsidRPr="001F145D">
        <w:t>and</w:t>
      </w:r>
      <w:r w:rsidR="009A0847">
        <w:t xml:space="preserve"> </w:t>
      </w:r>
      <m:oMath>
        <m:bar>
          <m:barPr>
            <m:ctrlPr>
              <w:rPr>
                <w:rFonts w:ascii="Cambria Math" w:hAnsi="Cambria Math"/>
                <w:i/>
                <w:sz w:val="22"/>
                <w:szCs w:val="22"/>
              </w:rPr>
            </m:ctrlPr>
          </m:barPr>
          <m:e>
            <m:r>
              <w:rPr>
                <w:rFonts w:ascii="Cambria Math" w:hAnsi="Cambria Math"/>
                <w:sz w:val="22"/>
                <w:szCs w:val="22"/>
              </w:rPr>
              <m:t>P</m:t>
            </m:r>
          </m:e>
        </m:bar>
        <m:r>
          <w:rPr>
            <w:rFonts w:ascii="Cambria Math" w:hAnsi="Cambria Math"/>
            <w:sz w:val="22"/>
            <w:szCs w:val="22"/>
          </w:rPr>
          <m:t>=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2"/>
                    <w:szCs w:val="22"/>
                  </w:rPr>
                  <m:t>S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L</m:t>
                    </m:r>
                  </m:e>
                </m:acc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S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L</m:t>
                        </m:r>
                      </m:e>
                    </m:acc>
                  </m:sub>
                </m:sSub>
                <m:r>
                  <w:rPr>
                    <w:rFonts w:ascii="Cambria Math" w:hAnsi="Cambria Math"/>
                    <w:sz w:val="22"/>
                    <w:szCs w:val="22"/>
                  </w:rPr>
                  <m:t>+P</m:t>
                </m:r>
              </m:e>
              <m:sub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S</m:t>
                    </m:r>
                  </m:e>
                </m:acc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L</m:t>
                    </m:r>
                  </m:e>
                </m:acc>
              </m:sub>
            </m:sSub>
          </m:den>
        </m:f>
      </m:oMath>
      <w:r w:rsidR="009A0847">
        <w:t xml:space="preserve"> </w:t>
      </w:r>
      <w:r w:rsidR="00284F79" w:rsidRPr="001F145D">
        <w:t>is</w:t>
      </w:r>
      <w:r w:rsidR="009A0847">
        <w:t xml:space="preserve"> </w:t>
      </w:r>
      <w:r w:rsidR="00284F79" w:rsidRPr="001F145D">
        <w:t>the</w:t>
      </w:r>
      <w:r w:rsidR="009A0847">
        <w:t xml:space="preserve"> </w:t>
      </w:r>
      <w:r w:rsidR="00284F79" w:rsidRPr="001F145D">
        <w:t>probability</w:t>
      </w:r>
      <w:r w:rsidR="009A0847">
        <w:t xml:space="preserve"> </w:t>
      </w:r>
      <w:r w:rsidR="00284F79" w:rsidRPr="001F145D">
        <w:t>that</w:t>
      </w:r>
      <w:r w:rsidR="009A0847">
        <w:t xml:space="preserve"> </w:t>
      </w:r>
      <w:r w:rsidR="00284F79" w:rsidRPr="001F145D">
        <w:t>a</w:t>
      </w:r>
      <w:r w:rsidR="009A0847">
        <w:t xml:space="preserve"> </w:t>
      </w:r>
      <w:r w:rsidR="00284F79" w:rsidRPr="001F145D">
        <w:t>bank</w:t>
      </w:r>
      <w:r w:rsidR="009A0847">
        <w:t xml:space="preserve"> </w:t>
      </w:r>
      <w:r w:rsidR="00284F79" w:rsidRPr="001F145D">
        <w:t>is</w:t>
      </w:r>
      <w:r w:rsidR="009A0847">
        <w:t xml:space="preserve"> </w:t>
      </w:r>
      <w:r w:rsidR="00284F79" w:rsidRPr="001F145D">
        <w:t>solvent</w:t>
      </w:r>
      <w:r w:rsidR="009A0847">
        <w:t xml:space="preserve"> </w:t>
      </w:r>
      <w:r w:rsidR="00284F79" w:rsidRPr="001F145D">
        <w:t>conditional</w:t>
      </w:r>
      <w:r w:rsidR="009A0847">
        <w:t xml:space="preserve"> </w:t>
      </w:r>
      <w:r w:rsidR="00284F79" w:rsidRPr="001F145D">
        <w:t>on</w:t>
      </w:r>
      <w:r w:rsidR="009A0847">
        <w:t xml:space="preserve"> </w:t>
      </w:r>
      <w:r w:rsidR="00284F79" w:rsidRPr="001F145D">
        <w:t>being</w:t>
      </w:r>
      <w:r w:rsidR="009A0847">
        <w:t xml:space="preserve"> </w:t>
      </w:r>
      <w:r w:rsidR="00284F79" w:rsidRPr="001F145D">
        <w:t>illiquid</w:t>
      </w:r>
      <w:r w:rsidRPr="001F145D">
        <w:t>.</w:t>
      </w:r>
      <w:r w:rsidR="009A0847">
        <w:t xml:space="preserve"> </w:t>
      </w:r>
      <w:r w:rsidR="00284F79" w:rsidRPr="001F145D">
        <w:t>Observe</w:t>
      </w:r>
      <w:r w:rsidR="009A0847">
        <w:t xml:space="preserve"> </w:t>
      </w:r>
      <w:r w:rsidR="00284F79" w:rsidRPr="001F145D">
        <w:t>that</w:t>
      </w:r>
      <w:r w:rsidR="009A0847">
        <w:t xml:space="preserve"> </w:t>
      </w:r>
      <m:oMath>
        <m:bar>
          <m:barPr>
            <m:ctrlPr>
              <w:rPr>
                <w:rFonts w:ascii="Cambria Math" w:hAnsi="Cambria Math"/>
                <w:i/>
                <w:sz w:val="22"/>
                <w:szCs w:val="22"/>
              </w:rPr>
            </m:ctrlPr>
          </m:barPr>
          <m:e>
            <m:r>
              <w:rPr>
                <w:rFonts w:ascii="Cambria Math" w:hAnsi="Cambria Math"/>
                <w:sz w:val="22"/>
                <w:szCs w:val="22"/>
              </w:rPr>
              <m:t>P</m:t>
            </m:r>
          </m:e>
        </m:bar>
        <m:r>
          <w:rPr>
            <w:rFonts w:ascii="Cambria Math" w:hAnsi="Cambria Math"/>
            <w:sz w:val="22"/>
            <w:szCs w:val="22"/>
          </w:rPr>
          <m:t>&lt;</m:t>
        </m:r>
        <m:bar>
          <m:barPr>
            <m:ctrlPr>
              <w:rPr>
                <w:rFonts w:ascii="Cambria Math" w:hAnsi="Cambria Math"/>
                <w:i/>
                <w:sz w:val="22"/>
                <w:szCs w:val="22"/>
              </w:rPr>
            </m:ctrlPr>
          </m:barPr>
          <m:e>
            <m:r>
              <m:rPr>
                <m:scr m:val="script"/>
              </m:rPr>
              <w:rPr>
                <w:rFonts w:ascii="Cambria Math" w:hAnsi="Cambria Math"/>
                <w:sz w:val="22"/>
                <w:szCs w:val="22"/>
              </w:rPr>
              <m:t>P</m:t>
            </m:r>
          </m:e>
        </m:bar>
        <m:r>
          <w:rPr>
            <w:rFonts w:ascii="Cambria Math" w:hAnsi="Cambria Math"/>
            <w:sz w:val="22"/>
            <w:szCs w:val="22"/>
          </w:rPr>
          <m:t>&lt;p</m:t>
        </m:r>
      </m:oMath>
      <w:r w:rsidR="006D3658" w:rsidRPr="001F145D">
        <w:t>.</w:t>
      </w:r>
    </w:p>
    <w:p w14:paraId="289E6EB7" w14:textId="22B06579" w:rsidR="00315B5A" w:rsidRPr="001F145D" w:rsidRDefault="00A568FB" w:rsidP="00F86E09">
      <w:pPr>
        <w:pStyle w:val="Olivier1"/>
        <w:widowControl w:val="0"/>
        <w:spacing w:line="240" w:lineRule="auto"/>
        <w:rPr>
          <w:i/>
        </w:rPr>
      </w:pPr>
      <w:r w:rsidRPr="001F145D">
        <w:rPr>
          <w:u w:val="single"/>
        </w:rPr>
        <w:t>We</w:t>
      </w:r>
      <w:r w:rsidR="009A0847">
        <w:rPr>
          <w:u w:val="single"/>
        </w:rPr>
        <w:t xml:space="preserve"> </w:t>
      </w:r>
      <w:r w:rsidRPr="001F145D">
        <w:rPr>
          <w:u w:val="single"/>
        </w:rPr>
        <w:t>now</w:t>
      </w:r>
      <w:r w:rsidR="009A0847">
        <w:rPr>
          <w:u w:val="single"/>
        </w:rPr>
        <w:t xml:space="preserve"> </w:t>
      </w:r>
      <w:r w:rsidRPr="001F145D">
        <w:rPr>
          <w:u w:val="single"/>
        </w:rPr>
        <w:t>assume</w:t>
      </w:r>
      <w:r w:rsidR="009A0847">
        <w:rPr>
          <w:u w:val="single"/>
        </w:rPr>
        <w:t xml:space="preserve"> </w:t>
      </w:r>
      <w:r w:rsidRPr="001F145D">
        <w:rPr>
          <w:u w:val="single"/>
        </w:rPr>
        <w:t>that</w:t>
      </w:r>
      <w:r w:rsidR="009A0847">
        <w:rPr>
          <w:u w:val="single"/>
        </w:rPr>
        <w:t xml:space="preserve"> </w:t>
      </w:r>
      <m:oMath>
        <m:r>
          <w:rPr>
            <w:rFonts w:ascii="Cambria Math" w:hAnsi="Cambria Math"/>
            <w:sz w:val="22"/>
            <w:szCs w:val="22"/>
            <w:u w:val="single"/>
          </w:rPr>
          <m:t>α&lt;</m:t>
        </m:r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α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0</m:t>
            </m:r>
          </m:sub>
        </m:sSub>
      </m:oMath>
      <w:r w:rsidR="007F0F19" w:rsidRPr="001F145D">
        <w:t>.</w:t>
      </w:r>
      <w:r w:rsidR="009A0847">
        <w:t xml:space="preserve"> </w:t>
      </w:r>
      <w:r w:rsidRPr="001F145D">
        <w:t>In</w:t>
      </w:r>
      <w:r w:rsidR="009A0847">
        <w:t xml:space="preserve"> </w:t>
      </w:r>
      <w:r w:rsidRPr="001F145D">
        <w:t>that</w:t>
      </w:r>
      <w:r w:rsidR="009A0847">
        <w:t xml:space="preserve"> </w:t>
      </w:r>
      <w:r w:rsidRPr="001F145D">
        <w:t>case,</w:t>
      </w:r>
      <w:r w:rsidR="009A0847">
        <w:t xml:space="preserve"> </w:t>
      </w:r>
      <m:oMath>
        <m:bar>
          <m:barPr>
            <m:ctrlPr>
              <w:rPr>
                <w:rFonts w:ascii="Cambria Math" w:hAnsi="Cambria Math"/>
                <w:i/>
                <w:sz w:val="22"/>
                <w:szCs w:val="22"/>
              </w:rPr>
            </m:ctrlPr>
          </m:barPr>
          <m:e>
            <m:r>
              <m:rPr>
                <m:scr m:val="script"/>
              </m:rPr>
              <w:rPr>
                <w:rFonts w:ascii="Cambria Math" w:hAnsi="Cambria Math"/>
                <w:sz w:val="22"/>
                <w:szCs w:val="22"/>
              </w:rPr>
              <m:t>P</m:t>
            </m:r>
          </m:e>
        </m:bar>
        <m:r>
          <m:rPr>
            <m:sty m:val="p"/>
          </m:rPr>
          <w:rPr>
            <w:rFonts w:ascii="Cambria Math" w:hAnsi="Cambria Math"/>
            <w:sz w:val="22"/>
            <w:szCs w:val="22"/>
          </w:rPr>
          <m:t>V&lt;</m:t>
        </m:r>
        <m:r>
          <w:rPr>
            <w:rFonts w:ascii="Cambria Math" w:hAnsi="Cambria Math"/>
            <w:sz w:val="22"/>
            <w:szCs w:val="22"/>
          </w:rPr>
          <m:t>v</m:t>
        </m:r>
      </m:oMath>
      <w:r w:rsidR="009A0847">
        <w:t xml:space="preserve"> </w:t>
      </w:r>
      <w:r w:rsidR="007F0F19" w:rsidRPr="001F145D">
        <w:t>and</w:t>
      </w:r>
      <w:r w:rsidR="009A0847">
        <w:t xml:space="preserve"> </w:t>
      </w:r>
      <w:r w:rsidR="00315B5A" w:rsidRPr="001F145D">
        <w:t>an</w:t>
      </w:r>
      <w:r w:rsidR="009A0847">
        <w:t xml:space="preserve"> </w:t>
      </w:r>
      <w:r w:rsidR="00315B5A" w:rsidRPr="001F145D">
        <w:t>investor</w:t>
      </w:r>
      <w:r w:rsidR="009A0847">
        <w:t xml:space="preserve"> </w:t>
      </w:r>
      <w:r w:rsidRPr="001F145D">
        <w:t>has</w:t>
      </w:r>
      <w:r w:rsidR="009A0847">
        <w:t xml:space="preserve"> </w:t>
      </w:r>
      <w:r w:rsidRPr="001F145D">
        <w:t>no</w:t>
      </w:r>
      <w:r w:rsidR="009A0847">
        <w:t xml:space="preserve"> </w:t>
      </w:r>
      <w:r w:rsidRPr="001F145D">
        <w:t>incentives</w:t>
      </w:r>
      <w:r w:rsidR="009A0847">
        <w:t xml:space="preserve"> </w:t>
      </w:r>
      <w:r w:rsidRPr="001F145D">
        <w:t>to</w:t>
      </w:r>
      <w:r w:rsidR="009A0847">
        <w:t xml:space="preserve"> </w:t>
      </w:r>
      <w:r w:rsidR="00315B5A" w:rsidRPr="001F145D">
        <w:t>fund</w:t>
      </w:r>
      <w:r w:rsidR="009A0847">
        <w:t xml:space="preserve"> </w:t>
      </w:r>
      <w:r w:rsidR="00315B5A" w:rsidRPr="001F145D">
        <w:t>a</w:t>
      </w:r>
      <w:r w:rsidR="009A0847">
        <w:t xml:space="preserve"> </w:t>
      </w:r>
      <w:r w:rsidR="007F0F19" w:rsidRPr="001F145D">
        <w:t>detected</w:t>
      </w:r>
      <w:r w:rsidR="009A0847">
        <w:t xml:space="preserve"> </w:t>
      </w:r>
      <w:r w:rsidR="00315B5A" w:rsidRPr="001F145D">
        <w:t>bank.</w:t>
      </w:r>
      <w:r w:rsidR="009A0847">
        <w:t xml:space="preserve"> </w:t>
      </w:r>
      <w:r w:rsidR="00315B5A" w:rsidRPr="001F145D">
        <w:t>In</w:t>
      </w:r>
      <w:r w:rsidR="009A0847">
        <w:t xml:space="preserve"> </w:t>
      </w:r>
      <w:r w:rsidR="00315B5A" w:rsidRPr="001F145D">
        <w:t>contrast</w:t>
      </w:r>
      <w:r w:rsidR="00DB3512" w:rsidRPr="001F145D">
        <w:t>,</w:t>
      </w:r>
      <w:r w:rsidR="009A0847">
        <w:t xml:space="preserve"> </w:t>
      </w:r>
      <w:r w:rsidR="00315B5A" w:rsidRPr="001F145D">
        <w:t>an</w:t>
      </w:r>
      <w:r w:rsidR="009A0847">
        <w:t xml:space="preserve"> </w:t>
      </w:r>
      <w:r w:rsidR="00315B5A" w:rsidRPr="001F145D">
        <w:t>investor</w:t>
      </w:r>
      <w:r w:rsidR="009A0847">
        <w:t xml:space="preserve"> </w:t>
      </w:r>
      <w:r w:rsidR="00315B5A" w:rsidRPr="001F145D">
        <w:t>funds</w:t>
      </w:r>
      <w:r w:rsidR="009A0847">
        <w:t xml:space="preserve"> </w:t>
      </w:r>
      <w:r w:rsidR="00315B5A" w:rsidRPr="001F145D">
        <w:t>a</w:t>
      </w:r>
      <w:r w:rsidR="009A0847">
        <w:t xml:space="preserve"> </w:t>
      </w:r>
      <w:r w:rsidR="00315B5A" w:rsidRPr="001F145D">
        <w:t>bank</w:t>
      </w:r>
      <w:r w:rsidR="009A0847">
        <w:t xml:space="preserve"> </w:t>
      </w:r>
      <w:r w:rsidR="00315B5A" w:rsidRPr="001F145D">
        <w:t>not</w:t>
      </w:r>
      <w:r w:rsidR="009A0847">
        <w:t xml:space="preserve"> </w:t>
      </w:r>
      <w:r w:rsidR="00315B5A" w:rsidRPr="001F145D">
        <w:t>seen</w:t>
      </w:r>
      <w:r w:rsidR="009A0847">
        <w:t xml:space="preserve"> </w:t>
      </w:r>
      <w:r w:rsidR="00315B5A" w:rsidRPr="001F145D">
        <w:t>borrowing</w:t>
      </w:r>
      <w:r w:rsidR="009A0847">
        <w:t xml:space="preserve"> </w:t>
      </w:r>
      <w:r w:rsidR="00315B5A" w:rsidRPr="001F145D">
        <w:t>at</w:t>
      </w:r>
      <w:r w:rsidR="009A0847">
        <w:t xml:space="preserve"> </w:t>
      </w:r>
      <w:r w:rsidR="00315B5A" w:rsidRPr="001F145D">
        <w:t>the</w:t>
      </w:r>
      <w:r w:rsidR="009A0847">
        <w:t xml:space="preserve"> </w:t>
      </w:r>
      <w:r w:rsidR="00315B5A" w:rsidRPr="001F145D">
        <w:t>DW.</w:t>
      </w:r>
      <w:r w:rsidR="009A0847">
        <w:t xml:space="preserve"> </w:t>
      </w:r>
      <w:r w:rsidR="00315B5A" w:rsidRPr="001F145D">
        <w:t>Indeed,</w:t>
      </w:r>
      <w:r w:rsidR="009A0847">
        <w:t xml:space="preserve"> </w:t>
      </w:r>
      <w:r w:rsidR="00315B5A" w:rsidRPr="001F145D">
        <w:t>because</w:t>
      </w:r>
      <w:r w:rsidR="009A0847">
        <w:t xml:space="preserve"> </w:t>
      </w:r>
      <w:r w:rsidR="00315B5A" w:rsidRPr="001F145D">
        <w:t>all</w:t>
      </w:r>
      <w:r w:rsidR="009A0847">
        <w:t xml:space="preserve"> </w:t>
      </w:r>
      <w:r w:rsidR="00315B5A" w:rsidRPr="001F145D">
        <w:t>insolvent</w:t>
      </w:r>
      <w:r w:rsidR="009A0847">
        <w:t xml:space="preserve"> </w:t>
      </w:r>
      <w:r w:rsidR="00315B5A" w:rsidRPr="001F145D">
        <w:t>banks</w:t>
      </w:r>
      <w:r w:rsidR="009A0847">
        <w:t xml:space="preserve"> </w:t>
      </w:r>
      <w:r w:rsidR="00315B5A" w:rsidRPr="001F145D">
        <w:t>are</w:t>
      </w:r>
      <w:r w:rsidR="009A0847">
        <w:t xml:space="preserve"> </w:t>
      </w:r>
      <w:r w:rsidR="00315B5A" w:rsidRPr="001F145D">
        <w:t>illiquid</w:t>
      </w:r>
      <w:r w:rsidR="009A0847">
        <w:t xml:space="preserve"> </w:t>
      </w:r>
      <w:r w:rsidR="00315B5A" w:rsidRPr="001F145D">
        <w:t>and</w:t>
      </w:r>
      <w:r w:rsidR="009A0847">
        <w:t xml:space="preserve"> </w:t>
      </w:r>
      <w:r w:rsidR="00315B5A" w:rsidRPr="001F145D">
        <w:t>borrow</w:t>
      </w:r>
      <w:r w:rsidR="009A0847">
        <w:t xml:space="preserve"> </w:t>
      </w:r>
      <w:r w:rsidR="00315B5A" w:rsidRPr="001F145D">
        <w:t>at</w:t>
      </w:r>
      <w:r w:rsidR="009A0847">
        <w:t xml:space="preserve"> </w:t>
      </w:r>
      <w:r w:rsidR="00315B5A" w:rsidRPr="001F145D">
        <w:t>the</w:t>
      </w:r>
      <w:r w:rsidR="009A0847">
        <w:t xml:space="preserve"> </w:t>
      </w:r>
      <w:r w:rsidR="00315B5A" w:rsidRPr="001F145D">
        <w:t>DW,</w:t>
      </w:r>
      <w:r w:rsidR="009A0847">
        <w:t xml:space="preserve"> </w:t>
      </w:r>
      <w:r w:rsidR="00315B5A" w:rsidRPr="001F145D">
        <w:t>the</w:t>
      </w:r>
      <w:r w:rsidR="009A0847">
        <w:t xml:space="preserve"> </w:t>
      </w:r>
      <w:r w:rsidR="00315B5A" w:rsidRPr="001F145D">
        <w:t>probability</w:t>
      </w:r>
      <w:r w:rsidR="009A0847"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  <w:sz w:val="22"/>
                <w:szCs w:val="22"/>
              </w:rPr>
            </m:ctrlPr>
          </m:accPr>
          <m:e>
            <m:r>
              <m:rPr>
                <m:scr m:val="script"/>
              </m:rPr>
              <w:rPr>
                <w:rFonts w:ascii="Cambria Math" w:hAnsi="Cambria Math"/>
                <w:sz w:val="22"/>
                <w:szCs w:val="22"/>
              </w:rPr>
              <m:t>P</m:t>
            </m:r>
          </m:e>
        </m:acc>
      </m:oMath>
      <w:r w:rsidR="009A0847">
        <w:t xml:space="preserve"> </w:t>
      </w:r>
      <w:r w:rsidR="00315B5A" w:rsidRPr="001F145D">
        <w:t>that</w:t>
      </w:r>
      <w:r w:rsidR="009A0847">
        <w:t xml:space="preserve"> </w:t>
      </w:r>
      <w:r w:rsidR="00315B5A" w:rsidRPr="001F145D">
        <w:t>a</w:t>
      </w:r>
      <w:r w:rsidR="009A0847">
        <w:t xml:space="preserve"> </w:t>
      </w:r>
      <w:r w:rsidR="00315B5A" w:rsidRPr="001F145D">
        <w:t>bank</w:t>
      </w:r>
      <w:r w:rsidR="009A0847">
        <w:t xml:space="preserve"> </w:t>
      </w:r>
      <w:r w:rsidR="00315B5A" w:rsidRPr="001F145D">
        <w:t>is</w:t>
      </w:r>
      <w:r w:rsidR="009A0847">
        <w:t xml:space="preserve"> </w:t>
      </w:r>
      <w:r w:rsidR="00315B5A" w:rsidRPr="001F145D">
        <w:t>solvent</w:t>
      </w:r>
      <w:r w:rsidR="009A0847">
        <w:t xml:space="preserve"> </w:t>
      </w:r>
      <w:r w:rsidR="00315B5A" w:rsidRPr="001F145D">
        <w:t>conditional</w:t>
      </w:r>
      <w:r w:rsidR="009A0847">
        <w:t xml:space="preserve"> </w:t>
      </w:r>
      <w:r w:rsidR="00315B5A" w:rsidRPr="001F145D">
        <w:t>on</w:t>
      </w:r>
      <w:r w:rsidR="009A0847">
        <w:t xml:space="preserve"> </w:t>
      </w:r>
      <w:r w:rsidR="008A13CF">
        <w:rPr>
          <w:u w:val="single"/>
        </w:rPr>
        <w:t>not</w:t>
      </w:r>
      <w:r w:rsidR="009A0847">
        <w:rPr>
          <w:u w:val="single"/>
        </w:rPr>
        <w:t xml:space="preserve"> </w:t>
      </w:r>
      <w:r w:rsidR="00315B5A" w:rsidRPr="001F145D">
        <w:t>being</w:t>
      </w:r>
      <w:r w:rsidR="009A0847">
        <w:t xml:space="preserve"> </w:t>
      </w:r>
      <w:r w:rsidR="008A13CF">
        <w:t>detected</w:t>
      </w:r>
      <w:r w:rsidR="009A0847">
        <w:t xml:space="preserve"> </w:t>
      </w:r>
      <w:r w:rsidR="00315B5A" w:rsidRPr="001F145D">
        <w:t>is</w:t>
      </w:r>
      <w:r w:rsidR="009A0847">
        <w:t xml:space="preserve"> </w:t>
      </w:r>
      <w:r w:rsidR="00315B5A" w:rsidRPr="001F145D">
        <w:t>higher</w:t>
      </w:r>
      <w:r w:rsidR="009A0847">
        <w:t xml:space="preserve"> </w:t>
      </w:r>
      <w:r w:rsidR="00315B5A" w:rsidRPr="001F145D">
        <w:t>than</w:t>
      </w:r>
      <w:r w:rsidR="009A0847">
        <w:t xml:space="preserve"> </w:t>
      </w:r>
      <w:r w:rsidR="00315B5A" w:rsidRPr="001F145D">
        <w:t>the</w:t>
      </w:r>
      <w:r w:rsidR="009A0847">
        <w:t xml:space="preserve"> </w:t>
      </w:r>
      <w:r w:rsidR="00315B5A" w:rsidRPr="001F145D">
        <w:t>unconditional</w:t>
      </w:r>
      <w:r w:rsidR="009A0847">
        <w:t xml:space="preserve"> </w:t>
      </w:r>
      <w:r w:rsidR="00315B5A" w:rsidRPr="001F145D">
        <w:t>probability</w:t>
      </w:r>
      <w:r w:rsidR="009A0847">
        <w:t xml:space="preserve"> </w:t>
      </w:r>
      <m:oMath>
        <m:r>
          <w:rPr>
            <w:rFonts w:ascii="Cambria Math" w:hAnsi="Cambria Math"/>
          </w:rPr>
          <m:t>p</m:t>
        </m:r>
      </m:oMath>
      <w:r w:rsidR="00315B5A" w:rsidRPr="001F145D">
        <w:t>.</w:t>
      </w:r>
      <w:r w:rsidR="009A0847">
        <w:t xml:space="preserve"> </w:t>
      </w:r>
      <w:r w:rsidR="00315B5A" w:rsidRPr="001F145D">
        <w:t>Under</w:t>
      </w:r>
      <w:r w:rsidR="009A0847">
        <w:t xml:space="preserve"> </w:t>
      </w:r>
      <w:r w:rsidR="00315B5A" w:rsidRPr="001F145D">
        <w:rPr>
          <w:i/>
        </w:rPr>
        <w:t>R2</w:t>
      </w:r>
      <w:r w:rsidR="00315B5A" w:rsidRPr="001F145D">
        <w:t>,</w:t>
      </w:r>
      <w:r w:rsidR="009A0847">
        <w:t xml:space="preserve"> </w:t>
      </w:r>
      <m:oMath>
        <m:r>
          <w:rPr>
            <w:rFonts w:ascii="Cambria Math" w:hAnsi="Cambria Math"/>
            <w:sz w:val="22"/>
            <w:szCs w:val="22"/>
          </w:rPr>
          <m:t>v&lt;pV&lt;</m:t>
        </m:r>
        <m:acc>
          <m:accPr>
            <m:chr m:val="̅"/>
            <m:ctrlPr>
              <w:rPr>
                <w:rFonts w:ascii="Cambria Math" w:hAnsi="Cambria Math"/>
                <w:i/>
                <w:sz w:val="22"/>
                <w:szCs w:val="22"/>
              </w:rPr>
            </m:ctrlPr>
          </m:accPr>
          <m:e>
            <m:r>
              <m:rPr>
                <m:scr m:val="script"/>
              </m:rPr>
              <w:rPr>
                <w:rFonts w:ascii="Cambria Math" w:hAnsi="Cambria Math"/>
                <w:sz w:val="22"/>
                <w:szCs w:val="22"/>
              </w:rPr>
              <m:t>P</m:t>
            </m:r>
          </m:e>
        </m:acc>
        <m:r>
          <w:rPr>
            <w:rFonts w:ascii="Cambria Math" w:hAnsi="Cambria Math"/>
            <w:sz w:val="22"/>
            <w:szCs w:val="22"/>
          </w:rPr>
          <m:t>V</m:t>
        </m:r>
      </m:oMath>
      <w:r w:rsidR="00315B5A" w:rsidRPr="001F145D">
        <w:t>,</w:t>
      </w:r>
      <w:r w:rsidR="009A0847">
        <w:t xml:space="preserve"> </w:t>
      </w:r>
      <w:r w:rsidR="00315B5A" w:rsidRPr="001F145D">
        <w:t>so</w:t>
      </w:r>
      <w:r w:rsidR="009A0847">
        <w:t xml:space="preserve"> </w:t>
      </w:r>
      <w:r w:rsidR="00315B5A" w:rsidRPr="001F145D">
        <w:t>an</w:t>
      </w:r>
      <w:r w:rsidR="009A0847">
        <w:t xml:space="preserve"> </w:t>
      </w:r>
      <w:r w:rsidR="00315B5A" w:rsidRPr="001F145D">
        <w:t>investor</w:t>
      </w:r>
      <w:r w:rsidR="009A0847">
        <w:t xml:space="preserve"> </w:t>
      </w:r>
      <w:r w:rsidR="00315B5A" w:rsidRPr="001F145D">
        <w:t>funds</w:t>
      </w:r>
      <w:r w:rsidR="009A0847">
        <w:t xml:space="preserve"> </w:t>
      </w:r>
      <w:r w:rsidR="00315B5A" w:rsidRPr="001F145D">
        <w:t>a</w:t>
      </w:r>
      <w:r w:rsidR="009A0847">
        <w:t xml:space="preserve"> </w:t>
      </w:r>
      <w:r w:rsidR="007F0F19" w:rsidRPr="001F145D">
        <w:t>non-detected</w:t>
      </w:r>
      <w:r w:rsidR="009A0847">
        <w:t xml:space="preserve"> </w:t>
      </w:r>
      <w:r w:rsidR="00315B5A" w:rsidRPr="001F145D">
        <w:t>ban.</w:t>
      </w:r>
      <w:r w:rsidR="009A0847">
        <w:t xml:space="preserve"> </w:t>
      </w:r>
      <w:r w:rsidR="00315B5A" w:rsidRPr="001F145D">
        <w:t>The</w:t>
      </w:r>
      <w:r w:rsidR="009A0847">
        <w:t xml:space="preserve"> </w:t>
      </w:r>
      <w:r w:rsidR="00315B5A" w:rsidRPr="001F145D">
        <w:t>expected</w:t>
      </w:r>
      <w:r w:rsidR="009A0847">
        <w:t xml:space="preserve"> </w:t>
      </w:r>
      <w:r w:rsidR="00315B5A" w:rsidRPr="001F145D">
        <w:t>profit</w:t>
      </w:r>
      <w:r w:rsidR="009A0847">
        <w:t xml:space="preserve"> </w:t>
      </w:r>
      <w:r w:rsidR="00315B5A" w:rsidRPr="001F145D">
        <w:t>of</w:t>
      </w:r>
      <w:r w:rsidR="009A0847">
        <w:t xml:space="preserve"> </w:t>
      </w:r>
      <w:r w:rsidR="00F94BFD" w:rsidRPr="001F145D">
        <w:t>a</w:t>
      </w:r>
      <w:r w:rsidR="009A0847">
        <w:t xml:space="preserve"> </w:t>
      </w:r>
      <w:r w:rsidR="00F94BFD" w:rsidRPr="001F145D">
        <w:t>non-selected</w:t>
      </w:r>
      <w:r w:rsidR="009A0847">
        <w:t xml:space="preserve"> </w:t>
      </w:r>
      <w:r w:rsidR="00315B5A" w:rsidRPr="001F145D">
        <w:t>i</w:t>
      </w:r>
      <w:r w:rsidR="00F94BFD" w:rsidRPr="001F145D">
        <w:t>lliquid</w:t>
      </w:r>
      <w:r w:rsidR="009A0847">
        <w:t xml:space="preserve"> </w:t>
      </w:r>
      <w:r w:rsidR="00F94BFD" w:rsidRPr="001F145D">
        <w:t>bank</w:t>
      </w:r>
      <w:r w:rsidR="009A0847">
        <w:t xml:space="preserve"> </w:t>
      </w:r>
      <w:r w:rsidR="00315B5A" w:rsidRPr="001F145D">
        <w:t>is</w:t>
      </w:r>
      <w:r w:rsidR="009A0847">
        <w:t xml:space="preserve"> </w:t>
      </w:r>
      <m:oMath>
        <m:r>
          <w:rPr>
            <w:rFonts w:ascii="Cambria Math" w:hAnsi="Cambria Math"/>
            <w:sz w:val="22"/>
            <w:szCs w:val="22"/>
          </w:rPr>
          <m:t>-dw+(1-θ</m:t>
        </m:r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N</m:t>
                </m:r>
              </m:e>
              <m:sub>
                <m:acc>
                  <m:accPr>
                    <m:chr m:val="̅"/>
                    <m:ctrlPr>
                      <w:rPr>
                        <w:rFonts w:ascii="Cambria Math" w:hAnsi="Cambria Math"/>
                        <w:sz w:val="22"/>
                        <w:szCs w:val="22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L</m:t>
                    </m:r>
                  </m:e>
                </m:acc>
              </m:sub>
            </m:sSub>
            <m:r>
              <w:rPr>
                <w:rFonts w:ascii="Cambria Math" w:hAnsi="Cambria Math"/>
                <w:sz w:val="22"/>
                <w:szCs w:val="22"/>
              </w:rPr>
              <m:t>+αN</m:t>
            </m:r>
          </m:e>
        </m:d>
        <m:r>
          <w:rPr>
            <w:rFonts w:ascii="Cambria Math" w:hAnsi="Cambria Math"/>
            <w:sz w:val="22"/>
            <w:szCs w:val="22"/>
          </w:rPr>
          <m:t>)k</m:t>
        </m:r>
      </m:oMath>
      <w:r w:rsidR="00315B5A" w:rsidRPr="001F145D">
        <w:t>.</w:t>
      </w:r>
      <w:r w:rsidR="009A0847">
        <w:t xml:space="preserve"> </w:t>
      </w:r>
      <w:r w:rsidR="00DF7825">
        <w:t>I</w:t>
      </w:r>
      <w:r w:rsidR="00315B5A" w:rsidRPr="001F145D">
        <w:t>f</w:t>
      </w:r>
      <w:r w:rsidR="009A0847">
        <w:t xml:space="preserve"> </w:t>
      </w:r>
      <w:r w:rsidR="00315B5A" w:rsidRPr="001F145D">
        <w:t>an</w:t>
      </w:r>
      <w:r w:rsidR="009A0847">
        <w:t xml:space="preserve"> </w:t>
      </w:r>
      <w:r w:rsidR="00315B5A" w:rsidRPr="001F145D">
        <w:t>illiquid</w:t>
      </w:r>
      <w:r w:rsidR="009A0847">
        <w:t xml:space="preserve"> </w:t>
      </w:r>
      <w:r w:rsidR="00315B5A" w:rsidRPr="001F145D">
        <w:t>bank</w:t>
      </w:r>
      <w:r w:rsidR="009A0847">
        <w:t xml:space="preserve"> </w:t>
      </w:r>
      <w:r w:rsidR="00315B5A" w:rsidRPr="001F145D">
        <w:t>deviates</w:t>
      </w:r>
      <w:r w:rsidR="009A0847">
        <w:t xml:space="preserve"> </w:t>
      </w:r>
      <w:r w:rsidR="00315B5A" w:rsidRPr="001F145D">
        <w:t>and</w:t>
      </w:r>
      <w:r w:rsidR="009A0847">
        <w:t xml:space="preserve"> </w:t>
      </w:r>
      <w:r w:rsidR="00315B5A" w:rsidRPr="001F145D">
        <w:t>does</w:t>
      </w:r>
      <w:r w:rsidR="009A0847">
        <w:t xml:space="preserve"> </w:t>
      </w:r>
      <w:r w:rsidR="00315B5A" w:rsidRPr="001F145D">
        <w:t>not</w:t>
      </w:r>
      <w:r w:rsidR="009A0847">
        <w:t xml:space="preserve"> </w:t>
      </w:r>
      <w:r w:rsidR="00315B5A" w:rsidRPr="001F145D">
        <w:t>go</w:t>
      </w:r>
      <w:r w:rsidR="009A0847">
        <w:t xml:space="preserve"> </w:t>
      </w:r>
      <w:r w:rsidR="00315B5A" w:rsidRPr="001F145D">
        <w:t>to</w:t>
      </w:r>
      <w:r w:rsidR="009A0847">
        <w:t xml:space="preserve"> </w:t>
      </w:r>
      <w:r w:rsidR="00315B5A" w:rsidRPr="001F145D">
        <w:t>the</w:t>
      </w:r>
      <w:r w:rsidR="009A0847">
        <w:t xml:space="preserve"> </w:t>
      </w:r>
      <w:r w:rsidR="00315B5A" w:rsidRPr="001F145D">
        <w:t>DW,</w:t>
      </w:r>
      <w:r w:rsidR="009A0847">
        <w:t xml:space="preserve"> </w:t>
      </w:r>
      <w:r w:rsidR="00315B5A" w:rsidRPr="001F145D">
        <w:t>then</w:t>
      </w:r>
      <w:r w:rsidR="009A0847">
        <w:t xml:space="preserve"> </w:t>
      </w:r>
      <w:r w:rsidR="00315B5A" w:rsidRPr="001F145D">
        <w:t>it</w:t>
      </w:r>
      <w:r w:rsidR="009A0847">
        <w:t xml:space="preserve"> </w:t>
      </w:r>
      <w:r w:rsidR="00315B5A" w:rsidRPr="001F145D">
        <w:t>gets</w:t>
      </w:r>
      <w:r w:rsidR="009A0847">
        <w:t xml:space="preserve"> </w:t>
      </w:r>
      <w:r w:rsidR="00315B5A" w:rsidRPr="001F145D">
        <w:t>a</w:t>
      </w:r>
      <w:r w:rsidR="009A0847">
        <w:t xml:space="preserve"> </w:t>
      </w:r>
      <w:r w:rsidR="00315B5A" w:rsidRPr="001F145D">
        <w:t>profit</w:t>
      </w:r>
      <w:r w:rsidR="009A0847">
        <w:t xml:space="preserve"> </w:t>
      </w:r>
      <w:r w:rsidR="00315B5A" w:rsidRPr="001F145D">
        <w:t>of</w:t>
      </w:r>
      <w:r w:rsidR="009A0847">
        <w:t xml:space="preserve"> </w:t>
      </w:r>
      <m:oMath>
        <m:r>
          <w:rPr>
            <w:rFonts w:ascii="Cambria Math" w:hAnsi="Cambria Math"/>
            <w:sz w:val="22"/>
            <w:szCs w:val="22"/>
          </w:rPr>
          <m:t>-c+k</m:t>
        </m:r>
      </m:oMath>
      <w:r w:rsidR="00315B5A" w:rsidRPr="001F145D">
        <w:t>.</w:t>
      </w:r>
      <w:r w:rsidR="009A0847">
        <w:t xml:space="preserve"> </w:t>
      </w:r>
      <w:r w:rsidR="00315B5A" w:rsidRPr="001F145D">
        <w:t>An</w:t>
      </w:r>
      <w:r w:rsidR="009A0847">
        <w:t xml:space="preserve"> </w:t>
      </w:r>
      <w:r w:rsidR="00315B5A" w:rsidRPr="001F145D">
        <w:t>illiquid</w:t>
      </w:r>
      <w:r w:rsidR="009A0847">
        <w:t xml:space="preserve"> </w:t>
      </w:r>
      <w:r w:rsidR="00315B5A" w:rsidRPr="001F145D">
        <w:t>bank</w:t>
      </w:r>
      <w:r w:rsidR="009A0847">
        <w:t xml:space="preserve"> </w:t>
      </w:r>
      <w:r w:rsidR="00315B5A" w:rsidRPr="001F145D">
        <w:t>has</w:t>
      </w:r>
      <w:r w:rsidR="009A0847">
        <w:t xml:space="preserve"> </w:t>
      </w:r>
      <w:r w:rsidR="00315B5A" w:rsidRPr="001F145D">
        <w:t>no</w:t>
      </w:r>
      <w:r w:rsidR="009A0847">
        <w:t xml:space="preserve"> </w:t>
      </w:r>
      <w:r w:rsidR="00315B5A" w:rsidRPr="001F145D">
        <w:t>incentive</w:t>
      </w:r>
      <w:r w:rsidR="009A0847">
        <w:t xml:space="preserve"> </w:t>
      </w:r>
      <w:r w:rsidR="00315B5A" w:rsidRPr="001F145D">
        <w:t>to</w:t>
      </w:r>
      <w:r w:rsidR="009A0847">
        <w:t xml:space="preserve"> </w:t>
      </w:r>
      <w:r w:rsidR="00315B5A" w:rsidRPr="001F145D">
        <w:t>deviate</w:t>
      </w:r>
      <w:r w:rsidR="009A0847">
        <w:t xml:space="preserve"> </w:t>
      </w:r>
      <w:r w:rsidR="00315B5A" w:rsidRPr="001F145D">
        <w:t>when</w:t>
      </w:r>
      <w:r w:rsidR="009A0847">
        <w:t xml:space="preserve"> </w:t>
      </w:r>
      <m:oMath>
        <m:r>
          <w:rPr>
            <w:rFonts w:ascii="Cambria Math" w:hAnsi="Cambria Math"/>
            <w:sz w:val="22"/>
            <w:szCs w:val="22"/>
          </w:rPr>
          <m:t>-dw+</m:t>
        </m:r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1-θ</m:t>
            </m:r>
            <m:d>
              <m:d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N</m:t>
                    </m:r>
                  </m:e>
                  <m:sub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sz w:val="22"/>
                            <w:szCs w:val="22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L</m:t>
                        </m:r>
                      </m:e>
                    </m:acc>
                  </m:sub>
                </m:sSub>
                <m:r>
                  <w:rPr>
                    <w:rFonts w:ascii="Cambria Math" w:hAnsi="Cambria Math"/>
                    <w:sz w:val="22"/>
                    <w:szCs w:val="22"/>
                  </w:rPr>
                  <m:t>+αN</m:t>
                </m:r>
              </m:e>
            </m:d>
          </m:e>
        </m:d>
        <m:r>
          <w:rPr>
            <w:rFonts w:ascii="Cambria Math" w:hAnsi="Cambria Math"/>
            <w:sz w:val="22"/>
            <w:szCs w:val="22"/>
          </w:rPr>
          <m:t>k&gt;-c+k</m:t>
        </m:r>
      </m:oMath>
      <w:r w:rsidR="00315B5A" w:rsidRPr="001F145D">
        <w:t>,</w:t>
      </w:r>
      <w:r w:rsidR="009A0847">
        <w:t xml:space="preserve"> </w:t>
      </w:r>
      <w:r w:rsidR="00315B5A" w:rsidRPr="001F145D">
        <w:t>or</w:t>
      </w:r>
      <w:r w:rsidR="009A0847">
        <w:t xml:space="preserve"> </w:t>
      </w:r>
      <w:r w:rsidR="00315B5A" w:rsidRPr="001F145D">
        <w:t>equivalently</w:t>
      </w:r>
      <w:r w:rsidR="009A0847">
        <w:t xml:space="preserve"> </w:t>
      </w:r>
      <w:r w:rsidR="00315B5A" w:rsidRPr="001F145D">
        <w:t>when</w:t>
      </w:r>
      <w:r w:rsidR="009A0847">
        <w:t xml:space="preserve"> </w:t>
      </w:r>
      <m:oMath>
        <m:r>
          <w:rPr>
            <w:rFonts w:ascii="Cambria Math" w:hAnsi="Cambria Math"/>
            <w:sz w:val="22"/>
            <w:szCs w:val="22"/>
          </w:rPr>
          <m:t>θ</m:t>
        </m:r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N</m:t>
                </m:r>
              </m:e>
              <m:sub>
                <m:acc>
                  <m:accPr>
                    <m:chr m:val="̅"/>
                    <m:ctrlPr>
                      <w:rPr>
                        <w:rFonts w:ascii="Cambria Math" w:hAnsi="Cambria Math"/>
                        <w:sz w:val="22"/>
                        <w:szCs w:val="22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L</m:t>
                    </m:r>
                  </m:e>
                </m:acc>
              </m:sub>
            </m:sSub>
            <m:r>
              <w:rPr>
                <w:rFonts w:ascii="Cambria Math" w:hAnsi="Cambria Math"/>
                <w:sz w:val="22"/>
                <w:szCs w:val="22"/>
              </w:rPr>
              <m:t>+αN</m:t>
            </m:r>
          </m:e>
        </m:d>
        <m:r>
          <w:rPr>
            <w:rFonts w:ascii="Cambria Math" w:hAnsi="Cambria Math"/>
          </w:rPr>
          <m:t>&lt;</m:t>
        </m:r>
        <m:r>
          <m:rPr>
            <m:sty m:val="p"/>
          </m:rPr>
          <w:rPr>
            <w:rFonts w:ascii="Cambria Math" w:hAnsi="Cambria Math"/>
            <w:szCs w:val="24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θ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0</m:t>
            </m:r>
          </m:sub>
        </m:sSub>
      </m:oMath>
      <w:r w:rsidR="00DF7825" w:rsidRPr="00DF7825">
        <w:rPr>
          <w:szCs w:val="24"/>
        </w:rPr>
        <w:t xml:space="preserve"> or when </w:t>
      </w:r>
      <m:oMath>
        <m:sSub>
          <m:sSubPr>
            <m:ctrlPr>
              <w:rPr>
                <w:rFonts w:ascii="Cambria Math" w:hAnsi="Cambria Math"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N</m:t>
            </m:r>
          </m:e>
          <m:sub>
            <m:acc>
              <m:accPr>
                <m:chr m:val="̅"/>
                <m:ctrlPr>
                  <w:rPr>
                    <w:rFonts w:ascii="Cambria Math" w:hAnsi="Cambria Math"/>
                    <w:sz w:val="22"/>
                    <w:szCs w:val="22"/>
                  </w:rPr>
                </m:ctrlPr>
              </m:acc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L</m:t>
                </m:r>
              </m:e>
            </m:acc>
          </m:sub>
        </m:sSub>
        <m:r>
          <w:rPr>
            <w:rFonts w:ascii="Cambria Math" w:hAnsi="Cambria Math"/>
            <w:sz w:val="22"/>
            <w:szCs w:val="22"/>
          </w:rPr>
          <m:t>+αN&gt;</m:t>
        </m:r>
        <m:sSub>
          <m:sSubPr>
            <m:ctrlPr>
              <w:rPr>
                <w:rFonts w:ascii="Cambria Math" w:hAnsi="Cambria Math"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n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0</m:t>
            </m:r>
          </m:sub>
        </m:sSub>
      </m:oMath>
      <w:r w:rsidR="00DF7825">
        <w:rPr>
          <w:sz w:val="22"/>
          <w:szCs w:val="22"/>
        </w:rPr>
        <w:t xml:space="preserve"> </w:t>
      </w:r>
      <w:r w:rsidR="00DF7825" w:rsidRPr="00DF7825">
        <w:rPr>
          <w:szCs w:val="24"/>
        </w:rPr>
        <w:t>which is satisfied since</w:t>
      </w:r>
      <w:r w:rsidR="00490230">
        <w:rPr>
          <w:szCs w:val="24"/>
        </w:rPr>
        <w:t xml:space="preserve"> we assume</w:t>
      </w:r>
      <w:r w:rsidR="00DF7825" w:rsidRPr="00DF7825">
        <w:rPr>
          <w:szCs w:val="24"/>
        </w:rPr>
        <w:t xml:space="preserve"> </w:t>
      </w:r>
      <m:oMath>
        <m:r>
          <w:rPr>
            <w:rFonts w:ascii="Cambria Math" w:hAnsi="Cambria Math"/>
            <w:szCs w:val="24"/>
          </w:rPr>
          <m:t>1</m:t>
        </m:r>
        <m:r>
          <w:rPr>
            <w:rFonts w:ascii="Cambria Math" w:hAnsi="Cambria Math"/>
            <w:sz w:val="22"/>
            <w:szCs w:val="22"/>
          </w:rPr>
          <m:t>&lt;</m:t>
        </m:r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n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0</m:t>
            </m:r>
          </m:sub>
        </m:sSub>
        <m:r>
          <w:rPr>
            <w:rFonts w:ascii="Cambria Math" w:hAnsi="Cambria Math"/>
            <w:sz w:val="22"/>
            <w:szCs w:val="22"/>
          </w:rPr>
          <m:t>&lt;</m:t>
        </m:r>
        <m:sSub>
          <m:sSubPr>
            <m:ctrlPr>
              <w:rPr>
                <w:rFonts w:ascii="Cambria Math" w:hAnsi="Cambria Math"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N</m:t>
            </m:r>
          </m:e>
          <m:sub>
            <m:acc>
              <m:accPr>
                <m:chr m:val="̅"/>
                <m:ctrlPr>
                  <w:rPr>
                    <w:rFonts w:ascii="Cambria Math" w:hAnsi="Cambria Math"/>
                    <w:sz w:val="22"/>
                    <w:szCs w:val="22"/>
                  </w:rPr>
                </m:ctrlPr>
              </m:acc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L</m:t>
                </m:r>
              </m:e>
            </m:acc>
          </m:sub>
        </m:sSub>
      </m:oMath>
      <w:r w:rsidR="00315B5A" w:rsidRPr="001F145D">
        <w:t>.</w:t>
      </w:r>
      <w:r w:rsidR="009A0847">
        <w:t xml:space="preserve"> </w:t>
      </w:r>
      <w:r w:rsidR="00315B5A" w:rsidRPr="001F145D">
        <w:t>Thus,</w:t>
      </w:r>
      <w:r w:rsidR="009A0847">
        <w:t xml:space="preserve"> </w:t>
      </w:r>
      <w:r w:rsidR="00315B5A" w:rsidRPr="001F145D">
        <w:t>the</w:t>
      </w:r>
      <w:r w:rsidR="009A0847">
        <w:t xml:space="preserve"> </w:t>
      </w:r>
      <w:r w:rsidR="00315B5A" w:rsidRPr="001F145D">
        <w:t>strategy</w:t>
      </w:r>
      <w:r w:rsidR="009A0847">
        <w:t xml:space="preserve"> </w:t>
      </w:r>
      <w:r w:rsidR="00315B5A" w:rsidRPr="001F145D">
        <w:t>profile</w:t>
      </w:r>
      <w:r w:rsidR="009A0847">
        <w:t xml:space="preserve"> </w:t>
      </w:r>
      <m:oMath>
        <m:r>
          <m:rPr>
            <m:sty m:val="bi"/>
          </m:rPr>
          <w:rPr>
            <w:rFonts w:ascii="Cambria Math" w:hAnsi="Cambria Math"/>
            <w:sz w:val="22"/>
            <w:szCs w:val="22"/>
          </w:rPr>
          <m:t>NoSt</m:t>
        </m:r>
      </m:oMath>
      <w:r w:rsidR="009A0847">
        <w:t xml:space="preserve"> </w:t>
      </w:r>
      <w:r w:rsidR="00315B5A" w:rsidRPr="001F145D">
        <w:t>is</w:t>
      </w:r>
      <w:r w:rsidR="009A0847">
        <w:t xml:space="preserve"> </w:t>
      </w:r>
      <w:r w:rsidR="00315B5A" w:rsidRPr="001F145D">
        <w:t>an</w:t>
      </w:r>
      <w:r w:rsidR="009A0847">
        <w:t xml:space="preserve"> </w:t>
      </w:r>
      <w:r w:rsidR="00315B5A" w:rsidRPr="001F145D">
        <w:t>equilibrium</w:t>
      </w:r>
      <w:r w:rsidR="009A0847">
        <w:t xml:space="preserve"> </w:t>
      </w:r>
      <w:r w:rsidR="004D7574" w:rsidRPr="001F145D">
        <w:t>when</w:t>
      </w:r>
      <w:r w:rsidR="009A0847">
        <w:t xml:space="preserve"> </w:t>
      </w:r>
      <m:oMath>
        <m:r>
          <w:rPr>
            <w:rFonts w:ascii="Cambria Math" w:hAnsi="Cambria Math"/>
            <w:sz w:val="22"/>
            <w:szCs w:val="22"/>
          </w:rPr>
          <m:t>α&lt;</m:t>
        </m:r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α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0</m:t>
            </m:r>
          </m:sub>
        </m:sSub>
      </m:oMath>
      <w:r w:rsidR="00315B5A" w:rsidRPr="001F145D">
        <w:t>.</w:t>
      </w:r>
      <m:oMath>
        <m:r>
          <w:rPr>
            <w:rFonts w:ascii="Cambria Math" w:hAnsi="Cambria Math"/>
          </w:rPr>
          <m:t xml:space="preserve"> </m:t>
        </m:r>
      </m:oMath>
    </w:p>
    <w:p w14:paraId="29A81173" w14:textId="13875DC9" w:rsidR="00EE3E13" w:rsidRDefault="00DE4720" w:rsidP="00F86E09">
      <w:pPr>
        <w:pStyle w:val="Olivier1"/>
        <w:widowControl w:val="0"/>
        <w:spacing w:line="240" w:lineRule="auto"/>
        <w:rPr>
          <w:i/>
        </w:rPr>
      </w:pPr>
      <w:r w:rsidRPr="001F145D">
        <w:t>Finally,</w:t>
      </w:r>
      <w:r w:rsidR="009A0847">
        <w:t xml:space="preserve"> </w:t>
      </w:r>
      <w:r w:rsidRPr="001F145D">
        <w:t>consider</w:t>
      </w:r>
      <w:r w:rsidR="009A0847">
        <w:t xml:space="preserve"> </w:t>
      </w:r>
      <w:r w:rsidRPr="001F145D">
        <w:t>now</w:t>
      </w:r>
      <w:r w:rsidR="009A0847">
        <w:t xml:space="preserve"> </w:t>
      </w:r>
      <w:r w:rsidRPr="001F145D">
        <w:t>the</w:t>
      </w:r>
      <w:r w:rsidR="009A0847">
        <w:t xml:space="preserve"> </w:t>
      </w:r>
      <w:r w:rsidRPr="001F145D">
        <w:t>case</w:t>
      </w:r>
      <w:r w:rsidR="009A0847">
        <w:t xml:space="preserve"> </w:t>
      </w:r>
      <w:r w:rsidRPr="001F145D">
        <w:t>where</w:t>
      </w:r>
      <w:r w:rsidR="009A0847">
        <w:t xml:space="preserve"> </w:t>
      </w:r>
      <w:r w:rsidRPr="001F145D">
        <w:rPr>
          <w:u w:val="single"/>
        </w:rPr>
        <w:t>every</w:t>
      </w:r>
      <w:r w:rsidR="009A0847">
        <w:rPr>
          <w:u w:val="single"/>
        </w:rPr>
        <w:t xml:space="preserve"> </w:t>
      </w:r>
      <w:r w:rsidRPr="001F145D">
        <w:rPr>
          <w:u w:val="single"/>
        </w:rPr>
        <w:t>non-selected</w:t>
      </w:r>
      <w:r w:rsidR="009A0847">
        <w:rPr>
          <w:u w:val="single"/>
        </w:rPr>
        <w:t xml:space="preserve"> </w:t>
      </w:r>
      <w:r w:rsidRPr="001F145D">
        <w:rPr>
          <w:u w:val="single"/>
        </w:rPr>
        <w:t>illiquid</w:t>
      </w:r>
      <w:r w:rsidR="009A0847">
        <w:rPr>
          <w:u w:val="single"/>
        </w:rPr>
        <w:t xml:space="preserve"> </w:t>
      </w:r>
      <w:r w:rsidRPr="001F145D">
        <w:rPr>
          <w:u w:val="single"/>
        </w:rPr>
        <w:t>bank</w:t>
      </w:r>
      <w:r w:rsidR="009A0847">
        <w:rPr>
          <w:u w:val="single"/>
        </w:rPr>
        <w:t xml:space="preserve"> </w:t>
      </w:r>
      <w:r w:rsidRPr="001F145D">
        <w:rPr>
          <w:u w:val="single"/>
        </w:rPr>
        <w:t>voluntarily</w:t>
      </w:r>
      <w:r w:rsidR="009A0847">
        <w:rPr>
          <w:u w:val="single"/>
        </w:rPr>
        <w:t xml:space="preserve"> </w:t>
      </w:r>
      <w:r w:rsidRPr="001F145D">
        <w:rPr>
          <w:u w:val="single"/>
        </w:rPr>
        <w:t>borrows</w:t>
      </w:r>
      <w:r w:rsidR="009A0847">
        <w:rPr>
          <w:u w:val="single"/>
        </w:rPr>
        <w:t xml:space="preserve"> </w:t>
      </w:r>
      <w:r w:rsidRPr="001F145D">
        <w:rPr>
          <w:u w:val="single"/>
        </w:rPr>
        <w:t>at</w:t>
      </w:r>
      <w:r w:rsidR="009A0847">
        <w:rPr>
          <w:u w:val="single"/>
        </w:rPr>
        <w:t xml:space="preserve"> </w:t>
      </w:r>
      <w:r w:rsidRPr="001F145D">
        <w:rPr>
          <w:u w:val="single"/>
        </w:rPr>
        <w:t>the</w:t>
      </w:r>
      <w:r w:rsidR="009A0847">
        <w:rPr>
          <w:u w:val="single"/>
        </w:rPr>
        <w:t xml:space="preserve"> </w:t>
      </w:r>
      <w:r w:rsidRPr="001F145D">
        <w:rPr>
          <w:u w:val="single"/>
        </w:rPr>
        <w:t>DW</w:t>
      </w:r>
      <w:r w:rsidR="009A0847">
        <w:t xml:space="preserve"> </w:t>
      </w:r>
      <w:r w:rsidRPr="001F145D">
        <w:t>and</w:t>
      </w:r>
      <w:r w:rsidR="009A0847">
        <w:t xml:space="preserve"> </w:t>
      </w:r>
      <m:oMath>
        <m:r>
          <w:rPr>
            <w:rFonts w:ascii="Cambria Math" w:hAnsi="Cambria Math"/>
            <w:sz w:val="22"/>
            <w:szCs w:val="22"/>
            <w:u w:val="single"/>
          </w:rPr>
          <m:t>α&gt;</m:t>
        </m:r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α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0</m:t>
            </m:r>
          </m:sub>
        </m:sSub>
      </m:oMath>
      <w:r w:rsidRPr="001F145D">
        <w:t>.</w:t>
      </w:r>
      <w:r w:rsidR="009A0847">
        <w:t xml:space="preserve"> </w:t>
      </w:r>
      <w:r w:rsidRPr="001F145D">
        <w:t>In</w:t>
      </w:r>
      <w:r w:rsidR="009A0847">
        <w:t xml:space="preserve"> </w:t>
      </w:r>
      <w:r w:rsidRPr="001F145D">
        <w:t>that</w:t>
      </w:r>
      <w:r w:rsidR="009A0847">
        <w:t xml:space="preserve"> </w:t>
      </w:r>
      <w:r w:rsidRPr="001F145D">
        <w:t>case,</w:t>
      </w:r>
      <w:r w:rsidR="009A0847">
        <w:t xml:space="preserve"> </w:t>
      </w:r>
      <m:oMath>
        <m:bar>
          <m:barPr>
            <m:ctrlPr>
              <w:rPr>
                <w:rFonts w:ascii="Cambria Math" w:hAnsi="Cambria Math"/>
                <w:i/>
                <w:sz w:val="22"/>
                <w:szCs w:val="22"/>
              </w:rPr>
            </m:ctrlPr>
          </m:barPr>
          <m:e>
            <m:r>
              <m:rPr>
                <m:scr m:val="script"/>
              </m:rPr>
              <w:rPr>
                <w:rFonts w:ascii="Cambria Math" w:hAnsi="Cambria Math"/>
                <w:sz w:val="22"/>
                <w:szCs w:val="22"/>
              </w:rPr>
              <m:t>P</m:t>
            </m:r>
          </m:e>
        </m:bar>
        <m:r>
          <m:rPr>
            <m:sty m:val="p"/>
          </m:rPr>
          <w:rPr>
            <w:rFonts w:ascii="Cambria Math" w:hAnsi="Cambria Math"/>
            <w:sz w:val="22"/>
            <w:szCs w:val="22"/>
          </w:rPr>
          <m:t>V&gt;</m:t>
        </m:r>
        <m:r>
          <w:rPr>
            <w:rFonts w:ascii="Cambria Math" w:hAnsi="Cambria Math"/>
            <w:sz w:val="22"/>
            <w:szCs w:val="22"/>
          </w:rPr>
          <m:t>v</m:t>
        </m:r>
      </m:oMath>
      <w:r w:rsidR="009A0847">
        <w:t xml:space="preserve"> </w:t>
      </w:r>
      <w:r w:rsidRPr="001F145D">
        <w:t>and</w:t>
      </w:r>
      <w:r w:rsidR="009A0847">
        <w:t xml:space="preserve"> </w:t>
      </w:r>
      <w:r w:rsidRPr="001F145D">
        <w:t>an</w:t>
      </w:r>
      <w:r w:rsidR="009A0847">
        <w:t xml:space="preserve"> </w:t>
      </w:r>
      <w:r w:rsidRPr="001F145D">
        <w:t>investor</w:t>
      </w:r>
      <w:r w:rsidR="009A0847">
        <w:t xml:space="preserve"> </w:t>
      </w:r>
      <w:r w:rsidR="00150950" w:rsidRPr="001F145D">
        <w:t>funds</w:t>
      </w:r>
      <w:r w:rsidR="009A0847">
        <w:t xml:space="preserve"> </w:t>
      </w:r>
      <w:r w:rsidR="00150950" w:rsidRPr="001F145D">
        <w:t>every</w:t>
      </w:r>
      <w:r w:rsidR="009A0847">
        <w:t xml:space="preserve"> </w:t>
      </w:r>
      <w:r w:rsidR="00150950" w:rsidRPr="001F145D">
        <w:t>bank,</w:t>
      </w:r>
      <w:r w:rsidR="009A0847">
        <w:t xml:space="preserve"> </w:t>
      </w:r>
      <w:r w:rsidR="00150950" w:rsidRPr="001F145D">
        <w:t>i.e.</w:t>
      </w:r>
      <w:r w:rsidR="009A0847">
        <w:t xml:space="preserve"> </w:t>
      </w:r>
      <w:r w:rsidRPr="001F145D">
        <w:t>detected</w:t>
      </w:r>
      <w:r w:rsidR="009A0847">
        <w:t xml:space="preserve"> </w:t>
      </w:r>
      <w:r w:rsidR="00150950" w:rsidRPr="001F145D">
        <w:t>and</w:t>
      </w:r>
      <w:r w:rsidR="009A0847">
        <w:t xml:space="preserve"> </w:t>
      </w:r>
      <w:r w:rsidR="00150950" w:rsidRPr="001F145D">
        <w:t>non-detected</w:t>
      </w:r>
      <w:r w:rsidRPr="001F145D">
        <w:t>.</w:t>
      </w:r>
      <w:r w:rsidR="009A0847">
        <w:t xml:space="preserve"> </w:t>
      </w:r>
      <w:r w:rsidR="001F145D" w:rsidRPr="001F145D">
        <w:t>Then,</w:t>
      </w:r>
      <w:r w:rsidR="009A0847">
        <w:t xml:space="preserve"> </w:t>
      </w:r>
      <w:r w:rsidR="001F145D" w:rsidRPr="001F145D">
        <w:t>b</w:t>
      </w:r>
      <w:r w:rsidR="00150950" w:rsidRPr="001F145D">
        <w:t>ecause</w:t>
      </w:r>
      <w:r w:rsidR="009A0847">
        <w:t xml:space="preserve"> </w:t>
      </w:r>
      <w:r w:rsidR="001F145D" w:rsidRPr="001F145D">
        <w:t>it</w:t>
      </w:r>
      <w:r w:rsidR="009A0847">
        <w:t xml:space="preserve"> </w:t>
      </w:r>
      <w:r w:rsidR="001F145D" w:rsidRPr="001F145D">
        <w:t>is</w:t>
      </w:r>
      <w:r w:rsidR="009A0847">
        <w:t xml:space="preserve"> </w:t>
      </w:r>
      <w:r w:rsidR="001F145D" w:rsidRPr="001F145D">
        <w:t>funded</w:t>
      </w:r>
      <w:r w:rsidR="009A0847">
        <w:t xml:space="preserve"> </w:t>
      </w:r>
      <w:r w:rsidR="001F145D" w:rsidRPr="001F145D">
        <w:t>even</w:t>
      </w:r>
      <w:r w:rsidR="009A0847">
        <w:t xml:space="preserve"> </w:t>
      </w:r>
      <w:r w:rsidR="001F145D" w:rsidRPr="001F145D">
        <w:t>when</w:t>
      </w:r>
      <w:r w:rsidR="009A0847">
        <w:t xml:space="preserve"> </w:t>
      </w:r>
      <w:r w:rsidR="001F145D" w:rsidRPr="001F145D">
        <w:t>detected,</w:t>
      </w:r>
      <w:r w:rsidR="009A0847">
        <w:t xml:space="preserve"> </w:t>
      </w:r>
      <w:r w:rsidR="001F145D" w:rsidRPr="001F145D">
        <w:t>a</w:t>
      </w:r>
      <w:r w:rsidR="009A0847">
        <w:t xml:space="preserve"> </w:t>
      </w:r>
      <w:r w:rsidR="00150950" w:rsidRPr="001F145D">
        <w:t>non-selected</w:t>
      </w:r>
      <w:r w:rsidR="009A0847">
        <w:t xml:space="preserve"> </w:t>
      </w:r>
      <w:r w:rsidR="00150950" w:rsidRPr="001F145D">
        <w:t>illiquid</w:t>
      </w:r>
      <w:r w:rsidR="009A0847">
        <w:t xml:space="preserve"> </w:t>
      </w:r>
      <w:r w:rsidR="00150950" w:rsidRPr="001F145D">
        <w:t>bank</w:t>
      </w:r>
      <w:r w:rsidR="009A0847">
        <w:t xml:space="preserve"> </w:t>
      </w:r>
      <w:r w:rsidR="001F145D" w:rsidRPr="001F145D">
        <w:t>has</w:t>
      </w:r>
      <w:r w:rsidR="009A0847">
        <w:t xml:space="preserve"> </w:t>
      </w:r>
      <w:r w:rsidR="001F145D" w:rsidRPr="001F145D">
        <w:t>a</w:t>
      </w:r>
      <w:r w:rsidR="009A0847">
        <w:t xml:space="preserve"> </w:t>
      </w:r>
      <w:r w:rsidR="001F145D" w:rsidRPr="001F145D">
        <w:t>strict</w:t>
      </w:r>
      <w:r w:rsidR="009A0847">
        <w:t xml:space="preserve"> </w:t>
      </w:r>
      <w:r w:rsidR="001F145D" w:rsidRPr="001F145D">
        <w:t>incentive</w:t>
      </w:r>
      <w:r w:rsidR="009A0847">
        <w:t xml:space="preserve"> </w:t>
      </w:r>
      <w:r w:rsidR="001F145D" w:rsidRPr="001F145D">
        <w:t>to</w:t>
      </w:r>
      <w:r w:rsidR="009A0847">
        <w:t xml:space="preserve"> </w:t>
      </w:r>
      <w:r w:rsidR="001F145D" w:rsidRPr="001F145D">
        <w:t>borrow</w:t>
      </w:r>
      <w:r w:rsidR="009A0847">
        <w:t xml:space="preserve"> </w:t>
      </w:r>
      <w:r w:rsidR="001F145D" w:rsidRPr="001F145D">
        <w:t>at</w:t>
      </w:r>
      <w:r w:rsidR="009A0847">
        <w:t xml:space="preserve"> </w:t>
      </w:r>
      <w:r w:rsidR="001F145D" w:rsidRPr="001F145D">
        <w:t>the</w:t>
      </w:r>
      <w:r w:rsidR="009A0847">
        <w:t xml:space="preserve"> </w:t>
      </w:r>
      <w:r w:rsidR="001F145D" w:rsidRPr="001F145D">
        <w:t>DW.</w:t>
      </w:r>
      <w:r w:rsidR="009A0847">
        <w:t xml:space="preserve"> </w:t>
      </w:r>
      <w:r w:rsidR="001F145D" w:rsidRPr="001F145D">
        <w:t>Thus,</w:t>
      </w:r>
      <w:r w:rsidR="009A0847">
        <w:t xml:space="preserve"> </w:t>
      </w:r>
      <m:oMath>
        <m:r>
          <m:rPr>
            <m:sty m:val="bi"/>
          </m:rPr>
          <w:rPr>
            <w:rFonts w:ascii="Cambria Math" w:hAnsi="Cambria Math"/>
            <w:sz w:val="22"/>
            <w:szCs w:val="22"/>
          </w:rPr>
          <m:t>NoSt'</m:t>
        </m:r>
      </m:oMath>
      <w:r w:rsidR="009A0847">
        <w:t xml:space="preserve"> </w:t>
      </w:r>
      <w:r w:rsidR="001F145D" w:rsidRPr="001F145D">
        <w:t>is</w:t>
      </w:r>
      <w:r w:rsidR="009A0847">
        <w:t xml:space="preserve"> </w:t>
      </w:r>
      <w:r w:rsidR="001F145D" w:rsidRPr="001F145D">
        <w:t>an</w:t>
      </w:r>
      <w:r w:rsidR="009A0847">
        <w:t xml:space="preserve"> </w:t>
      </w:r>
      <w:r w:rsidR="001F145D" w:rsidRPr="001F145D">
        <w:t>equilibrium</w:t>
      </w:r>
      <w:r w:rsidR="009A0847">
        <w:t xml:space="preserve"> </w:t>
      </w:r>
      <w:r w:rsidR="001F145D" w:rsidRPr="001F145D">
        <w:t>in</w:t>
      </w:r>
      <w:r w:rsidR="009A0847">
        <w:t xml:space="preserve"> </w:t>
      </w:r>
      <w:r w:rsidR="001F145D" w:rsidRPr="001F145D">
        <w:t>that</w:t>
      </w:r>
      <w:r w:rsidR="009A0847">
        <w:t xml:space="preserve"> </w:t>
      </w:r>
      <w:r w:rsidR="001F145D" w:rsidRPr="001F145D">
        <w:t>case.</w:t>
      </w:r>
      <m:oMath>
        <m:r>
          <w:rPr>
            <w:rFonts w:ascii="Cambria Math" w:hAnsi="Cambria Math"/>
          </w:rPr>
          <m:t xml:space="preserve"> ∎</m:t>
        </m:r>
      </m:oMath>
    </w:p>
    <w:p w14:paraId="212A1EE4" w14:textId="254A7E87" w:rsidR="00F852CF" w:rsidRDefault="00F72D79" w:rsidP="00F86E09">
      <w:pPr>
        <w:pStyle w:val="Heading1"/>
        <w:widowControl w:val="0"/>
        <w:ind w:right="-180"/>
      </w:pPr>
      <w:r>
        <w:t>Appendix</w:t>
      </w:r>
      <w:r w:rsidR="009A0847">
        <w:t xml:space="preserve"> </w:t>
      </w:r>
      <w:r>
        <w:t>3</w:t>
      </w:r>
      <w:r w:rsidR="009A0847">
        <w:t xml:space="preserve"> </w:t>
      </w:r>
      <w:r>
        <w:t>:</w:t>
      </w:r>
      <w:r w:rsidR="009A0847">
        <w:t xml:space="preserve"> </w:t>
      </w:r>
      <w:r>
        <w:t>Instructions</w:t>
      </w:r>
    </w:p>
    <w:p w14:paraId="0DFBF7CA" w14:textId="3433AB78" w:rsidR="00F852CF" w:rsidRDefault="00F852CF" w:rsidP="00F86E09">
      <w:pPr>
        <w:widowControl w:val="0"/>
      </w:pPr>
      <w:r>
        <w:t>_________________________________________</w:t>
      </w:r>
      <w:r w:rsidR="00490230">
        <w:t>__</w:t>
      </w:r>
      <w:r>
        <w:t>_____________________________________</w:t>
      </w:r>
    </w:p>
    <w:p w14:paraId="3BD8DB08" w14:textId="3D45D75C" w:rsidR="00065D3C" w:rsidRDefault="00F852CF" w:rsidP="00490230">
      <w:pPr>
        <w:widowControl w:val="0"/>
        <w:ind w:left="3690"/>
        <w:outlineLvl w:val="2"/>
        <w:rPr>
          <w:b/>
          <w:bCs/>
          <w:color w:val="008000"/>
        </w:rPr>
      </w:pPr>
      <w:r w:rsidRPr="00074586">
        <w:rPr>
          <w:b/>
          <w:bCs/>
          <w:color w:val="000080"/>
        </w:rPr>
        <w:t>Instructions</w:t>
      </w:r>
      <w:r w:rsidR="009A0847">
        <w:rPr>
          <w:b/>
          <w:bCs/>
          <w:color w:val="000080"/>
        </w:rPr>
        <w:t xml:space="preserve"> </w:t>
      </w:r>
      <w:r w:rsidR="00490230">
        <w:rPr>
          <w:b/>
          <w:bCs/>
          <w:color w:val="000080"/>
        </w:rPr>
        <w:tab/>
      </w:r>
      <w:r w:rsidR="00490230">
        <w:rPr>
          <w:b/>
          <w:bCs/>
          <w:color w:val="000080"/>
        </w:rPr>
        <w:tab/>
      </w:r>
      <w:r w:rsidR="00490230">
        <w:rPr>
          <w:b/>
          <w:bCs/>
          <w:color w:val="000080"/>
        </w:rPr>
        <w:tab/>
      </w:r>
      <w:r w:rsidR="00490230">
        <w:rPr>
          <w:b/>
          <w:bCs/>
          <w:color w:val="000080"/>
        </w:rPr>
        <w:tab/>
      </w:r>
      <w:r w:rsidR="00490230">
        <w:rPr>
          <w:b/>
          <w:bCs/>
          <w:color w:val="000080"/>
        </w:rPr>
        <w:tab/>
        <w:t xml:space="preserve">         </w:t>
      </w:r>
      <w:r w:rsidRPr="00074586">
        <w:rPr>
          <w:b/>
          <w:bCs/>
          <w:color w:val="008000"/>
        </w:rPr>
        <w:t>Page</w:t>
      </w:r>
      <w:r w:rsidR="009A0847">
        <w:rPr>
          <w:b/>
          <w:bCs/>
          <w:color w:val="008000"/>
        </w:rPr>
        <w:t xml:space="preserve"> </w:t>
      </w:r>
      <w:r w:rsidRPr="00074586">
        <w:rPr>
          <w:b/>
          <w:bCs/>
          <w:color w:val="008000"/>
        </w:rPr>
        <w:t>1</w:t>
      </w:r>
      <w:r w:rsidR="009A0847">
        <w:rPr>
          <w:b/>
          <w:bCs/>
          <w:color w:val="008000"/>
        </w:rPr>
        <w:t xml:space="preserve"> </w:t>
      </w:r>
      <w:r w:rsidRPr="00074586">
        <w:rPr>
          <w:b/>
          <w:bCs/>
          <w:color w:val="008000"/>
        </w:rPr>
        <w:t>of</w:t>
      </w:r>
      <w:r w:rsidR="009A0847">
        <w:rPr>
          <w:b/>
          <w:bCs/>
          <w:color w:val="008000"/>
        </w:rPr>
        <w:t xml:space="preserve"> </w:t>
      </w:r>
      <w:r w:rsidRPr="00074586">
        <w:rPr>
          <w:b/>
          <w:bCs/>
          <w:color w:val="008000"/>
        </w:rPr>
        <w:t>5</w:t>
      </w:r>
    </w:p>
    <w:p w14:paraId="095782CC" w14:textId="77777777" w:rsidR="00065D3C" w:rsidRPr="00065D3C" w:rsidRDefault="00065D3C" w:rsidP="00F86E09">
      <w:pPr>
        <w:widowControl w:val="0"/>
        <w:jc w:val="center"/>
        <w:outlineLvl w:val="2"/>
        <w:rPr>
          <w:b/>
          <w:bCs/>
          <w:color w:val="008000"/>
          <w:sz w:val="12"/>
          <w:szCs w:val="12"/>
        </w:rPr>
      </w:pPr>
    </w:p>
    <w:p w14:paraId="71DD1A41" w14:textId="142E62A5" w:rsidR="009A0847" w:rsidRPr="00074586" w:rsidRDefault="009A0847" w:rsidP="00F86E09">
      <w:pPr>
        <w:widowControl w:val="0"/>
        <w:ind w:right="-180"/>
        <w:rPr>
          <w:color w:val="000080"/>
        </w:rPr>
      </w:pPr>
      <w:r w:rsidRPr="00074586">
        <w:rPr>
          <w:b/>
          <w:bCs/>
          <w:color w:val="000080"/>
        </w:rPr>
        <w:t>Roles</w:t>
      </w:r>
      <w:r w:rsidRPr="00074586">
        <w:rPr>
          <w:color w:val="000080"/>
        </w:rPr>
        <w:t>:</w:t>
      </w:r>
      <w:r>
        <w:rPr>
          <w:color w:val="000080"/>
        </w:rPr>
        <w:t xml:space="preserve"> </w:t>
      </w:r>
      <w:r w:rsidRPr="00074586">
        <w:rPr>
          <w:color w:val="000080"/>
        </w:rPr>
        <w:t>There</w:t>
      </w:r>
      <w:r>
        <w:rPr>
          <w:color w:val="000080"/>
        </w:rPr>
        <w:t xml:space="preserve"> </w:t>
      </w:r>
      <w:r w:rsidRPr="00074586">
        <w:rPr>
          <w:color w:val="000080"/>
        </w:rPr>
        <w:t>are</w:t>
      </w:r>
      <w:r>
        <w:rPr>
          <w:color w:val="000080"/>
        </w:rPr>
        <w:t xml:space="preserve"> </w:t>
      </w:r>
      <w:r w:rsidRPr="00074586">
        <w:rPr>
          <w:color w:val="000080"/>
        </w:rPr>
        <w:t>two</w:t>
      </w:r>
      <w:r>
        <w:rPr>
          <w:color w:val="000080"/>
        </w:rPr>
        <w:t xml:space="preserve"> </w:t>
      </w:r>
      <w:r w:rsidRPr="00074586">
        <w:rPr>
          <w:color w:val="000080"/>
        </w:rPr>
        <w:t>types</w:t>
      </w:r>
      <w:r>
        <w:rPr>
          <w:color w:val="000080"/>
        </w:rPr>
        <w:t xml:space="preserve"> </w:t>
      </w:r>
      <w:r w:rsidRPr="00074586">
        <w:rPr>
          <w:color w:val="000080"/>
        </w:rPr>
        <w:t>of</w:t>
      </w:r>
      <w:r>
        <w:rPr>
          <w:color w:val="000080"/>
        </w:rPr>
        <w:t xml:space="preserve"> </w:t>
      </w:r>
      <w:r w:rsidRPr="00074586">
        <w:rPr>
          <w:color w:val="000080"/>
        </w:rPr>
        <w:t>participants</w:t>
      </w:r>
      <w:r>
        <w:rPr>
          <w:color w:val="000080"/>
        </w:rPr>
        <w:t xml:space="preserve"> </w:t>
      </w:r>
      <w:r w:rsidRPr="00074586">
        <w:rPr>
          <w:color w:val="000080"/>
        </w:rPr>
        <w:t>in</w:t>
      </w:r>
      <w:r>
        <w:rPr>
          <w:color w:val="000080"/>
        </w:rPr>
        <w:t xml:space="preserve"> </w:t>
      </w:r>
      <w:r w:rsidRPr="00074586">
        <w:rPr>
          <w:color w:val="000080"/>
        </w:rPr>
        <w:t>this</w:t>
      </w:r>
      <w:r>
        <w:rPr>
          <w:color w:val="000080"/>
        </w:rPr>
        <w:t xml:space="preserve"> </w:t>
      </w:r>
      <w:r w:rsidRPr="00074586">
        <w:rPr>
          <w:color w:val="000080"/>
        </w:rPr>
        <w:t>experiment:</w:t>
      </w:r>
      <w:r>
        <w:rPr>
          <w:color w:val="000080"/>
        </w:rPr>
        <w:t xml:space="preserve"> </w:t>
      </w:r>
      <w:r w:rsidRPr="00E12A56">
        <w:rPr>
          <w:b/>
          <w:bCs/>
          <w:color w:val="3366FF"/>
        </w:rPr>
        <w:t>Banks</w:t>
      </w:r>
      <w:r>
        <w:rPr>
          <w:b/>
          <w:bCs/>
          <w:color w:val="0000FF"/>
        </w:rPr>
        <w:t xml:space="preserve"> </w:t>
      </w:r>
      <w:r w:rsidRPr="00074586">
        <w:rPr>
          <w:color w:val="000080"/>
        </w:rPr>
        <w:t>and</w:t>
      </w:r>
      <w:r>
        <w:rPr>
          <w:color w:val="000080"/>
        </w:rPr>
        <w:t xml:space="preserve"> </w:t>
      </w:r>
      <w:r w:rsidRPr="00490230">
        <w:rPr>
          <w:b/>
          <w:bCs/>
          <w:color w:val="FF6600"/>
        </w:rPr>
        <w:t>Investors</w:t>
      </w:r>
      <w:r w:rsidRPr="00074586">
        <w:rPr>
          <w:b/>
          <w:bCs/>
          <w:color w:val="000080"/>
        </w:rPr>
        <w:t>.</w:t>
      </w:r>
    </w:p>
    <w:p w14:paraId="4A452999" w14:textId="43BF5B00" w:rsidR="009A0847" w:rsidRPr="00074586" w:rsidRDefault="009A0847" w:rsidP="00F86E09">
      <w:pPr>
        <w:widowControl w:val="0"/>
        <w:ind w:right="-180"/>
        <w:rPr>
          <w:color w:val="000080"/>
        </w:rPr>
      </w:pPr>
      <w:r w:rsidRPr="00074586">
        <w:rPr>
          <w:b/>
          <w:bCs/>
          <w:color w:val="000080"/>
        </w:rPr>
        <w:t>Your</w:t>
      </w:r>
      <w:r>
        <w:rPr>
          <w:b/>
          <w:bCs/>
          <w:color w:val="000080"/>
        </w:rPr>
        <w:t xml:space="preserve"> </w:t>
      </w:r>
      <w:r w:rsidRPr="00074586">
        <w:rPr>
          <w:b/>
          <w:bCs/>
          <w:color w:val="000080"/>
        </w:rPr>
        <w:t>Role:</w:t>
      </w:r>
      <w:r>
        <w:rPr>
          <w:color w:val="000080"/>
        </w:rPr>
        <w:t xml:space="preserve"> </w:t>
      </w:r>
      <w:r w:rsidRPr="00074586">
        <w:rPr>
          <w:color w:val="000080"/>
        </w:rPr>
        <w:t>Throughout</w:t>
      </w:r>
      <w:r>
        <w:rPr>
          <w:color w:val="000080"/>
        </w:rPr>
        <w:t xml:space="preserve"> </w:t>
      </w:r>
      <w:r w:rsidRPr="00074586">
        <w:rPr>
          <w:color w:val="000080"/>
        </w:rPr>
        <w:t>the</w:t>
      </w:r>
      <w:r>
        <w:rPr>
          <w:color w:val="000080"/>
        </w:rPr>
        <w:t xml:space="preserve"> </w:t>
      </w:r>
      <w:r w:rsidRPr="00074586">
        <w:rPr>
          <w:color w:val="000080"/>
        </w:rPr>
        <w:t>experiment,</w:t>
      </w:r>
      <w:r>
        <w:rPr>
          <w:color w:val="000080"/>
        </w:rPr>
        <w:t xml:space="preserve"> </w:t>
      </w:r>
      <w:r w:rsidRPr="00074586">
        <w:rPr>
          <w:color w:val="000080"/>
        </w:rPr>
        <w:t>you</w:t>
      </w:r>
      <w:r>
        <w:rPr>
          <w:color w:val="000080"/>
        </w:rPr>
        <w:t xml:space="preserve"> </w:t>
      </w:r>
      <w:r w:rsidRPr="00074586">
        <w:rPr>
          <w:color w:val="000080"/>
        </w:rPr>
        <w:t>will</w:t>
      </w:r>
      <w:r>
        <w:rPr>
          <w:color w:val="000080"/>
        </w:rPr>
        <w:t xml:space="preserve"> </w:t>
      </w:r>
      <w:r w:rsidRPr="00074586">
        <w:rPr>
          <w:color w:val="000080"/>
        </w:rPr>
        <w:t>be</w:t>
      </w:r>
      <w:r>
        <w:rPr>
          <w:color w:val="000080"/>
        </w:rPr>
        <w:t xml:space="preserve"> </w:t>
      </w:r>
      <w:r w:rsidRPr="00074586">
        <w:rPr>
          <w:color w:val="000080"/>
        </w:rPr>
        <w:t>a</w:t>
      </w:r>
      <w:r>
        <w:rPr>
          <w:color w:val="000080"/>
        </w:rPr>
        <w:t xml:space="preserve"> </w:t>
      </w:r>
      <w:r w:rsidRPr="00074586">
        <w:rPr>
          <w:color w:val="000080"/>
        </w:rPr>
        <w:t>(</w:t>
      </w:r>
      <w:r w:rsidRPr="00E12A56">
        <w:rPr>
          <w:b/>
          <w:bCs/>
          <w:color w:val="3366FF"/>
        </w:rPr>
        <w:t>Bank</w:t>
      </w:r>
      <w:r>
        <w:rPr>
          <w:color w:val="000080"/>
        </w:rPr>
        <w:t xml:space="preserve"> </w:t>
      </w:r>
      <w:r w:rsidRPr="00074586">
        <w:rPr>
          <w:color w:val="000080"/>
        </w:rPr>
        <w:t>or</w:t>
      </w:r>
      <w:r>
        <w:rPr>
          <w:color w:val="000080"/>
        </w:rPr>
        <w:t xml:space="preserve"> </w:t>
      </w:r>
      <w:r w:rsidRPr="00490230">
        <w:rPr>
          <w:b/>
          <w:bCs/>
          <w:color w:val="FF6600"/>
        </w:rPr>
        <w:t>Investor</w:t>
      </w:r>
      <w:r w:rsidRPr="00074586">
        <w:rPr>
          <w:color w:val="000080"/>
        </w:rPr>
        <w:t>).</w:t>
      </w:r>
    </w:p>
    <w:p w14:paraId="5A59A155" w14:textId="164543E1" w:rsidR="009A0847" w:rsidRPr="00074586" w:rsidRDefault="009A0847" w:rsidP="00F86E09">
      <w:pPr>
        <w:widowControl w:val="0"/>
        <w:ind w:right="-180"/>
        <w:rPr>
          <w:color w:val="000080"/>
        </w:rPr>
      </w:pPr>
      <w:r w:rsidRPr="00074586">
        <w:rPr>
          <w:b/>
          <w:bCs/>
          <w:color w:val="000080"/>
        </w:rPr>
        <w:t>Rounds:</w:t>
      </w:r>
      <w:r>
        <w:rPr>
          <w:color w:val="000080"/>
        </w:rPr>
        <w:t xml:space="preserve"> </w:t>
      </w:r>
      <w:r w:rsidRPr="00074586">
        <w:rPr>
          <w:color w:val="000080"/>
        </w:rPr>
        <w:t>The</w:t>
      </w:r>
      <w:r>
        <w:rPr>
          <w:color w:val="000080"/>
        </w:rPr>
        <w:t xml:space="preserve"> </w:t>
      </w:r>
      <w:r w:rsidRPr="00074586">
        <w:rPr>
          <w:color w:val="000080"/>
        </w:rPr>
        <w:t>experiment</w:t>
      </w:r>
      <w:r>
        <w:rPr>
          <w:color w:val="000080"/>
        </w:rPr>
        <w:t xml:space="preserve"> </w:t>
      </w:r>
      <w:r w:rsidRPr="00074586">
        <w:rPr>
          <w:color w:val="000080"/>
        </w:rPr>
        <w:t>will</w:t>
      </w:r>
      <w:r>
        <w:rPr>
          <w:color w:val="000080"/>
        </w:rPr>
        <w:t xml:space="preserve"> </w:t>
      </w:r>
      <w:r w:rsidRPr="00074586">
        <w:rPr>
          <w:color w:val="000080"/>
        </w:rPr>
        <w:t>consist</w:t>
      </w:r>
      <w:r>
        <w:rPr>
          <w:color w:val="000080"/>
        </w:rPr>
        <w:t xml:space="preserve"> </w:t>
      </w:r>
      <w:r w:rsidRPr="00074586">
        <w:rPr>
          <w:color w:val="000080"/>
        </w:rPr>
        <w:t>of</w:t>
      </w:r>
      <w:r>
        <w:rPr>
          <w:color w:val="000080"/>
        </w:rPr>
        <w:t xml:space="preserve"> </w:t>
      </w:r>
      <w:r w:rsidRPr="00074586">
        <w:rPr>
          <w:b/>
          <w:bCs/>
          <w:color w:val="000080"/>
        </w:rPr>
        <w:t>25</w:t>
      </w:r>
      <w:r>
        <w:rPr>
          <w:b/>
          <w:bCs/>
          <w:color w:val="000080"/>
        </w:rPr>
        <w:t xml:space="preserve"> </w:t>
      </w:r>
      <w:r w:rsidRPr="00074586">
        <w:rPr>
          <w:b/>
          <w:bCs/>
          <w:color w:val="000080"/>
        </w:rPr>
        <w:t>rounds</w:t>
      </w:r>
      <w:r w:rsidRPr="00074586">
        <w:rPr>
          <w:color w:val="000080"/>
        </w:rPr>
        <w:t>.</w:t>
      </w:r>
      <w:r>
        <w:rPr>
          <w:color w:val="000080"/>
        </w:rPr>
        <w:t xml:space="preserve"> </w:t>
      </w:r>
      <w:r w:rsidRPr="00074586">
        <w:rPr>
          <w:color w:val="000080"/>
        </w:rPr>
        <w:t>Each</w:t>
      </w:r>
      <w:r>
        <w:rPr>
          <w:color w:val="000080"/>
        </w:rPr>
        <w:t xml:space="preserve"> </w:t>
      </w:r>
      <w:r w:rsidRPr="00074586">
        <w:rPr>
          <w:color w:val="000080"/>
        </w:rPr>
        <w:t>round</w:t>
      </w:r>
      <w:r>
        <w:rPr>
          <w:color w:val="000080"/>
        </w:rPr>
        <w:t xml:space="preserve"> </w:t>
      </w:r>
      <w:r w:rsidRPr="00074586">
        <w:rPr>
          <w:color w:val="000080"/>
        </w:rPr>
        <w:t>has</w:t>
      </w:r>
      <w:r>
        <w:rPr>
          <w:color w:val="000080"/>
        </w:rPr>
        <w:t xml:space="preserve"> </w:t>
      </w:r>
      <w:r w:rsidRPr="00074586">
        <w:rPr>
          <w:b/>
          <w:bCs/>
          <w:color w:val="000080"/>
        </w:rPr>
        <w:t>2</w:t>
      </w:r>
      <w:r>
        <w:rPr>
          <w:b/>
          <w:bCs/>
          <w:color w:val="000080"/>
        </w:rPr>
        <w:t xml:space="preserve"> </w:t>
      </w:r>
      <w:r w:rsidRPr="00074586">
        <w:rPr>
          <w:b/>
          <w:bCs/>
          <w:color w:val="000080"/>
        </w:rPr>
        <w:t>periods</w:t>
      </w:r>
      <w:r w:rsidRPr="00074586">
        <w:rPr>
          <w:color w:val="000080"/>
        </w:rPr>
        <w:t>.</w:t>
      </w:r>
    </w:p>
    <w:p w14:paraId="3B8F100C" w14:textId="2D262806" w:rsidR="009A0847" w:rsidRPr="00074586" w:rsidRDefault="009A0847" w:rsidP="00F86E09">
      <w:pPr>
        <w:widowControl w:val="0"/>
        <w:ind w:right="-180"/>
        <w:rPr>
          <w:color w:val="000080"/>
        </w:rPr>
      </w:pPr>
      <w:r w:rsidRPr="00074586">
        <w:rPr>
          <w:b/>
          <w:bCs/>
          <w:color w:val="000080"/>
        </w:rPr>
        <w:t>Matching:</w:t>
      </w:r>
      <w:r>
        <w:rPr>
          <w:color w:val="000080"/>
        </w:rPr>
        <w:t xml:space="preserve"> </w:t>
      </w:r>
      <w:r w:rsidRPr="00074586">
        <w:rPr>
          <w:color w:val="000080"/>
        </w:rPr>
        <w:t>In</w:t>
      </w:r>
      <w:r>
        <w:rPr>
          <w:color w:val="000080"/>
        </w:rPr>
        <w:t xml:space="preserve"> </w:t>
      </w:r>
      <w:r w:rsidRPr="00074586">
        <w:rPr>
          <w:color w:val="000080"/>
        </w:rPr>
        <w:t>each</w:t>
      </w:r>
      <w:r>
        <w:rPr>
          <w:color w:val="000080"/>
        </w:rPr>
        <w:t xml:space="preserve"> </w:t>
      </w:r>
      <w:r w:rsidRPr="00074586">
        <w:rPr>
          <w:color w:val="000080"/>
        </w:rPr>
        <w:t>round,</w:t>
      </w:r>
      <w:r>
        <w:rPr>
          <w:color w:val="000080"/>
        </w:rPr>
        <w:t xml:space="preserve"> </w:t>
      </w:r>
      <w:r w:rsidRPr="00074586">
        <w:rPr>
          <w:color w:val="000080"/>
        </w:rPr>
        <w:t>a</w:t>
      </w:r>
      <w:r>
        <w:rPr>
          <w:color w:val="000080"/>
        </w:rPr>
        <w:t xml:space="preserve"> </w:t>
      </w:r>
      <w:r w:rsidRPr="00E12A56">
        <w:rPr>
          <w:b/>
          <w:bCs/>
          <w:color w:val="3366FF"/>
        </w:rPr>
        <w:t>Bank</w:t>
      </w:r>
      <w:r>
        <w:rPr>
          <w:color w:val="000080"/>
        </w:rPr>
        <w:t xml:space="preserve"> </w:t>
      </w:r>
      <w:r w:rsidRPr="00074586">
        <w:rPr>
          <w:color w:val="000080"/>
        </w:rPr>
        <w:t>and</w:t>
      </w:r>
      <w:r>
        <w:rPr>
          <w:color w:val="000080"/>
        </w:rPr>
        <w:t xml:space="preserve"> </w:t>
      </w:r>
      <w:r w:rsidRPr="00074586">
        <w:rPr>
          <w:color w:val="000080"/>
        </w:rPr>
        <w:t>an</w:t>
      </w:r>
      <w:r>
        <w:rPr>
          <w:color w:val="000080"/>
        </w:rPr>
        <w:t xml:space="preserve"> </w:t>
      </w:r>
      <w:r w:rsidRPr="00490230">
        <w:rPr>
          <w:b/>
          <w:bCs/>
          <w:color w:val="FF6600"/>
        </w:rPr>
        <w:t>Investor</w:t>
      </w:r>
      <w:r>
        <w:rPr>
          <w:color w:val="000080"/>
        </w:rPr>
        <w:t xml:space="preserve"> </w:t>
      </w:r>
      <w:r w:rsidRPr="00074586">
        <w:rPr>
          <w:color w:val="000080"/>
        </w:rPr>
        <w:t>are</w:t>
      </w:r>
      <w:r>
        <w:rPr>
          <w:color w:val="000080"/>
        </w:rPr>
        <w:t xml:space="preserve"> </w:t>
      </w:r>
      <w:r w:rsidRPr="00074586">
        <w:rPr>
          <w:color w:val="000080"/>
        </w:rPr>
        <w:t>paired</w:t>
      </w:r>
      <w:r>
        <w:rPr>
          <w:color w:val="000080"/>
        </w:rPr>
        <w:t xml:space="preserve"> </w:t>
      </w:r>
      <w:r w:rsidRPr="00074586">
        <w:rPr>
          <w:color w:val="000080"/>
        </w:rPr>
        <w:t>together</w:t>
      </w:r>
      <w:r>
        <w:rPr>
          <w:color w:val="000080"/>
        </w:rPr>
        <w:t xml:space="preserve"> </w:t>
      </w:r>
      <w:r w:rsidRPr="00074586">
        <w:rPr>
          <w:color w:val="000080"/>
        </w:rPr>
        <w:t>at</w:t>
      </w:r>
      <w:r>
        <w:rPr>
          <w:color w:val="000080"/>
        </w:rPr>
        <w:t xml:space="preserve"> </w:t>
      </w:r>
      <w:r w:rsidRPr="00074586">
        <w:rPr>
          <w:color w:val="000080"/>
        </w:rPr>
        <w:t>random.</w:t>
      </w:r>
    </w:p>
    <w:p w14:paraId="3E377DAD" w14:textId="2B75DDED" w:rsidR="009A0847" w:rsidRPr="00074586" w:rsidRDefault="009A0847" w:rsidP="00F86E09">
      <w:pPr>
        <w:widowControl w:val="0"/>
        <w:ind w:right="-180"/>
        <w:outlineLvl w:val="2"/>
        <w:rPr>
          <w:b/>
          <w:bCs/>
          <w:color w:val="000080"/>
        </w:rPr>
      </w:pPr>
      <w:r w:rsidRPr="009A0847">
        <w:rPr>
          <w:b/>
          <w:bCs/>
          <w:color w:val="000080"/>
        </w:rPr>
        <w:t>Decisions:</w:t>
      </w:r>
      <w:r>
        <w:rPr>
          <w:color w:val="000080"/>
        </w:rPr>
        <w:t xml:space="preserve"> </w:t>
      </w:r>
      <w:r w:rsidRPr="009A0847">
        <w:rPr>
          <w:color w:val="000080"/>
        </w:rPr>
        <w:t>The</w:t>
      </w:r>
      <w:r>
        <w:rPr>
          <w:color w:val="000080"/>
        </w:rPr>
        <w:t xml:space="preserve"> </w:t>
      </w:r>
      <w:r w:rsidRPr="00E12A56">
        <w:rPr>
          <w:b/>
          <w:bCs/>
          <w:color w:val="3366FF"/>
        </w:rPr>
        <w:t>Bank</w:t>
      </w:r>
      <w:r>
        <w:rPr>
          <w:color w:val="000080"/>
        </w:rPr>
        <w:t xml:space="preserve"> </w:t>
      </w:r>
      <w:r w:rsidRPr="009A0847">
        <w:rPr>
          <w:color w:val="000080"/>
        </w:rPr>
        <w:t>makes</w:t>
      </w:r>
      <w:r>
        <w:rPr>
          <w:color w:val="000080"/>
        </w:rPr>
        <w:t xml:space="preserve"> </w:t>
      </w:r>
      <w:r w:rsidRPr="009A0847">
        <w:rPr>
          <w:color w:val="000080"/>
        </w:rPr>
        <w:t>a</w:t>
      </w:r>
      <w:r>
        <w:rPr>
          <w:color w:val="000080"/>
        </w:rPr>
        <w:t xml:space="preserve"> </w:t>
      </w:r>
      <w:r w:rsidRPr="009A0847">
        <w:rPr>
          <w:color w:val="000080"/>
        </w:rPr>
        <w:t>decision</w:t>
      </w:r>
      <w:r>
        <w:rPr>
          <w:color w:val="000080"/>
        </w:rPr>
        <w:t xml:space="preserve"> </w:t>
      </w:r>
      <w:r w:rsidRPr="009A0847">
        <w:rPr>
          <w:color w:val="000080"/>
        </w:rPr>
        <w:t>in</w:t>
      </w:r>
      <w:r>
        <w:rPr>
          <w:color w:val="000080"/>
        </w:rPr>
        <w:t xml:space="preserve"> </w:t>
      </w:r>
      <w:r w:rsidRPr="009A0847">
        <w:rPr>
          <w:b/>
          <w:bCs/>
          <w:color w:val="000080"/>
        </w:rPr>
        <w:t>period</w:t>
      </w:r>
      <w:r>
        <w:rPr>
          <w:b/>
          <w:bCs/>
          <w:color w:val="000080"/>
        </w:rPr>
        <w:t xml:space="preserve"> </w:t>
      </w:r>
      <w:r w:rsidRPr="009A0847">
        <w:rPr>
          <w:b/>
          <w:bCs/>
          <w:color w:val="000080"/>
        </w:rPr>
        <w:t>1</w:t>
      </w:r>
      <w:r w:rsidRPr="009A0847">
        <w:rPr>
          <w:color w:val="000080"/>
        </w:rPr>
        <w:t>,</w:t>
      </w:r>
      <w:r>
        <w:rPr>
          <w:color w:val="000080"/>
        </w:rPr>
        <w:t xml:space="preserve"> </w:t>
      </w:r>
      <w:r w:rsidRPr="009A0847">
        <w:rPr>
          <w:color w:val="000080"/>
        </w:rPr>
        <w:t>and</w:t>
      </w:r>
      <w:r>
        <w:rPr>
          <w:color w:val="000080"/>
        </w:rPr>
        <w:t xml:space="preserve"> </w:t>
      </w:r>
      <w:r w:rsidRPr="009A0847">
        <w:rPr>
          <w:color w:val="000080"/>
        </w:rPr>
        <w:t>the</w:t>
      </w:r>
      <w:r>
        <w:rPr>
          <w:color w:val="000080"/>
        </w:rPr>
        <w:t xml:space="preserve"> </w:t>
      </w:r>
      <w:r w:rsidRPr="00490230">
        <w:rPr>
          <w:b/>
          <w:bCs/>
          <w:color w:val="FF6600"/>
        </w:rPr>
        <w:t>Investor</w:t>
      </w:r>
      <w:r>
        <w:rPr>
          <w:color w:val="000080"/>
        </w:rPr>
        <w:t xml:space="preserve"> </w:t>
      </w:r>
      <w:r w:rsidRPr="009A0847">
        <w:rPr>
          <w:color w:val="000080"/>
        </w:rPr>
        <w:t>makes</w:t>
      </w:r>
      <w:r>
        <w:rPr>
          <w:color w:val="000080"/>
        </w:rPr>
        <w:t xml:space="preserve"> </w:t>
      </w:r>
      <w:r w:rsidRPr="009A0847">
        <w:rPr>
          <w:color w:val="000080"/>
        </w:rPr>
        <w:t>a</w:t>
      </w:r>
      <w:r>
        <w:rPr>
          <w:color w:val="000080"/>
        </w:rPr>
        <w:t xml:space="preserve"> </w:t>
      </w:r>
      <w:r w:rsidRPr="009A0847">
        <w:rPr>
          <w:color w:val="000080"/>
        </w:rPr>
        <w:t>decision</w:t>
      </w:r>
      <w:r>
        <w:rPr>
          <w:color w:val="000080"/>
        </w:rPr>
        <w:t xml:space="preserve"> </w:t>
      </w:r>
      <w:r w:rsidRPr="009A0847">
        <w:rPr>
          <w:color w:val="000080"/>
        </w:rPr>
        <w:t>in</w:t>
      </w:r>
      <w:r>
        <w:rPr>
          <w:color w:val="000080"/>
        </w:rPr>
        <w:t xml:space="preserve"> </w:t>
      </w:r>
      <w:r w:rsidRPr="009A0847">
        <w:rPr>
          <w:b/>
          <w:bCs/>
          <w:color w:val="000080"/>
        </w:rPr>
        <w:t>period</w:t>
      </w:r>
      <w:r>
        <w:rPr>
          <w:b/>
          <w:bCs/>
          <w:color w:val="000080"/>
        </w:rPr>
        <w:t xml:space="preserve"> </w:t>
      </w:r>
      <w:r w:rsidRPr="009A0847">
        <w:rPr>
          <w:b/>
          <w:bCs/>
          <w:color w:val="000080"/>
        </w:rPr>
        <w:t>2</w:t>
      </w:r>
    </w:p>
    <w:p w14:paraId="5AE44ED2" w14:textId="13F41450" w:rsidR="00490230" w:rsidRDefault="00490230" w:rsidP="00490230">
      <w:pPr>
        <w:widowControl w:val="0"/>
      </w:pPr>
      <w:r>
        <w:t>________________________________________________________________________________</w:t>
      </w:r>
    </w:p>
    <w:p w14:paraId="03B0B1B9" w14:textId="65483352" w:rsidR="00490230" w:rsidRDefault="00490230" w:rsidP="00490230">
      <w:pPr>
        <w:widowControl w:val="0"/>
        <w:ind w:left="3690"/>
        <w:outlineLvl w:val="2"/>
        <w:rPr>
          <w:b/>
          <w:bCs/>
          <w:color w:val="008000"/>
        </w:rPr>
      </w:pPr>
      <w:r w:rsidRPr="00074586">
        <w:rPr>
          <w:b/>
          <w:bCs/>
          <w:color w:val="000080"/>
        </w:rPr>
        <w:t>Instructions</w:t>
      </w:r>
      <w:r>
        <w:rPr>
          <w:b/>
          <w:bCs/>
          <w:color w:val="000080"/>
        </w:rPr>
        <w:t xml:space="preserve"> </w:t>
      </w:r>
      <w:r>
        <w:rPr>
          <w:b/>
          <w:bCs/>
          <w:color w:val="000080"/>
        </w:rPr>
        <w:tab/>
      </w:r>
      <w:r>
        <w:rPr>
          <w:b/>
          <w:bCs/>
          <w:color w:val="000080"/>
        </w:rPr>
        <w:tab/>
      </w:r>
      <w:r>
        <w:rPr>
          <w:b/>
          <w:bCs/>
          <w:color w:val="000080"/>
        </w:rPr>
        <w:tab/>
      </w:r>
      <w:r>
        <w:rPr>
          <w:b/>
          <w:bCs/>
          <w:color w:val="000080"/>
        </w:rPr>
        <w:tab/>
      </w:r>
      <w:r>
        <w:rPr>
          <w:b/>
          <w:bCs/>
          <w:color w:val="000080"/>
        </w:rPr>
        <w:tab/>
        <w:t xml:space="preserve">         </w:t>
      </w:r>
      <w:r w:rsidRPr="00074586">
        <w:rPr>
          <w:b/>
          <w:bCs/>
          <w:color w:val="008000"/>
        </w:rPr>
        <w:t>Page</w:t>
      </w:r>
      <w:r>
        <w:rPr>
          <w:b/>
          <w:bCs/>
          <w:color w:val="008000"/>
        </w:rPr>
        <w:t xml:space="preserve"> 2 </w:t>
      </w:r>
      <w:r w:rsidRPr="00074586">
        <w:rPr>
          <w:b/>
          <w:bCs/>
          <w:color w:val="008000"/>
        </w:rPr>
        <w:t>of</w:t>
      </w:r>
      <w:r>
        <w:rPr>
          <w:b/>
          <w:bCs/>
          <w:color w:val="008000"/>
        </w:rPr>
        <w:t xml:space="preserve"> </w:t>
      </w:r>
      <w:r w:rsidRPr="00074586">
        <w:rPr>
          <w:b/>
          <w:bCs/>
          <w:color w:val="008000"/>
        </w:rPr>
        <w:t>5</w:t>
      </w:r>
    </w:p>
    <w:p w14:paraId="2AA29FCA" w14:textId="589EB075" w:rsidR="00065D3C" w:rsidRPr="00065D3C" w:rsidRDefault="00065D3C" w:rsidP="00490230">
      <w:pPr>
        <w:widowControl w:val="0"/>
        <w:rPr>
          <w:b/>
          <w:bCs/>
          <w:color w:val="008000"/>
          <w:sz w:val="12"/>
          <w:szCs w:val="12"/>
        </w:rPr>
      </w:pPr>
    </w:p>
    <w:p w14:paraId="7AB71789" w14:textId="33552399" w:rsidR="009A0847" w:rsidRPr="00074586" w:rsidRDefault="009A0847" w:rsidP="00F86E09">
      <w:pPr>
        <w:widowControl w:val="0"/>
        <w:rPr>
          <w:color w:val="000080"/>
        </w:rPr>
      </w:pPr>
      <w:r w:rsidRPr="00E12A56">
        <w:rPr>
          <w:b/>
          <w:bCs/>
          <w:color w:val="3366FF"/>
        </w:rPr>
        <w:t>Bank Characteristics</w:t>
      </w:r>
      <w:r w:rsidRPr="00074586">
        <w:rPr>
          <w:color w:val="000080"/>
        </w:rPr>
        <w:t>:</w:t>
      </w:r>
    </w:p>
    <w:p w14:paraId="0FBA109B" w14:textId="4F4C7D71" w:rsidR="00A177E7" w:rsidRDefault="009A0847" w:rsidP="00F86E09">
      <w:pPr>
        <w:widowControl w:val="0"/>
        <w:jc w:val="both"/>
        <w:rPr>
          <w:color w:val="000080"/>
        </w:rPr>
      </w:pPr>
      <w:r w:rsidRPr="00074586">
        <w:rPr>
          <w:color w:val="000080"/>
        </w:rPr>
        <w:t>A</w:t>
      </w:r>
      <w:r>
        <w:rPr>
          <w:color w:val="000080"/>
        </w:rPr>
        <w:t xml:space="preserve"> </w:t>
      </w:r>
      <w:r w:rsidRPr="00E12A56">
        <w:rPr>
          <w:b/>
          <w:bCs/>
          <w:color w:val="3366FF"/>
        </w:rPr>
        <w:t>Bank</w:t>
      </w:r>
      <w:r>
        <w:rPr>
          <w:color w:val="000080"/>
        </w:rPr>
        <w:t xml:space="preserve"> </w:t>
      </w:r>
      <w:r w:rsidRPr="00074586">
        <w:rPr>
          <w:color w:val="000080"/>
        </w:rPr>
        <w:t>can</w:t>
      </w:r>
      <w:r>
        <w:rPr>
          <w:color w:val="000080"/>
        </w:rPr>
        <w:t xml:space="preserve"> </w:t>
      </w:r>
      <w:r w:rsidRPr="00074586">
        <w:rPr>
          <w:color w:val="000080"/>
        </w:rPr>
        <w:t>be</w:t>
      </w:r>
      <w:r>
        <w:rPr>
          <w:color w:val="000080"/>
        </w:rPr>
        <w:t xml:space="preserve"> </w:t>
      </w:r>
      <w:r w:rsidR="00A177E7">
        <w:rPr>
          <w:b/>
          <w:bCs/>
          <w:color w:val="000080"/>
        </w:rPr>
        <w:t>“</w:t>
      </w:r>
      <w:r w:rsidRPr="00074586">
        <w:rPr>
          <w:b/>
          <w:bCs/>
          <w:color w:val="000080"/>
        </w:rPr>
        <w:t>Solvent</w:t>
      </w:r>
      <w:r w:rsidR="00A177E7">
        <w:rPr>
          <w:b/>
          <w:bCs/>
          <w:color w:val="000080"/>
        </w:rPr>
        <w:t>”</w:t>
      </w:r>
      <w:r>
        <w:rPr>
          <w:color w:val="000080"/>
        </w:rPr>
        <w:t xml:space="preserve"> </w:t>
      </w:r>
      <w:r w:rsidRPr="00074586">
        <w:rPr>
          <w:color w:val="000080"/>
        </w:rPr>
        <w:t>or</w:t>
      </w:r>
      <w:r>
        <w:rPr>
          <w:color w:val="000080"/>
        </w:rPr>
        <w:t xml:space="preserve"> </w:t>
      </w:r>
      <w:r w:rsidR="00A177E7">
        <w:rPr>
          <w:b/>
          <w:bCs/>
          <w:color w:val="000080"/>
        </w:rPr>
        <w:t>“</w:t>
      </w:r>
      <w:r w:rsidRPr="00074586">
        <w:rPr>
          <w:b/>
          <w:bCs/>
          <w:color w:val="000080"/>
        </w:rPr>
        <w:t>Insolvent</w:t>
      </w:r>
      <w:r w:rsidR="00A177E7">
        <w:rPr>
          <w:b/>
          <w:bCs/>
          <w:color w:val="000080"/>
        </w:rPr>
        <w:t>”</w:t>
      </w:r>
      <w:r w:rsidRPr="00074586">
        <w:rPr>
          <w:color w:val="000080"/>
        </w:rPr>
        <w:t>.</w:t>
      </w:r>
      <w:r>
        <w:rPr>
          <w:color w:val="000080"/>
        </w:rPr>
        <w:t xml:space="preserve"> </w:t>
      </w:r>
      <w:r w:rsidRPr="00074586">
        <w:rPr>
          <w:color w:val="000080"/>
        </w:rPr>
        <w:t>A</w:t>
      </w:r>
      <w:r>
        <w:rPr>
          <w:color w:val="000080"/>
        </w:rPr>
        <w:t xml:space="preserve"> </w:t>
      </w:r>
      <w:r w:rsidRPr="00074586">
        <w:rPr>
          <w:color w:val="000080"/>
        </w:rPr>
        <w:t>bank</w:t>
      </w:r>
      <w:r>
        <w:rPr>
          <w:color w:val="000080"/>
        </w:rPr>
        <w:t xml:space="preserve"> </w:t>
      </w:r>
      <w:r w:rsidRPr="00074586">
        <w:rPr>
          <w:color w:val="000080"/>
        </w:rPr>
        <w:t>that</w:t>
      </w:r>
      <w:r>
        <w:rPr>
          <w:color w:val="000080"/>
        </w:rPr>
        <w:t xml:space="preserve"> </w:t>
      </w:r>
      <w:r w:rsidRPr="00074586">
        <w:rPr>
          <w:color w:val="000080"/>
        </w:rPr>
        <w:t>is</w:t>
      </w:r>
      <w:r>
        <w:rPr>
          <w:color w:val="000080"/>
        </w:rPr>
        <w:t xml:space="preserve"> </w:t>
      </w:r>
      <w:r w:rsidRPr="00074586">
        <w:rPr>
          <w:color w:val="000080"/>
        </w:rPr>
        <w:t>insolvent</w:t>
      </w:r>
      <w:r>
        <w:rPr>
          <w:color w:val="000080"/>
        </w:rPr>
        <w:t xml:space="preserve"> </w:t>
      </w:r>
      <w:r w:rsidRPr="00074586">
        <w:rPr>
          <w:color w:val="000080"/>
        </w:rPr>
        <w:t>will</w:t>
      </w:r>
      <w:r>
        <w:rPr>
          <w:color w:val="000080"/>
        </w:rPr>
        <w:t xml:space="preserve"> </w:t>
      </w:r>
      <w:r w:rsidRPr="00074586">
        <w:rPr>
          <w:color w:val="000080"/>
        </w:rPr>
        <w:t>fail</w:t>
      </w:r>
      <w:r>
        <w:rPr>
          <w:color w:val="000080"/>
        </w:rPr>
        <w:t xml:space="preserve"> </w:t>
      </w:r>
      <w:r w:rsidRPr="00074586">
        <w:rPr>
          <w:color w:val="000080"/>
        </w:rPr>
        <w:t>at</w:t>
      </w:r>
      <w:r>
        <w:rPr>
          <w:color w:val="000080"/>
        </w:rPr>
        <w:t xml:space="preserve"> </w:t>
      </w:r>
      <w:r w:rsidRPr="00074586">
        <w:rPr>
          <w:color w:val="000080"/>
        </w:rPr>
        <w:t>the</w:t>
      </w:r>
      <w:r>
        <w:rPr>
          <w:color w:val="000080"/>
        </w:rPr>
        <w:t xml:space="preserve"> </w:t>
      </w:r>
      <w:r w:rsidRPr="00074586">
        <w:rPr>
          <w:color w:val="000080"/>
        </w:rPr>
        <w:t>end</w:t>
      </w:r>
      <w:r>
        <w:rPr>
          <w:color w:val="000080"/>
        </w:rPr>
        <w:t xml:space="preserve"> </w:t>
      </w:r>
      <w:r w:rsidRPr="00074586">
        <w:rPr>
          <w:color w:val="000080"/>
        </w:rPr>
        <w:t>of</w:t>
      </w:r>
      <w:r>
        <w:rPr>
          <w:color w:val="000080"/>
        </w:rPr>
        <w:t xml:space="preserve"> </w:t>
      </w:r>
      <w:r w:rsidRPr="00074586">
        <w:rPr>
          <w:color w:val="000080"/>
        </w:rPr>
        <w:t>period</w:t>
      </w:r>
      <w:r>
        <w:rPr>
          <w:color w:val="000080"/>
        </w:rPr>
        <w:t xml:space="preserve"> </w:t>
      </w:r>
      <w:r w:rsidRPr="00074586">
        <w:rPr>
          <w:color w:val="000080"/>
        </w:rPr>
        <w:t>2,</w:t>
      </w:r>
      <w:r>
        <w:rPr>
          <w:color w:val="000080"/>
        </w:rPr>
        <w:t xml:space="preserve"> </w:t>
      </w:r>
      <w:r w:rsidRPr="00074586">
        <w:rPr>
          <w:color w:val="000080"/>
        </w:rPr>
        <w:t>at</w:t>
      </w:r>
      <w:r>
        <w:rPr>
          <w:color w:val="000080"/>
        </w:rPr>
        <w:t xml:space="preserve"> </w:t>
      </w:r>
      <w:r w:rsidRPr="00074586">
        <w:rPr>
          <w:color w:val="000080"/>
        </w:rPr>
        <w:t>which</w:t>
      </w:r>
      <w:r>
        <w:rPr>
          <w:color w:val="000080"/>
        </w:rPr>
        <w:t xml:space="preserve"> </w:t>
      </w:r>
      <w:r w:rsidRPr="00074586">
        <w:rPr>
          <w:color w:val="000080"/>
        </w:rPr>
        <w:t>point</w:t>
      </w:r>
      <w:r>
        <w:rPr>
          <w:color w:val="000080"/>
        </w:rPr>
        <w:t xml:space="preserve"> </w:t>
      </w:r>
      <w:r w:rsidRPr="00074586">
        <w:rPr>
          <w:color w:val="000080"/>
        </w:rPr>
        <w:t>it</w:t>
      </w:r>
      <w:r>
        <w:rPr>
          <w:color w:val="000080"/>
        </w:rPr>
        <w:t xml:space="preserve"> </w:t>
      </w:r>
      <w:r w:rsidRPr="00074586">
        <w:rPr>
          <w:color w:val="000080"/>
        </w:rPr>
        <w:t>is</w:t>
      </w:r>
      <w:r>
        <w:rPr>
          <w:color w:val="000080"/>
        </w:rPr>
        <w:t xml:space="preserve"> </w:t>
      </w:r>
      <w:r w:rsidRPr="00074586">
        <w:rPr>
          <w:color w:val="000080"/>
        </w:rPr>
        <w:t>worth</w:t>
      </w:r>
      <w:r>
        <w:rPr>
          <w:color w:val="000080"/>
        </w:rPr>
        <w:t xml:space="preserve"> </w:t>
      </w:r>
      <w:r w:rsidRPr="00490230">
        <w:rPr>
          <w:b/>
          <w:bCs/>
          <w:color w:val="FF6600"/>
        </w:rPr>
        <w:t>0</w:t>
      </w:r>
      <w:r>
        <w:rPr>
          <w:color w:val="000080"/>
        </w:rPr>
        <w:t xml:space="preserve"> </w:t>
      </w:r>
      <w:r w:rsidRPr="00074586">
        <w:rPr>
          <w:color w:val="000080"/>
        </w:rPr>
        <w:t>to</w:t>
      </w:r>
      <w:r>
        <w:rPr>
          <w:color w:val="000080"/>
        </w:rPr>
        <w:t xml:space="preserve"> </w:t>
      </w:r>
      <w:r w:rsidRPr="00074586">
        <w:rPr>
          <w:color w:val="000080"/>
        </w:rPr>
        <w:t>the</w:t>
      </w:r>
      <w:r>
        <w:rPr>
          <w:color w:val="000080"/>
        </w:rPr>
        <w:t xml:space="preserve"> </w:t>
      </w:r>
      <w:r w:rsidRPr="00490230">
        <w:rPr>
          <w:b/>
          <w:bCs/>
          <w:color w:val="FF6600"/>
        </w:rPr>
        <w:t>Investor</w:t>
      </w:r>
      <w:r w:rsidRPr="00074586">
        <w:rPr>
          <w:color w:val="000080"/>
        </w:rPr>
        <w:t>.</w:t>
      </w:r>
      <w:r>
        <w:rPr>
          <w:color w:val="000080"/>
        </w:rPr>
        <w:t xml:space="preserve"> </w:t>
      </w:r>
      <w:r w:rsidRPr="00074586">
        <w:rPr>
          <w:color w:val="000080"/>
        </w:rPr>
        <w:t>In</w:t>
      </w:r>
      <w:r>
        <w:rPr>
          <w:color w:val="000080"/>
        </w:rPr>
        <w:t xml:space="preserve"> </w:t>
      </w:r>
      <w:r w:rsidRPr="00074586">
        <w:rPr>
          <w:color w:val="000080"/>
        </w:rPr>
        <w:t>contrast,</w:t>
      </w:r>
      <w:r>
        <w:rPr>
          <w:color w:val="000080"/>
        </w:rPr>
        <w:t xml:space="preserve"> </w:t>
      </w:r>
      <w:r w:rsidRPr="00074586">
        <w:rPr>
          <w:color w:val="000080"/>
        </w:rPr>
        <w:t>a</w:t>
      </w:r>
      <w:r>
        <w:rPr>
          <w:color w:val="000080"/>
        </w:rPr>
        <w:t xml:space="preserve"> </w:t>
      </w:r>
      <w:r w:rsidRPr="00074586">
        <w:rPr>
          <w:color w:val="000080"/>
        </w:rPr>
        <w:t>solvent</w:t>
      </w:r>
      <w:r>
        <w:rPr>
          <w:color w:val="000080"/>
        </w:rPr>
        <w:t xml:space="preserve"> </w:t>
      </w:r>
      <w:r w:rsidRPr="00074586">
        <w:rPr>
          <w:color w:val="000080"/>
        </w:rPr>
        <w:t>bank</w:t>
      </w:r>
      <w:r>
        <w:rPr>
          <w:color w:val="000080"/>
        </w:rPr>
        <w:t xml:space="preserve"> </w:t>
      </w:r>
      <w:r w:rsidRPr="00074586">
        <w:rPr>
          <w:color w:val="000080"/>
        </w:rPr>
        <w:t>is</w:t>
      </w:r>
      <w:r>
        <w:rPr>
          <w:color w:val="000080"/>
        </w:rPr>
        <w:t xml:space="preserve"> </w:t>
      </w:r>
      <w:r w:rsidRPr="00074586">
        <w:rPr>
          <w:color w:val="000080"/>
        </w:rPr>
        <w:t>worth</w:t>
      </w:r>
      <w:r>
        <w:rPr>
          <w:color w:val="000080"/>
        </w:rPr>
        <w:t xml:space="preserve"> </w:t>
      </w:r>
      <w:r w:rsidRPr="00490230">
        <w:rPr>
          <w:b/>
          <w:bCs/>
          <w:color w:val="FF6600"/>
        </w:rPr>
        <w:t>100</w:t>
      </w:r>
      <w:r>
        <w:rPr>
          <w:color w:val="000080"/>
        </w:rPr>
        <w:t xml:space="preserve"> </w:t>
      </w:r>
      <w:r w:rsidRPr="00074586">
        <w:rPr>
          <w:color w:val="000080"/>
        </w:rPr>
        <w:t>to</w:t>
      </w:r>
      <w:r>
        <w:rPr>
          <w:color w:val="000080"/>
        </w:rPr>
        <w:t xml:space="preserve"> </w:t>
      </w:r>
      <w:r w:rsidRPr="00074586">
        <w:rPr>
          <w:color w:val="000080"/>
        </w:rPr>
        <w:t>the</w:t>
      </w:r>
      <w:r>
        <w:rPr>
          <w:color w:val="000080"/>
        </w:rPr>
        <w:t xml:space="preserve"> </w:t>
      </w:r>
      <w:r w:rsidRPr="00490230">
        <w:rPr>
          <w:b/>
          <w:bCs/>
          <w:color w:val="FF6600"/>
        </w:rPr>
        <w:t>Investor</w:t>
      </w:r>
      <w:r>
        <w:rPr>
          <w:color w:val="000080"/>
        </w:rPr>
        <w:t xml:space="preserve"> </w:t>
      </w:r>
      <w:r w:rsidRPr="00074586">
        <w:rPr>
          <w:color w:val="000080"/>
        </w:rPr>
        <w:t>at</w:t>
      </w:r>
      <w:r>
        <w:rPr>
          <w:color w:val="000080"/>
        </w:rPr>
        <w:t xml:space="preserve"> </w:t>
      </w:r>
      <w:r w:rsidRPr="00074586">
        <w:rPr>
          <w:color w:val="000080"/>
        </w:rPr>
        <w:t>end</w:t>
      </w:r>
      <w:r>
        <w:rPr>
          <w:color w:val="000080"/>
        </w:rPr>
        <w:t xml:space="preserve"> </w:t>
      </w:r>
      <w:r w:rsidRPr="00074586">
        <w:rPr>
          <w:color w:val="000080"/>
        </w:rPr>
        <w:t>of</w:t>
      </w:r>
      <w:r>
        <w:rPr>
          <w:color w:val="000080"/>
        </w:rPr>
        <w:t xml:space="preserve"> </w:t>
      </w:r>
      <w:r w:rsidRPr="00074586">
        <w:rPr>
          <w:color w:val="000080"/>
        </w:rPr>
        <w:t>period</w:t>
      </w:r>
      <w:r>
        <w:rPr>
          <w:color w:val="000080"/>
        </w:rPr>
        <w:t xml:space="preserve"> </w:t>
      </w:r>
      <w:r w:rsidRPr="00074586">
        <w:rPr>
          <w:color w:val="000080"/>
        </w:rPr>
        <w:t>2.</w:t>
      </w:r>
    </w:p>
    <w:p w14:paraId="44754286" w14:textId="77777777" w:rsidR="00A177E7" w:rsidRPr="00A177E7" w:rsidRDefault="00A177E7" w:rsidP="00F86E09">
      <w:pPr>
        <w:widowControl w:val="0"/>
        <w:jc w:val="both"/>
        <w:rPr>
          <w:color w:val="000080"/>
          <w:sz w:val="12"/>
          <w:szCs w:val="12"/>
        </w:rPr>
      </w:pPr>
    </w:p>
    <w:p w14:paraId="39F8DDD8" w14:textId="6BE372DA" w:rsidR="00A177E7" w:rsidRDefault="00A177E7" w:rsidP="00F86E09">
      <w:pPr>
        <w:widowControl w:val="0"/>
        <w:jc w:val="both"/>
        <w:rPr>
          <w:color w:val="000080"/>
        </w:rPr>
      </w:pPr>
      <w:r w:rsidRPr="00074586">
        <w:rPr>
          <w:color w:val="000080"/>
        </w:rPr>
        <w:t>A</w:t>
      </w:r>
      <w:r>
        <w:rPr>
          <w:color w:val="000080"/>
        </w:rPr>
        <w:t xml:space="preserve"> </w:t>
      </w:r>
      <w:r w:rsidRPr="00E12A56">
        <w:rPr>
          <w:b/>
          <w:bCs/>
          <w:color w:val="3366FF"/>
        </w:rPr>
        <w:t>Bank</w:t>
      </w:r>
      <w:r>
        <w:rPr>
          <w:color w:val="000080"/>
        </w:rPr>
        <w:t xml:space="preserve"> </w:t>
      </w:r>
      <w:r w:rsidRPr="00074586">
        <w:rPr>
          <w:color w:val="000080"/>
        </w:rPr>
        <w:t>can</w:t>
      </w:r>
      <w:r>
        <w:rPr>
          <w:color w:val="000080"/>
        </w:rPr>
        <w:t xml:space="preserve"> </w:t>
      </w:r>
      <w:r w:rsidRPr="00074586">
        <w:rPr>
          <w:color w:val="000080"/>
        </w:rPr>
        <w:t>also</w:t>
      </w:r>
      <w:r>
        <w:rPr>
          <w:color w:val="000080"/>
        </w:rPr>
        <w:t xml:space="preserve"> </w:t>
      </w:r>
      <w:r w:rsidRPr="00074586">
        <w:rPr>
          <w:color w:val="000080"/>
        </w:rPr>
        <w:t>be</w:t>
      </w:r>
      <w:r>
        <w:rPr>
          <w:color w:val="000080"/>
        </w:rPr>
        <w:t xml:space="preserve"> </w:t>
      </w:r>
      <w:r>
        <w:rPr>
          <w:b/>
          <w:bCs/>
          <w:color w:val="000080"/>
        </w:rPr>
        <w:t>“</w:t>
      </w:r>
      <w:r w:rsidRPr="00074586">
        <w:rPr>
          <w:b/>
          <w:bCs/>
          <w:color w:val="000080"/>
        </w:rPr>
        <w:t>Liquid</w:t>
      </w:r>
      <w:r>
        <w:rPr>
          <w:b/>
          <w:bCs/>
          <w:color w:val="000080"/>
        </w:rPr>
        <w:t>”</w:t>
      </w:r>
      <w:r>
        <w:rPr>
          <w:color w:val="000080"/>
        </w:rPr>
        <w:t xml:space="preserve"> </w:t>
      </w:r>
      <w:r w:rsidRPr="00074586">
        <w:rPr>
          <w:color w:val="000080"/>
        </w:rPr>
        <w:t>or</w:t>
      </w:r>
      <w:r>
        <w:rPr>
          <w:color w:val="000080"/>
        </w:rPr>
        <w:t xml:space="preserve"> </w:t>
      </w:r>
      <w:r>
        <w:rPr>
          <w:b/>
          <w:bCs/>
          <w:color w:val="000080"/>
        </w:rPr>
        <w:t>“</w:t>
      </w:r>
      <w:r w:rsidRPr="00074586">
        <w:rPr>
          <w:b/>
          <w:bCs/>
          <w:color w:val="000080"/>
        </w:rPr>
        <w:t>Illiquid</w:t>
      </w:r>
      <w:r>
        <w:rPr>
          <w:b/>
          <w:bCs/>
          <w:color w:val="000080"/>
        </w:rPr>
        <w:t>”</w:t>
      </w:r>
      <w:r w:rsidRPr="00074586">
        <w:rPr>
          <w:color w:val="000080"/>
        </w:rPr>
        <w:t>.</w:t>
      </w:r>
      <w:r>
        <w:rPr>
          <w:color w:val="000080"/>
        </w:rPr>
        <w:t xml:space="preserve"> </w:t>
      </w:r>
      <w:r w:rsidRPr="00074586">
        <w:rPr>
          <w:color w:val="000080"/>
        </w:rPr>
        <w:t>An</w:t>
      </w:r>
      <w:r>
        <w:rPr>
          <w:color w:val="000080"/>
        </w:rPr>
        <w:t xml:space="preserve"> </w:t>
      </w:r>
      <w:r w:rsidRPr="00074586">
        <w:rPr>
          <w:color w:val="000080"/>
        </w:rPr>
        <w:t>illiquid</w:t>
      </w:r>
      <w:r>
        <w:rPr>
          <w:color w:val="000080"/>
        </w:rPr>
        <w:t xml:space="preserve"> </w:t>
      </w:r>
      <w:r w:rsidRPr="00074586">
        <w:rPr>
          <w:color w:val="000080"/>
        </w:rPr>
        <w:t>bank</w:t>
      </w:r>
      <w:r>
        <w:rPr>
          <w:color w:val="000080"/>
        </w:rPr>
        <w:t xml:space="preserve"> </w:t>
      </w:r>
      <w:r w:rsidRPr="00074586">
        <w:rPr>
          <w:color w:val="000080"/>
        </w:rPr>
        <w:t>must</w:t>
      </w:r>
      <w:r>
        <w:rPr>
          <w:color w:val="000080"/>
        </w:rPr>
        <w:t xml:space="preserve"> </w:t>
      </w:r>
      <w:r w:rsidRPr="00074586">
        <w:rPr>
          <w:color w:val="000080"/>
        </w:rPr>
        <w:t>make</w:t>
      </w:r>
      <w:r>
        <w:rPr>
          <w:color w:val="000080"/>
        </w:rPr>
        <w:t xml:space="preserve"> </w:t>
      </w:r>
      <w:r w:rsidRPr="00074586">
        <w:rPr>
          <w:color w:val="000080"/>
        </w:rPr>
        <w:t>a</w:t>
      </w:r>
      <w:r>
        <w:rPr>
          <w:color w:val="000080"/>
        </w:rPr>
        <w:t xml:space="preserve"> </w:t>
      </w:r>
      <w:r w:rsidRPr="00074586">
        <w:rPr>
          <w:color w:val="000080"/>
        </w:rPr>
        <w:t>payment</w:t>
      </w:r>
      <w:r>
        <w:rPr>
          <w:color w:val="000080"/>
        </w:rPr>
        <w:t xml:space="preserve"> </w:t>
      </w:r>
      <w:r w:rsidRPr="00074586">
        <w:rPr>
          <w:color w:val="000080"/>
        </w:rPr>
        <w:t>at</w:t>
      </w:r>
      <w:r>
        <w:rPr>
          <w:color w:val="000080"/>
        </w:rPr>
        <w:t xml:space="preserve"> </w:t>
      </w:r>
      <w:r w:rsidRPr="00074586">
        <w:rPr>
          <w:color w:val="000080"/>
        </w:rPr>
        <w:t>the</w:t>
      </w:r>
      <w:r>
        <w:rPr>
          <w:color w:val="000080"/>
        </w:rPr>
        <w:t xml:space="preserve"> </w:t>
      </w:r>
      <w:r w:rsidRPr="00074586">
        <w:rPr>
          <w:color w:val="000080"/>
        </w:rPr>
        <w:t>end</w:t>
      </w:r>
      <w:r>
        <w:rPr>
          <w:color w:val="000080"/>
        </w:rPr>
        <w:t xml:space="preserve"> </w:t>
      </w:r>
      <w:r w:rsidRPr="00074586">
        <w:rPr>
          <w:color w:val="000080"/>
        </w:rPr>
        <w:t>of</w:t>
      </w:r>
      <w:r>
        <w:rPr>
          <w:color w:val="000080"/>
        </w:rPr>
        <w:t xml:space="preserve"> </w:t>
      </w:r>
      <w:r w:rsidRPr="00074586">
        <w:rPr>
          <w:color w:val="000080"/>
        </w:rPr>
        <w:lastRenderedPageBreak/>
        <w:t>period</w:t>
      </w:r>
      <w:r>
        <w:rPr>
          <w:color w:val="000080"/>
        </w:rPr>
        <w:t xml:space="preserve"> </w:t>
      </w:r>
      <w:r w:rsidRPr="00074586">
        <w:rPr>
          <w:color w:val="000080"/>
        </w:rPr>
        <w:t>1.</w:t>
      </w:r>
      <w:r>
        <w:rPr>
          <w:color w:val="000080"/>
        </w:rPr>
        <w:t xml:space="preserve"> </w:t>
      </w:r>
      <w:r w:rsidRPr="00074586">
        <w:rPr>
          <w:color w:val="000080"/>
        </w:rPr>
        <w:t>As</w:t>
      </w:r>
      <w:r>
        <w:rPr>
          <w:color w:val="000080"/>
        </w:rPr>
        <w:t xml:space="preserve"> </w:t>
      </w:r>
      <w:r w:rsidRPr="00074586">
        <w:rPr>
          <w:color w:val="000080"/>
        </w:rPr>
        <w:t>explained</w:t>
      </w:r>
      <w:r>
        <w:rPr>
          <w:color w:val="000080"/>
        </w:rPr>
        <w:t xml:space="preserve"> </w:t>
      </w:r>
      <w:r w:rsidRPr="00074586">
        <w:rPr>
          <w:color w:val="000080"/>
        </w:rPr>
        <w:t>next,</w:t>
      </w:r>
      <w:r>
        <w:rPr>
          <w:color w:val="000080"/>
        </w:rPr>
        <w:t xml:space="preserve"> </w:t>
      </w:r>
      <w:r w:rsidRPr="00074586">
        <w:rPr>
          <w:color w:val="000080"/>
        </w:rPr>
        <w:t>an</w:t>
      </w:r>
      <w:r>
        <w:rPr>
          <w:color w:val="000080"/>
        </w:rPr>
        <w:t xml:space="preserve"> </w:t>
      </w:r>
      <w:r w:rsidRPr="00074586">
        <w:rPr>
          <w:color w:val="000080"/>
        </w:rPr>
        <w:t>illiquid</w:t>
      </w:r>
      <w:r>
        <w:rPr>
          <w:color w:val="000080"/>
        </w:rPr>
        <w:t xml:space="preserve"> </w:t>
      </w:r>
      <w:r w:rsidRPr="00074586">
        <w:rPr>
          <w:color w:val="000080"/>
        </w:rPr>
        <w:t>bank</w:t>
      </w:r>
      <w:r>
        <w:rPr>
          <w:color w:val="000080"/>
        </w:rPr>
        <w:t xml:space="preserve"> </w:t>
      </w:r>
      <w:r w:rsidRPr="00074586">
        <w:rPr>
          <w:color w:val="000080"/>
        </w:rPr>
        <w:t>must</w:t>
      </w:r>
      <w:r>
        <w:rPr>
          <w:color w:val="000080"/>
        </w:rPr>
        <w:t xml:space="preserve"> </w:t>
      </w:r>
      <w:r w:rsidRPr="00074586">
        <w:rPr>
          <w:color w:val="000080"/>
        </w:rPr>
        <w:t>incur</w:t>
      </w:r>
      <w:r>
        <w:rPr>
          <w:color w:val="000080"/>
        </w:rPr>
        <w:t xml:space="preserve"> </w:t>
      </w:r>
      <w:r w:rsidRPr="00074586">
        <w:rPr>
          <w:color w:val="000080"/>
        </w:rPr>
        <w:t>a</w:t>
      </w:r>
      <w:r>
        <w:rPr>
          <w:color w:val="000080"/>
        </w:rPr>
        <w:t xml:space="preserve"> </w:t>
      </w:r>
      <w:r w:rsidRPr="00074586">
        <w:rPr>
          <w:color w:val="000080"/>
        </w:rPr>
        <w:t>cost</w:t>
      </w:r>
      <w:r>
        <w:rPr>
          <w:color w:val="000080"/>
        </w:rPr>
        <w:t xml:space="preserve"> </w:t>
      </w:r>
      <w:r w:rsidRPr="00074586">
        <w:rPr>
          <w:color w:val="000080"/>
        </w:rPr>
        <w:t>to</w:t>
      </w:r>
      <w:r>
        <w:rPr>
          <w:color w:val="000080"/>
        </w:rPr>
        <w:t xml:space="preserve"> </w:t>
      </w:r>
      <w:r w:rsidRPr="00074586">
        <w:rPr>
          <w:color w:val="000080"/>
        </w:rPr>
        <w:t>secure</w:t>
      </w:r>
      <w:r>
        <w:rPr>
          <w:color w:val="000080"/>
        </w:rPr>
        <w:t xml:space="preserve"> </w:t>
      </w:r>
      <w:r w:rsidRPr="00074586">
        <w:rPr>
          <w:color w:val="000080"/>
        </w:rPr>
        <w:t>funds</w:t>
      </w:r>
      <w:r>
        <w:rPr>
          <w:color w:val="000080"/>
        </w:rPr>
        <w:t xml:space="preserve"> </w:t>
      </w:r>
      <w:r w:rsidRPr="00074586">
        <w:rPr>
          <w:color w:val="000080"/>
        </w:rPr>
        <w:t>to</w:t>
      </w:r>
      <w:r>
        <w:rPr>
          <w:color w:val="000080"/>
        </w:rPr>
        <w:t xml:space="preserve"> </w:t>
      </w:r>
      <w:r w:rsidRPr="00074586">
        <w:rPr>
          <w:color w:val="000080"/>
        </w:rPr>
        <w:t>make</w:t>
      </w:r>
      <w:r>
        <w:rPr>
          <w:color w:val="000080"/>
        </w:rPr>
        <w:t xml:space="preserve"> </w:t>
      </w:r>
      <w:r w:rsidRPr="00074586">
        <w:rPr>
          <w:color w:val="000080"/>
        </w:rPr>
        <w:t>this</w:t>
      </w:r>
      <w:r>
        <w:rPr>
          <w:color w:val="000080"/>
        </w:rPr>
        <w:t xml:space="preserve"> </w:t>
      </w:r>
      <w:r w:rsidRPr="00074586">
        <w:rPr>
          <w:color w:val="000080"/>
        </w:rPr>
        <w:t>payment.</w:t>
      </w:r>
      <w:r>
        <w:rPr>
          <w:color w:val="000080"/>
        </w:rPr>
        <w:t xml:space="preserve"> </w:t>
      </w:r>
      <w:r w:rsidRPr="00074586">
        <w:rPr>
          <w:color w:val="000080"/>
        </w:rPr>
        <w:t>In</w:t>
      </w:r>
      <w:r>
        <w:rPr>
          <w:color w:val="000080"/>
        </w:rPr>
        <w:t xml:space="preserve"> </w:t>
      </w:r>
      <w:r w:rsidRPr="00074586">
        <w:rPr>
          <w:color w:val="000080"/>
        </w:rPr>
        <w:t>contrast,</w:t>
      </w:r>
      <w:r>
        <w:rPr>
          <w:color w:val="000080"/>
        </w:rPr>
        <w:t xml:space="preserve"> </w:t>
      </w:r>
      <w:r w:rsidRPr="00074586">
        <w:rPr>
          <w:color w:val="000080"/>
        </w:rPr>
        <w:t>a</w:t>
      </w:r>
      <w:r>
        <w:rPr>
          <w:color w:val="000080"/>
        </w:rPr>
        <w:t xml:space="preserve"> </w:t>
      </w:r>
      <w:r w:rsidRPr="00074586">
        <w:rPr>
          <w:color w:val="000080"/>
        </w:rPr>
        <w:t>liquid</w:t>
      </w:r>
      <w:r>
        <w:rPr>
          <w:color w:val="000080"/>
        </w:rPr>
        <w:t xml:space="preserve"> </w:t>
      </w:r>
      <w:r w:rsidRPr="00074586">
        <w:rPr>
          <w:color w:val="000080"/>
        </w:rPr>
        <w:t>bank</w:t>
      </w:r>
      <w:r>
        <w:rPr>
          <w:color w:val="000080"/>
        </w:rPr>
        <w:t xml:space="preserve"> </w:t>
      </w:r>
      <w:r w:rsidRPr="00074586">
        <w:rPr>
          <w:color w:val="000080"/>
        </w:rPr>
        <w:t>does</w:t>
      </w:r>
      <w:r>
        <w:rPr>
          <w:color w:val="000080"/>
        </w:rPr>
        <w:t xml:space="preserve"> </w:t>
      </w:r>
      <w:r w:rsidRPr="00074586">
        <w:rPr>
          <w:color w:val="000080"/>
        </w:rPr>
        <w:t>not</w:t>
      </w:r>
      <w:r>
        <w:rPr>
          <w:color w:val="000080"/>
        </w:rPr>
        <w:t xml:space="preserve"> </w:t>
      </w:r>
      <w:r w:rsidRPr="00074586">
        <w:rPr>
          <w:color w:val="000080"/>
        </w:rPr>
        <w:t>have</w:t>
      </w:r>
      <w:r>
        <w:rPr>
          <w:color w:val="000080"/>
        </w:rPr>
        <w:t xml:space="preserve"> </w:t>
      </w:r>
      <w:r w:rsidRPr="00074586">
        <w:rPr>
          <w:color w:val="000080"/>
        </w:rPr>
        <w:t>any</w:t>
      </w:r>
      <w:r>
        <w:rPr>
          <w:color w:val="000080"/>
        </w:rPr>
        <w:t xml:space="preserve"> </w:t>
      </w:r>
      <w:r w:rsidRPr="00074586">
        <w:rPr>
          <w:color w:val="000080"/>
        </w:rPr>
        <w:t>payment</w:t>
      </w:r>
      <w:r>
        <w:rPr>
          <w:color w:val="000080"/>
        </w:rPr>
        <w:t xml:space="preserve"> </w:t>
      </w:r>
      <w:r w:rsidRPr="00074586">
        <w:rPr>
          <w:color w:val="000080"/>
        </w:rPr>
        <w:t>to</w:t>
      </w:r>
      <w:r>
        <w:rPr>
          <w:color w:val="000080"/>
        </w:rPr>
        <w:t xml:space="preserve"> </w:t>
      </w:r>
      <w:r w:rsidRPr="00074586">
        <w:rPr>
          <w:color w:val="000080"/>
        </w:rPr>
        <w:t>make.</w:t>
      </w:r>
    </w:p>
    <w:p w14:paraId="212CDD2A" w14:textId="77777777" w:rsidR="00A177E7" w:rsidRPr="00A177E7" w:rsidRDefault="00A177E7" w:rsidP="00F86E09">
      <w:pPr>
        <w:widowControl w:val="0"/>
        <w:jc w:val="both"/>
        <w:rPr>
          <w:color w:val="000080"/>
          <w:sz w:val="12"/>
          <w:szCs w:val="12"/>
        </w:rPr>
      </w:pPr>
    </w:p>
    <w:p w14:paraId="512D549F" w14:textId="77777777" w:rsidR="00A177E7" w:rsidRDefault="00A177E7" w:rsidP="00F86E09">
      <w:pPr>
        <w:widowControl w:val="0"/>
        <w:jc w:val="both"/>
        <w:rPr>
          <w:color w:val="000080"/>
        </w:rPr>
      </w:pPr>
      <w:r w:rsidRPr="00E12A56">
        <w:rPr>
          <w:b/>
          <w:bCs/>
          <w:color w:val="3366FF"/>
        </w:rPr>
        <w:t>Probabilities for Bank Types</w:t>
      </w:r>
      <w:r w:rsidRPr="00A177E7">
        <w:rPr>
          <w:color w:val="000080"/>
        </w:rPr>
        <w:t xml:space="preserve">: </w:t>
      </w:r>
    </w:p>
    <w:p w14:paraId="1B6385A8" w14:textId="531432B9" w:rsidR="00A177E7" w:rsidRPr="00A177E7" w:rsidRDefault="00A177E7" w:rsidP="00F86E09">
      <w:pPr>
        <w:widowControl w:val="0"/>
        <w:jc w:val="both"/>
        <w:rPr>
          <w:color w:val="000080"/>
        </w:rPr>
      </w:pPr>
      <w:r w:rsidRPr="00A177E7">
        <w:rPr>
          <w:color w:val="000080"/>
        </w:rPr>
        <w:t xml:space="preserve">Solvent banks may either be liquid or illiquid. In contrast, all insolvent banks will be illiquid. Therefore, there are three types of banks: </w:t>
      </w:r>
      <w:r w:rsidRPr="00A177E7">
        <w:rPr>
          <w:b/>
          <w:bCs/>
          <w:color w:val="000080"/>
        </w:rPr>
        <w:t>solvent-liquid</w:t>
      </w:r>
      <w:r w:rsidRPr="00A177E7">
        <w:rPr>
          <w:color w:val="000080"/>
        </w:rPr>
        <w:t xml:space="preserve">, </w:t>
      </w:r>
      <w:r w:rsidRPr="00A177E7">
        <w:rPr>
          <w:b/>
          <w:bCs/>
          <w:color w:val="000080"/>
        </w:rPr>
        <w:t>solvent-illiquid</w:t>
      </w:r>
      <w:r w:rsidRPr="00A177E7">
        <w:rPr>
          <w:color w:val="000080"/>
        </w:rPr>
        <w:t xml:space="preserve"> and </w:t>
      </w:r>
      <w:r w:rsidRPr="00A177E7">
        <w:rPr>
          <w:b/>
          <w:bCs/>
          <w:color w:val="000080"/>
        </w:rPr>
        <w:t>insolvent-illiquid</w:t>
      </w:r>
      <w:r w:rsidRPr="00A177E7">
        <w:rPr>
          <w:color w:val="000080"/>
        </w:rPr>
        <w:t>. Banks types are determined randomly. In each round, there is a</w:t>
      </w:r>
    </w:p>
    <w:p w14:paraId="540B3DDF" w14:textId="77777777" w:rsidR="00A177E7" w:rsidRPr="00074586" w:rsidRDefault="00A177E7" w:rsidP="00F86E09">
      <w:pPr>
        <w:widowControl w:val="0"/>
        <w:ind w:firstLine="720"/>
        <w:jc w:val="both"/>
        <w:rPr>
          <w:color w:val="000080"/>
        </w:rPr>
      </w:pPr>
      <w:r w:rsidRPr="00074586">
        <w:rPr>
          <w:b/>
          <w:bCs/>
          <w:color w:val="000080"/>
        </w:rPr>
        <w:t>1</w:t>
      </w:r>
      <w:r>
        <w:rPr>
          <w:b/>
          <w:bCs/>
          <w:color w:val="000080"/>
        </w:rPr>
        <w:t xml:space="preserve"> </w:t>
      </w:r>
      <w:r w:rsidRPr="00074586">
        <w:rPr>
          <w:b/>
          <w:bCs/>
          <w:color w:val="000080"/>
        </w:rPr>
        <w:t>in</w:t>
      </w:r>
      <w:r>
        <w:rPr>
          <w:b/>
          <w:bCs/>
          <w:color w:val="000080"/>
        </w:rPr>
        <w:t xml:space="preserve"> </w:t>
      </w:r>
      <w:r w:rsidRPr="00074586">
        <w:rPr>
          <w:b/>
          <w:bCs/>
          <w:color w:val="000080"/>
        </w:rPr>
        <w:t>2</w:t>
      </w:r>
      <w:r>
        <w:rPr>
          <w:b/>
          <w:bCs/>
          <w:color w:val="000080"/>
        </w:rPr>
        <w:t xml:space="preserve"> </w:t>
      </w:r>
      <w:r w:rsidRPr="00074586">
        <w:rPr>
          <w:b/>
          <w:bCs/>
          <w:color w:val="000080"/>
        </w:rPr>
        <w:t>chance</w:t>
      </w:r>
      <w:r>
        <w:rPr>
          <w:b/>
          <w:bCs/>
          <w:color w:val="000080"/>
        </w:rPr>
        <w:t xml:space="preserve"> </w:t>
      </w:r>
      <w:r w:rsidRPr="00074586">
        <w:rPr>
          <w:b/>
          <w:bCs/>
          <w:color w:val="000080"/>
        </w:rPr>
        <w:t>(50%)</w:t>
      </w:r>
      <w:r>
        <w:rPr>
          <w:color w:val="000080"/>
        </w:rPr>
        <w:t xml:space="preserve"> </w:t>
      </w:r>
      <w:r w:rsidRPr="00074586">
        <w:rPr>
          <w:color w:val="000080"/>
        </w:rPr>
        <w:t>that</w:t>
      </w:r>
      <w:r>
        <w:rPr>
          <w:color w:val="000080"/>
        </w:rPr>
        <w:t xml:space="preserve"> </w:t>
      </w:r>
      <w:r w:rsidRPr="00074586">
        <w:rPr>
          <w:color w:val="000080"/>
        </w:rPr>
        <w:t>a</w:t>
      </w:r>
      <w:r>
        <w:rPr>
          <w:color w:val="000080"/>
        </w:rPr>
        <w:t xml:space="preserve"> </w:t>
      </w:r>
      <w:r w:rsidRPr="00E12A56">
        <w:rPr>
          <w:b/>
          <w:bCs/>
          <w:color w:val="3366FF"/>
        </w:rPr>
        <w:t>Bank</w:t>
      </w:r>
      <w:r>
        <w:rPr>
          <w:color w:val="000080"/>
        </w:rPr>
        <w:t xml:space="preserve"> </w:t>
      </w:r>
      <w:r w:rsidRPr="00074586">
        <w:rPr>
          <w:color w:val="000080"/>
        </w:rPr>
        <w:t>is</w:t>
      </w:r>
      <w:r>
        <w:rPr>
          <w:color w:val="000080"/>
        </w:rPr>
        <w:t xml:space="preserve"> </w:t>
      </w:r>
      <w:r w:rsidRPr="00074586">
        <w:rPr>
          <w:b/>
          <w:bCs/>
          <w:color w:val="000080"/>
        </w:rPr>
        <w:t>solvent</w:t>
      </w:r>
      <w:r>
        <w:rPr>
          <w:b/>
          <w:bCs/>
          <w:color w:val="000080"/>
        </w:rPr>
        <w:t xml:space="preserve"> </w:t>
      </w:r>
      <w:r w:rsidRPr="00074586">
        <w:rPr>
          <w:b/>
          <w:bCs/>
          <w:color w:val="000080"/>
        </w:rPr>
        <w:t>and</w:t>
      </w:r>
      <w:r>
        <w:rPr>
          <w:b/>
          <w:bCs/>
          <w:color w:val="000080"/>
        </w:rPr>
        <w:t xml:space="preserve"> </w:t>
      </w:r>
      <w:r w:rsidRPr="00074586">
        <w:rPr>
          <w:b/>
          <w:bCs/>
          <w:color w:val="000080"/>
        </w:rPr>
        <w:t>liquid</w:t>
      </w:r>
    </w:p>
    <w:p w14:paraId="4E51648F" w14:textId="77777777" w:rsidR="00A177E7" w:rsidRPr="00074586" w:rsidRDefault="00A177E7" w:rsidP="00F86E09">
      <w:pPr>
        <w:widowControl w:val="0"/>
        <w:ind w:firstLine="720"/>
        <w:jc w:val="both"/>
        <w:rPr>
          <w:color w:val="000080"/>
        </w:rPr>
      </w:pPr>
      <w:r w:rsidRPr="00074586">
        <w:rPr>
          <w:b/>
          <w:bCs/>
          <w:color w:val="000080"/>
        </w:rPr>
        <w:t>1</w:t>
      </w:r>
      <w:r>
        <w:rPr>
          <w:b/>
          <w:bCs/>
          <w:color w:val="000080"/>
        </w:rPr>
        <w:t xml:space="preserve"> </w:t>
      </w:r>
      <w:r w:rsidRPr="00074586">
        <w:rPr>
          <w:b/>
          <w:bCs/>
          <w:color w:val="000080"/>
        </w:rPr>
        <w:t>in</w:t>
      </w:r>
      <w:r>
        <w:rPr>
          <w:b/>
          <w:bCs/>
          <w:color w:val="000080"/>
        </w:rPr>
        <w:t xml:space="preserve"> </w:t>
      </w:r>
      <w:r w:rsidRPr="00074586">
        <w:rPr>
          <w:b/>
          <w:bCs/>
          <w:color w:val="000080"/>
        </w:rPr>
        <w:t>6</w:t>
      </w:r>
      <w:r>
        <w:rPr>
          <w:b/>
          <w:bCs/>
          <w:color w:val="000080"/>
        </w:rPr>
        <w:t xml:space="preserve"> </w:t>
      </w:r>
      <w:r w:rsidRPr="00074586">
        <w:rPr>
          <w:b/>
          <w:bCs/>
          <w:color w:val="000080"/>
        </w:rPr>
        <w:t>chance</w:t>
      </w:r>
      <w:r>
        <w:rPr>
          <w:b/>
          <w:bCs/>
          <w:color w:val="000080"/>
        </w:rPr>
        <w:t xml:space="preserve"> </w:t>
      </w:r>
      <w:r w:rsidRPr="00074586">
        <w:rPr>
          <w:b/>
          <w:bCs/>
          <w:color w:val="000080"/>
        </w:rPr>
        <w:t>(17%)</w:t>
      </w:r>
      <w:r>
        <w:rPr>
          <w:color w:val="000080"/>
        </w:rPr>
        <w:t xml:space="preserve"> </w:t>
      </w:r>
      <w:r w:rsidRPr="00074586">
        <w:rPr>
          <w:color w:val="000080"/>
        </w:rPr>
        <w:t>that</w:t>
      </w:r>
      <w:r>
        <w:rPr>
          <w:color w:val="000080"/>
        </w:rPr>
        <w:t xml:space="preserve"> </w:t>
      </w:r>
      <w:r w:rsidRPr="00074586">
        <w:rPr>
          <w:color w:val="000080"/>
        </w:rPr>
        <w:t>a</w:t>
      </w:r>
      <w:r>
        <w:rPr>
          <w:color w:val="000080"/>
        </w:rPr>
        <w:t xml:space="preserve"> </w:t>
      </w:r>
      <w:r w:rsidRPr="00E12A56">
        <w:rPr>
          <w:b/>
          <w:bCs/>
          <w:color w:val="3366FF"/>
        </w:rPr>
        <w:t>Bank</w:t>
      </w:r>
      <w:r>
        <w:rPr>
          <w:color w:val="000080"/>
        </w:rPr>
        <w:t xml:space="preserve"> </w:t>
      </w:r>
      <w:r w:rsidRPr="00074586">
        <w:rPr>
          <w:color w:val="000080"/>
        </w:rPr>
        <w:t>is</w:t>
      </w:r>
      <w:r>
        <w:rPr>
          <w:color w:val="000080"/>
        </w:rPr>
        <w:t xml:space="preserve"> </w:t>
      </w:r>
      <w:r w:rsidRPr="00074586">
        <w:rPr>
          <w:b/>
          <w:bCs/>
          <w:color w:val="000080"/>
        </w:rPr>
        <w:t>solvent</w:t>
      </w:r>
      <w:r>
        <w:rPr>
          <w:b/>
          <w:bCs/>
          <w:color w:val="000080"/>
        </w:rPr>
        <w:t xml:space="preserve"> </w:t>
      </w:r>
      <w:r w:rsidRPr="00074586">
        <w:rPr>
          <w:b/>
          <w:bCs/>
          <w:color w:val="000080"/>
        </w:rPr>
        <w:t>and</w:t>
      </w:r>
      <w:r>
        <w:rPr>
          <w:b/>
          <w:bCs/>
          <w:color w:val="000080"/>
        </w:rPr>
        <w:t xml:space="preserve"> </w:t>
      </w:r>
      <w:r w:rsidRPr="00074586">
        <w:rPr>
          <w:b/>
          <w:bCs/>
          <w:color w:val="000080"/>
        </w:rPr>
        <w:t>illiquid</w:t>
      </w:r>
    </w:p>
    <w:p w14:paraId="238BA5E8" w14:textId="77777777" w:rsidR="00A177E7" w:rsidRPr="00074586" w:rsidRDefault="00A177E7" w:rsidP="00F86E09">
      <w:pPr>
        <w:widowControl w:val="0"/>
        <w:ind w:firstLine="720"/>
        <w:jc w:val="both"/>
        <w:rPr>
          <w:color w:val="000080"/>
        </w:rPr>
      </w:pPr>
      <w:r w:rsidRPr="00074586">
        <w:rPr>
          <w:b/>
          <w:bCs/>
          <w:color w:val="000080"/>
        </w:rPr>
        <w:t>1</w:t>
      </w:r>
      <w:r>
        <w:rPr>
          <w:b/>
          <w:bCs/>
          <w:color w:val="000080"/>
        </w:rPr>
        <w:t xml:space="preserve"> </w:t>
      </w:r>
      <w:r w:rsidRPr="00074586">
        <w:rPr>
          <w:b/>
          <w:bCs/>
          <w:color w:val="000080"/>
        </w:rPr>
        <w:t>in</w:t>
      </w:r>
      <w:r>
        <w:rPr>
          <w:b/>
          <w:bCs/>
          <w:color w:val="000080"/>
        </w:rPr>
        <w:t xml:space="preserve"> </w:t>
      </w:r>
      <w:r w:rsidRPr="00074586">
        <w:rPr>
          <w:b/>
          <w:bCs/>
          <w:color w:val="000080"/>
        </w:rPr>
        <w:t>3</w:t>
      </w:r>
      <w:r>
        <w:rPr>
          <w:b/>
          <w:bCs/>
          <w:color w:val="000080"/>
        </w:rPr>
        <w:t xml:space="preserve"> </w:t>
      </w:r>
      <w:r w:rsidRPr="00074586">
        <w:rPr>
          <w:b/>
          <w:bCs/>
          <w:color w:val="000080"/>
        </w:rPr>
        <w:t>chance</w:t>
      </w:r>
      <w:r>
        <w:rPr>
          <w:b/>
          <w:bCs/>
          <w:color w:val="000080"/>
        </w:rPr>
        <w:t xml:space="preserve"> </w:t>
      </w:r>
      <w:r w:rsidRPr="00074586">
        <w:rPr>
          <w:b/>
          <w:bCs/>
          <w:color w:val="000080"/>
        </w:rPr>
        <w:t>(33%)</w:t>
      </w:r>
      <w:r>
        <w:rPr>
          <w:color w:val="000080"/>
        </w:rPr>
        <w:t xml:space="preserve"> </w:t>
      </w:r>
      <w:r w:rsidRPr="00074586">
        <w:rPr>
          <w:color w:val="000080"/>
        </w:rPr>
        <w:t>that</w:t>
      </w:r>
      <w:r>
        <w:rPr>
          <w:color w:val="000080"/>
        </w:rPr>
        <w:t xml:space="preserve"> </w:t>
      </w:r>
      <w:r w:rsidRPr="00074586">
        <w:rPr>
          <w:color w:val="000080"/>
        </w:rPr>
        <w:t>a</w:t>
      </w:r>
      <w:r>
        <w:rPr>
          <w:color w:val="000080"/>
        </w:rPr>
        <w:t xml:space="preserve"> </w:t>
      </w:r>
      <w:r w:rsidRPr="00E12A56">
        <w:rPr>
          <w:b/>
          <w:bCs/>
          <w:color w:val="3366FF"/>
        </w:rPr>
        <w:t>Bank</w:t>
      </w:r>
      <w:r>
        <w:rPr>
          <w:color w:val="000080"/>
        </w:rPr>
        <w:t xml:space="preserve"> </w:t>
      </w:r>
      <w:r w:rsidRPr="00074586">
        <w:rPr>
          <w:color w:val="000080"/>
        </w:rPr>
        <w:t>is</w:t>
      </w:r>
      <w:r>
        <w:rPr>
          <w:color w:val="000080"/>
        </w:rPr>
        <w:t xml:space="preserve"> </w:t>
      </w:r>
      <w:r w:rsidRPr="00074586">
        <w:rPr>
          <w:b/>
          <w:bCs/>
          <w:color w:val="000080"/>
        </w:rPr>
        <w:t>insolvent</w:t>
      </w:r>
      <w:r>
        <w:rPr>
          <w:b/>
          <w:bCs/>
          <w:color w:val="000080"/>
        </w:rPr>
        <w:t xml:space="preserve"> </w:t>
      </w:r>
      <w:r w:rsidRPr="00074586">
        <w:rPr>
          <w:b/>
          <w:bCs/>
          <w:color w:val="000080"/>
        </w:rPr>
        <w:t>and</w:t>
      </w:r>
      <w:r>
        <w:rPr>
          <w:b/>
          <w:bCs/>
          <w:color w:val="000080"/>
        </w:rPr>
        <w:t xml:space="preserve"> </w:t>
      </w:r>
      <w:r w:rsidRPr="00074586">
        <w:rPr>
          <w:b/>
          <w:bCs/>
          <w:color w:val="000080"/>
        </w:rPr>
        <w:t>illiquid</w:t>
      </w:r>
    </w:p>
    <w:p w14:paraId="53D5F730" w14:textId="387CD303" w:rsidR="00490230" w:rsidRPr="00074586" w:rsidRDefault="00A177E7" w:rsidP="00490230">
      <w:pPr>
        <w:widowControl w:val="0"/>
        <w:ind w:right="-180"/>
        <w:outlineLvl w:val="2"/>
        <w:rPr>
          <w:b/>
          <w:bCs/>
          <w:color w:val="000080"/>
        </w:rPr>
      </w:pPr>
      <w:r w:rsidRPr="00A177E7">
        <w:rPr>
          <w:color w:val="000080"/>
        </w:rPr>
        <w:t xml:space="preserve">Observe that an illiquid bank is more likely to be insolvent than a liquid bank. In fact, a liquid bank is guaranteed to be solvent, but an illiquid bank has a 2 in 3 chance </w:t>
      </w:r>
      <w:r w:rsidRPr="00A177E7">
        <w:rPr>
          <w:b/>
          <w:bCs/>
          <w:color w:val="000080"/>
        </w:rPr>
        <w:t>(66%)</w:t>
      </w:r>
      <w:r w:rsidRPr="00A177E7">
        <w:rPr>
          <w:color w:val="000080"/>
        </w:rPr>
        <w:t xml:space="preserve"> of being insolvent.</w:t>
      </w:r>
      <w:r w:rsidR="00490230" w:rsidRPr="00490230">
        <w:rPr>
          <w:b/>
          <w:bCs/>
          <w:color w:val="000080"/>
        </w:rPr>
        <w:t xml:space="preserve"> </w:t>
      </w:r>
    </w:p>
    <w:p w14:paraId="5278C3F4" w14:textId="77777777" w:rsidR="00490230" w:rsidRDefault="00490230" w:rsidP="00490230">
      <w:pPr>
        <w:widowControl w:val="0"/>
      </w:pPr>
      <w:r>
        <w:t>________________________________________________________________________________</w:t>
      </w:r>
    </w:p>
    <w:p w14:paraId="7E024778" w14:textId="19DBC8C6" w:rsidR="00490230" w:rsidRDefault="00490230" w:rsidP="00490230">
      <w:pPr>
        <w:widowControl w:val="0"/>
        <w:ind w:left="3690"/>
        <w:outlineLvl w:val="2"/>
        <w:rPr>
          <w:b/>
          <w:bCs/>
          <w:color w:val="008000"/>
        </w:rPr>
      </w:pPr>
      <w:r w:rsidRPr="00074586">
        <w:rPr>
          <w:b/>
          <w:bCs/>
          <w:color w:val="000080"/>
        </w:rPr>
        <w:t>Instructions</w:t>
      </w:r>
      <w:r>
        <w:rPr>
          <w:b/>
          <w:bCs/>
          <w:color w:val="000080"/>
        </w:rPr>
        <w:t xml:space="preserve"> </w:t>
      </w:r>
      <w:r>
        <w:rPr>
          <w:b/>
          <w:bCs/>
          <w:color w:val="000080"/>
        </w:rPr>
        <w:tab/>
      </w:r>
      <w:r>
        <w:rPr>
          <w:b/>
          <w:bCs/>
          <w:color w:val="000080"/>
        </w:rPr>
        <w:tab/>
      </w:r>
      <w:r>
        <w:rPr>
          <w:b/>
          <w:bCs/>
          <w:color w:val="000080"/>
        </w:rPr>
        <w:tab/>
      </w:r>
      <w:r>
        <w:rPr>
          <w:b/>
          <w:bCs/>
          <w:color w:val="000080"/>
        </w:rPr>
        <w:tab/>
      </w:r>
      <w:r>
        <w:rPr>
          <w:b/>
          <w:bCs/>
          <w:color w:val="000080"/>
        </w:rPr>
        <w:tab/>
        <w:t xml:space="preserve">         </w:t>
      </w:r>
      <w:r w:rsidRPr="00074586">
        <w:rPr>
          <w:b/>
          <w:bCs/>
          <w:color w:val="008000"/>
        </w:rPr>
        <w:t>Page</w:t>
      </w:r>
      <w:r>
        <w:rPr>
          <w:b/>
          <w:bCs/>
          <w:color w:val="008000"/>
        </w:rPr>
        <w:t xml:space="preserve"> 3 </w:t>
      </w:r>
      <w:r w:rsidRPr="00074586">
        <w:rPr>
          <w:b/>
          <w:bCs/>
          <w:color w:val="008000"/>
        </w:rPr>
        <w:t>of</w:t>
      </w:r>
      <w:r>
        <w:rPr>
          <w:b/>
          <w:bCs/>
          <w:color w:val="008000"/>
        </w:rPr>
        <w:t xml:space="preserve"> </w:t>
      </w:r>
      <w:r w:rsidRPr="00074586">
        <w:rPr>
          <w:b/>
          <w:bCs/>
          <w:color w:val="008000"/>
        </w:rPr>
        <w:t>5</w:t>
      </w:r>
    </w:p>
    <w:p w14:paraId="4EC527ED" w14:textId="53CF53FD" w:rsidR="00065D3C" w:rsidRPr="00065D3C" w:rsidRDefault="00065D3C" w:rsidP="00490230">
      <w:pPr>
        <w:widowControl w:val="0"/>
        <w:jc w:val="both"/>
        <w:outlineLvl w:val="2"/>
        <w:rPr>
          <w:b/>
          <w:bCs/>
          <w:color w:val="008000"/>
          <w:sz w:val="12"/>
          <w:szCs w:val="12"/>
        </w:rPr>
      </w:pPr>
    </w:p>
    <w:p w14:paraId="77E1F0B6" w14:textId="6B2CDB2D" w:rsidR="00F852CF" w:rsidRDefault="00F852CF" w:rsidP="00F86E09">
      <w:pPr>
        <w:widowControl w:val="0"/>
        <w:outlineLvl w:val="2"/>
        <w:rPr>
          <w:b/>
          <w:bCs/>
          <w:color w:val="000080"/>
          <w:u w:val="single"/>
        </w:rPr>
      </w:pPr>
      <w:r w:rsidRPr="00411BF9">
        <w:rPr>
          <w:b/>
          <w:bCs/>
          <w:color w:val="000080"/>
          <w:u w:val="single"/>
        </w:rPr>
        <w:t>Period</w:t>
      </w:r>
      <w:r w:rsidR="009A0847" w:rsidRPr="00411BF9">
        <w:rPr>
          <w:b/>
          <w:bCs/>
          <w:color w:val="000080"/>
          <w:u w:val="single"/>
        </w:rPr>
        <w:t xml:space="preserve"> </w:t>
      </w:r>
      <w:r w:rsidRPr="00411BF9">
        <w:rPr>
          <w:b/>
          <w:bCs/>
          <w:color w:val="000080"/>
          <w:u w:val="single"/>
        </w:rPr>
        <w:t>1</w:t>
      </w:r>
    </w:p>
    <w:p w14:paraId="2F78A155" w14:textId="77777777" w:rsidR="00A3209A" w:rsidRPr="00074586" w:rsidRDefault="00A3209A" w:rsidP="00F86E09">
      <w:pPr>
        <w:widowControl w:val="0"/>
        <w:jc w:val="both"/>
        <w:rPr>
          <w:color w:val="000080"/>
        </w:rPr>
      </w:pPr>
      <w:r w:rsidRPr="00074586">
        <w:rPr>
          <w:color w:val="000080"/>
        </w:rPr>
        <w:t>Because</w:t>
      </w:r>
      <w:r>
        <w:rPr>
          <w:color w:val="000080"/>
        </w:rPr>
        <w:t xml:space="preserve"> </w:t>
      </w:r>
      <w:r w:rsidRPr="00074586">
        <w:rPr>
          <w:color w:val="000080"/>
        </w:rPr>
        <w:t>it</w:t>
      </w:r>
      <w:r>
        <w:rPr>
          <w:color w:val="000080"/>
        </w:rPr>
        <w:t xml:space="preserve"> </w:t>
      </w:r>
      <w:r w:rsidRPr="00074586">
        <w:rPr>
          <w:color w:val="000080"/>
        </w:rPr>
        <w:t>operates</w:t>
      </w:r>
      <w:r>
        <w:rPr>
          <w:color w:val="000080"/>
        </w:rPr>
        <w:t xml:space="preserve"> </w:t>
      </w:r>
      <w:r w:rsidRPr="00074586">
        <w:rPr>
          <w:color w:val="000080"/>
        </w:rPr>
        <w:t>in</w:t>
      </w:r>
      <w:r>
        <w:rPr>
          <w:color w:val="000080"/>
        </w:rPr>
        <w:t xml:space="preserve"> </w:t>
      </w:r>
      <w:r w:rsidRPr="00074586">
        <w:rPr>
          <w:color w:val="000080"/>
        </w:rPr>
        <w:t>period</w:t>
      </w:r>
      <w:r>
        <w:rPr>
          <w:color w:val="000080"/>
        </w:rPr>
        <w:t xml:space="preserve"> </w:t>
      </w:r>
      <w:r w:rsidRPr="00074586">
        <w:rPr>
          <w:color w:val="000080"/>
        </w:rPr>
        <w:t>1,</w:t>
      </w:r>
      <w:r>
        <w:rPr>
          <w:color w:val="000080"/>
        </w:rPr>
        <w:t xml:space="preserve"> </w:t>
      </w:r>
      <w:r w:rsidRPr="00074586">
        <w:rPr>
          <w:color w:val="000080"/>
        </w:rPr>
        <w:t>a</w:t>
      </w:r>
      <w:r>
        <w:rPr>
          <w:color w:val="000080"/>
        </w:rPr>
        <w:t xml:space="preserve"> </w:t>
      </w:r>
      <w:r w:rsidRPr="00E12A56">
        <w:rPr>
          <w:b/>
          <w:bCs/>
          <w:color w:val="3366FF"/>
        </w:rPr>
        <w:t>Bank</w:t>
      </w:r>
      <w:r>
        <w:rPr>
          <w:color w:val="000080"/>
        </w:rPr>
        <w:t xml:space="preserve"> </w:t>
      </w:r>
      <w:r w:rsidRPr="00074586">
        <w:rPr>
          <w:color w:val="000080"/>
        </w:rPr>
        <w:t>receives</w:t>
      </w:r>
      <w:r>
        <w:rPr>
          <w:color w:val="000080"/>
        </w:rPr>
        <w:t xml:space="preserve"> </w:t>
      </w:r>
      <w:r w:rsidRPr="00074586">
        <w:rPr>
          <w:color w:val="000080"/>
        </w:rPr>
        <w:t>an</w:t>
      </w:r>
      <w:r>
        <w:rPr>
          <w:color w:val="000080"/>
        </w:rPr>
        <w:t xml:space="preserve"> </w:t>
      </w:r>
      <w:r w:rsidRPr="00074586">
        <w:rPr>
          <w:color w:val="000080"/>
        </w:rPr>
        <w:t>income</w:t>
      </w:r>
      <w:r>
        <w:rPr>
          <w:color w:val="000080"/>
        </w:rPr>
        <w:t xml:space="preserve"> </w:t>
      </w:r>
      <w:r w:rsidRPr="00074586">
        <w:rPr>
          <w:color w:val="000080"/>
        </w:rPr>
        <w:t>of</w:t>
      </w:r>
      <w:r>
        <w:rPr>
          <w:color w:val="000080"/>
        </w:rPr>
        <w:t xml:space="preserve"> </w:t>
      </w:r>
      <w:r w:rsidRPr="00E12A56">
        <w:rPr>
          <w:b/>
          <w:bCs/>
          <w:color w:val="3366FF"/>
        </w:rPr>
        <w:t>50</w:t>
      </w:r>
      <w:r>
        <w:rPr>
          <w:color w:val="000080"/>
        </w:rPr>
        <w:t xml:space="preserve"> </w:t>
      </w:r>
      <w:r w:rsidRPr="00074586">
        <w:rPr>
          <w:color w:val="000080"/>
        </w:rPr>
        <w:t>regardless</w:t>
      </w:r>
      <w:r>
        <w:rPr>
          <w:color w:val="000080"/>
        </w:rPr>
        <w:t xml:space="preserve"> </w:t>
      </w:r>
      <w:r w:rsidRPr="00074586">
        <w:rPr>
          <w:color w:val="000080"/>
        </w:rPr>
        <w:t>of</w:t>
      </w:r>
      <w:r>
        <w:rPr>
          <w:color w:val="000080"/>
        </w:rPr>
        <w:t xml:space="preserve"> </w:t>
      </w:r>
      <w:r w:rsidRPr="00074586">
        <w:rPr>
          <w:color w:val="000080"/>
        </w:rPr>
        <w:t>its</w:t>
      </w:r>
      <w:r>
        <w:rPr>
          <w:color w:val="000080"/>
        </w:rPr>
        <w:t xml:space="preserve"> </w:t>
      </w:r>
      <w:r w:rsidRPr="00074586">
        <w:rPr>
          <w:color w:val="000080"/>
        </w:rPr>
        <w:t>type,</w:t>
      </w:r>
      <w:r>
        <w:rPr>
          <w:color w:val="000080"/>
        </w:rPr>
        <w:t xml:space="preserve"> </w:t>
      </w:r>
      <w:r w:rsidRPr="00074586">
        <w:rPr>
          <w:color w:val="000080"/>
        </w:rPr>
        <w:t>that</w:t>
      </w:r>
      <w:r>
        <w:rPr>
          <w:color w:val="000080"/>
        </w:rPr>
        <w:t xml:space="preserve"> </w:t>
      </w:r>
      <w:r w:rsidRPr="00074586">
        <w:rPr>
          <w:color w:val="000080"/>
        </w:rPr>
        <w:t>is,</w:t>
      </w:r>
      <w:r>
        <w:rPr>
          <w:color w:val="000080"/>
        </w:rPr>
        <w:t xml:space="preserve"> </w:t>
      </w:r>
      <w:r w:rsidRPr="00074586">
        <w:rPr>
          <w:color w:val="000080"/>
        </w:rPr>
        <w:t>whether</w:t>
      </w:r>
      <w:r>
        <w:rPr>
          <w:color w:val="000080"/>
        </w:rPr>
        <w:t xml:space="preserve"> </w:t>
      </w:r>
      <w:r w:rsidRPr="00074586">
        <w:rPr>
          <w:color w:val="000080"/>
        </w:rPr>
        <w:t>it</w:t>
      </w:r>
      <w:r>
        <w:rPr>
          <w:color w:val="000080"/>
        </w:rPr>
        <w:t xml:space="preserve"> </w:t>
      </w:r>
      <w:r w:rsidRPr="00074586">
        <w:rPr>
          <w:color w:val="000080"/>
        </w:rPr>
        <w:t>is</w:t>
      </w:r>
      <w:r>
        <w:rPr>
          <w:color w:val="000080"/>
        </w:rPr>
        <w:t xml:space="preserve"> </w:t>
      </w:r>
      <w:r w:rsidRPr="00074586">
        <w:rPr>
          <w:b/>
          <w:bCs/>
          <w:color w:val="000080"/>
        </w:rPr>
        <w:t>liquid</w:t>
      </w:r>
      <w:r>
        <w:rPr>
          <w:color w:val="000080"/>
        </w:rPr>
        <w:t xml:space="preserve"> </w:t>
      </w:r>
      <w:r w:rsidRPr="00074586">
        <w:rPr>
          <w:color w:val="000080"/>
        </w:rPr>
        <w:t>or</w:t>
      </w:r>
      <w:r>
        <w:rPr>
          <w:color w:val="000080"/>
        </w:rPr>
        <w:t xml:space="preserve"> </w:t>
      </w:r>
      <w:r w:rsidRPr="00074586">
        <w:rPr>
          <w:b/>
          <w:bCs/>
          <w:color w:val="000080"/>
        </w:rPr>
        <w:t>illiquid</w:t>
      </w:r>
      <w:r w:rsidRPr="00074586">
        <w:rPr>
          <w:color w:val="000080"/>
        </w:rPr>
        <w:t>,</w:t>
      </w:r>
      <w:r>
        <w:rPr>
          <w:color w:val="000080"/>
        </w:rPr>
        <w:t xml:space="preserve"> </w:t>
      </w:r>
      <w:r w:rsidRPr="00074586">
        <w:rPr>
          <w:b/>
          <w:bCs/>
          <w:color w:val="000080"/>
        </w:rPr>
        <w:t>solvent</w:t>
      </w:r>
      <w:r>
        <w:rPr>
          <w:color w:val="000080"/>
        </w:rPr>
        <w:t xml:space="preserve"> </w:t>
      </w:r>
      <w:r w:rsidRPr="00074586">
        <w:rPr>
          <w:color w:val="000080"/>
        </w:rPr>
        <w:t>or</w:t>
      </w:r>
      <w:r>
        <w:rPr>
          <w:color w:val="000080"/>
        </w:rPr>
        <w:t xml:space="preserve"> </w:t>
      </w:r>
      <w:r w:rsidRPr="00074586">
        <w:rPr>
          <w:b/>
          <w:bCs/>
          <w:color w:val="000080"/>
        </w:rPr>
        <w:t>insolvent</w:t>
      </w:r>
      <w:r w:rsidRPr="00074586">
        <w:rPr>
          <w:color w:val="000080"/>
        </w:rPr>
        <w:t>.</w:t>
      </w:r>
    </w:p>
    <w:p w14:paraId="41D1F932" w14:textId="77777777" w:rsidR="00A3209A" w:rsidRPr="00411BF9" w:rsidRDefault="00A3209A" w:rsidP="00F86E09">
      <w:pPr>
        <w:widowControl w:val="0"/>
        <w:jc w:val="both"/>
        <w:rPr>
          <w:color w:val="000080"/>
          <w:sz w:val="12"/>
          <w:szCs w:val="12"/>
        </w:rPr>
      </w:pPr>
    </w:p>
    <w:p w14:paraId="2F51B94C" w14:textId="77777777" w:rsidR="00A3209A" w:rsidRPr="00074586" w:rsidRDefault="00A3209A" w:rsidP="00F86E09">
      <w:pPr>
        <w:widowControl w:val="0"/>
        <w:jc w:val="both"/>
        <w:rPr>
          <w:color w:val="000080"/>
        </w:rPr>
      </w:pPr>
      <w:r w:rsidRPr="00074586">
        <w:rPr>
          <w:color w:val="000080"/>
        </w:rPr>
        <w:t>An</w:t>
      </w:r>
      <w:r>
        <w:rPr>
          <w:color w:val="000080"/>
        </w:rPr>
        <w:t xml:space="preserve"> </w:t>
      </w:r>
      <w:r w:rsidRPr="00E12A56">
        <w:rPr>
          <w:b/>
          <w:bCs/>
          <w:color w:val="3366FF"/>
        </w:rPr>
        <w:t>illiquid Bank</w:t>
      </w:r>
      <w:r w:rsidRPr="00074586">
        <w:rPr>
          <w:color w:val="000080"/>
        </w:rPr>
        <w:t>,</w:t>
      </w:r>
      <w:r>
        <w:rPr>
          <w:color w:val="000080"/>
        </w:rPr>
        <w:t xml:space="preserve"> </w:t>
      </w:r>
      <w:r w:rsidRPr="00074586">
        <w:rPr>
          <w:color w:val="000080"/>
        </w:rPr>
        <w:t>however,</w:t>
      </w:r>
      <w:r>
        <w:rPr>
          <w:color w:val="000080"/>
        </w:rPr>
        <w:t xml:space="preserve"> </w:t>
      </w:r>
      <w:r w:rsidRPr="00074586">
        <w:rPr>
          <w:color w:val="000080"/>
        </w:rPr>
        <w:t>must</w:t>
      </w:r>
      <w:r>
        <w:rPr>
          <w:color w:val="000080"/>
        </w:rPr>
        <w:t xml:space="preserve"> </w:t>
      </w:r>
      <w:r w:rsidRPr="00074586">
        <w:rPr>
          <w:color w:val="000080"/>
        </w:rPr>
        <w:t>incur</w:t>
      </w:r>
      <w:r>
        <w:rPr>
          <w:color w:val="000080"/>
        </w:rPr>
        <w:t xml:space="preserve"> </w:t>
      </w:r>
      <w:r w:rsidRPr="00074586">
        <w:rPr>
          <w:color w:val="000080"/>
        </w:rPr>
        <w:t>a</w:t>
      </w:r>
      <w:r>
        <w:rPr>
          <w:color w:val="000080"/>
        </w:rPr>
        <w:t xml:space="preserve"> </w:t>
      </w:r>
      <w:r w:rsidRPr="00074586">
        <w:rPr>
          <w:color w:val="000080"/>
        </w:rPr>
        <w:t>cost</w:t>
      </w:r>
      <w:r>
        <w:rPr>
          <w:color w:val="000080"/>
        </w:rPr>
        <w:t xml:space="preserve"> </w:t>
      </w:r>
      <w:r w:rsidRPr="00074586">
        <w:rPr>
          <w:color w:val="000080"/>
        </w:rPr>
        <w:t>to</w:t>
      </w:r>
      <w:r>
        <w:rPr>
          <w:color w:val="000080"/>
        </w:rPr>
        <w:t xml:space="preserve"> </w:t>
      </w:r>
      <w:r w:rsidRPr="00074586">
        <w:rPr>
          <w:color w:val="000080"/>
        </w:rPr>
        <w:t>make</w:t>
      </w:r>
      <w:r>
        <w:rPr>
          <w:color w:val="000080"/>
        </w:rPr>
        <w:t xml:space="preserve"> </w:t>
      </w:r>
      <w:r w:rsidRPr="00074586">
        <w:rPr>
          <w:color w:val="000080"/>
        </w:rPr>
        <w:t>the</w:t>
      </w:r>
      <w:r>
        <w:rPr>
          <w:color w:val="000080"/>
        </w:rPr>
        <w:t xml:space="preserve"> </w:t>
      </w:r>
      <w:r w:rsidRPr="00074586">
        <w:rPr>
          <w:color w:val="000080"/>
        </w:rPr>
        <w:t>required</w:t>
      </w:r>
      <w:r>
        <w:rPr>
          <w:color w:val="000080"/>
        </w:rPr>
        <w:t xml:space="preserve"> </w:t>
      </w:r>
      <w:r w:rsidRPr="00074586">
        <w:rPr>
          <w:color w:val="000080"/>
        </w:rPr>
        <w:t>payment.</w:t>
      </w:r>
      <w:r>
        <w:rPr>
          <w:color w:val="000080"/>
        </w:rPr>
        <w:t xml:space="preserve"> </w:t>
      </w:r>
      <w:r w:rsidRPr="00074586">
        <w:rPr>
          <w:color w:val="000080"/>
        </w:rPr>
        <w:t>The</w:t>
      </w:r>
      <w:r>
        <w:rPr>
          <w:color w:val="000080"/>
        </w:rPr>
        <w:t xml:space="preserve"> </w:t>
      </w:r>
      <w:r w:rsidRPr="00074586">
        <w:rPr>
          <w:color w:val="000080"/>
        </w:rPr>
        <w:t>illiquid</w:t>
      </w:r>
      <w:r>
        <w:rPr>
          <w:color w:val="000080"/>
        </w:rPr>
        <w:t xml:space="preserve"> </w:t>
      </w:r>
      <w:r w:rsidRPr="00074586">
        <w:rPr>
          <w:color w:val="000080"/>
        </w:rPr>
        <w:t>bank</w:t>
      </w:r>
      <w:r>
        <w:rPr>
          <w:color w:val="000080"/>
        </w:rPr>
        <w:t xml:space="preserve"> </w:t>
      </w:r>
      <w:r w:rsidRPr="00074586">
        <w:rPr>
          <w:color w:val="000080"/>
        </w:rPr>
        <w:t>can</w:t>
      </w:r>
      <w:r>
        <w:rPr>
          <w:color w:val="000080"/>
        </w:rPr>
        <w:t xml:space="preserve"> </w:t>
      </w:r>
      <w:r w:rsidRPr="00074586">
        <w:rPr>
          <w:color w:val="000080"/>
        </w:rPr>
        <w:t>either</w:t>
      </w:r>
    </w:p>
    <w:p w14:paraId="6D3E730C" w14:textId="77777777" w:rsidR="00A3209A" w:rsidRPr="00411BF9" w:rsidRDefault="00A3209A" w:rsidP="00F86E09">
      <w:pPr>
        <w:pStyle w:val="ListParagraph"/>
        <w:widowControl w:val="0"/>
        <w:numPr>
          <w:ilvl w:val="0"/>
          <w:numId w:val="42"/>
        </w:numPr>
        <w:ind w:left="1620" w:right="990"/>
        <w:jc w:val="both"/>
        <w:rPr>
          <w:color w:val="000080"/>
        </w:rPr>
      </w:pPr>
      <w:r w:rsidRPr="00411BF9">
        <w:rPr>
          <w:b/>
          <w:bCs/>
          <w:color w:val="000080"/>
        </w:rPr>
        <w:t>Sell some of its own assets</w:t>
      </w:r>
      <w:r w:rsidRPr="00411BF9">
        <w:rPr>
          <w:color w:val="000080"/>
        </w:rPr>
        <w:t xml:space="preserve"> at a cost of </w:t>
      </w:r>
      <w:r w:rsidRPr="00E12A56">
        <w:rPr>
          <w:b/>
          <w:bCs/>
          <w:color w:val="3366FF"/>
        </w:rPr>
        <w:t>40</w:t>
      </w:r>
      <w:r w:rsidRPr="00411BF9">
        <w:rPr>
          <w:color w:val="000080"/>
        </w:rPr>
        <w:t>, or</w:t>
      </w:r>
    </w:p>
    <w:p w14:paraId="0FD0766B" w14:textId="7442A9D4" w:rsidR="00A3209A" w:rsidRPr="00411BF9" w:rsidRDefault="00A3209A" w:rsidP="00F86E09">
      <w:pPr>
        <w:pStyle w:val="ListParagraph"/>
        <w:widowControl w:val="0"/>
        <w:numPr>
          <w:ilvl w:val="0"/>
          <w:numId w:val="42"/>
        </w:numPr>
        <w:ind w:left="1620" w:right="990"/>
        <w:jc w:val="both"/>
        <w:rPr>
          <w:color w:val="000080"/>
        </w:rPr>
      </w:pPr>
      <w:r w:rsidRPr="00411BF9">
        <w:rPr>
          <w:b/>
          <w:bCs/>
          <w:color w:val="000080"/>
        </w:rPr>
        <w:t>Obtain emergency credit</w:t>
      </w:r>
      <w:r w:rsidRPr="00411BF9">
        <w:rPr>
          <w:color w:val="000080"/>
        </w:rPr>
        <w:t xml:space="preserve"> from the Central Bank operating as the </w:t>
      </w:r>
      <w:r w:rsidR="00411BF9">
        <w:rPr>
          <w:b/>
          <w:bCs/>
          <w:color w:val="000080"/>
        </w:rPr>
        <w:t>“</w:t>
      </w:r>
      <w:r w:rsidRPr="00411BF9">
        <w:rPr>
          <w:b/>
          <w:bCs/>
          <w:color w:val="000080"/>
        </w:rPr>
        <w:t>Lender of Last Resort</w:t>
      </w:r>
      <w:r w:rsidRPr="00411BF9">
        <w:rPr>
          <w:color w:val="000080"/>
        </w:rPr>
        <w:t>,</w:t>
      </w:r>
      <w:r w:rsidR="00411BF9">
        <w:rPr>
          <w:color w:val="000080"/>
        </w:rPr>
        <w:t>”</w:t>
      </w:r>
      <w:r w:rsidRPr="00411BF9">
        <w:rPr>
          <w:color w:val="000080"/>
        </w:rPr>
        <w:t xml:space="preserve"> at a cost of </w:t>
      </w:r>
      <w:r w:rsidRPr="00E12A56">
        <w:rPr>
          <w:b/>
          <w:bCs/>
          <w:color w:val="3366FF"/>
        </w:rPr>
        <w:t>20</w:t>
      </w:r>
    </w:p>
    <w:p w14:paraId="4B5B9F71" w14:textId="77777777" w:rsidR="00A3209A" w:rsidRPr="00411BF9" w:rsidRDefault="00A3209A" w:rsidP="00F86E09">
      <w:pPr>
        <w:widowControl w:val="0"/>
        <w:jc w:val="both"/>
        <w:rPr>
          <w:color w:val="000080"/>
          <w:sz w:val="12"/>
          <w:szCs w:val="12"/>
        </w:rPr>
      </w:pPr>
    </w:p>
    <w:p w14:paraId="15009136" w14:textId="77777777" w:rsidR="00A3209A" w:rsidRPr="00074586" w:rsidRDefault="00A3209A" w:rsidP="00F86E09">
      <w:pPr>
        <w:widowControl w:val="0"/>
        <w:jc w:val="both"/>
        <w:rPr>
          <w:color w:val="000080"/>
        </w:rPr>
      </w:pPr>
      <w:r w:rsidRPr="00074586">
        <w:rPr>
          <w:b/>
          <w:bCs/>
          <w:color w:val="FF0000"/>
        </w:rPr>
        <w:t>Confidentiality</w:t>
      </w:r>
      <w:r>
        <w:rPr>
          <w:b/>
          <w:bCs/>
          <w:color w:val="FF0000"/>
        </w:rPr>
        <w:t xml:space="preserve"> </w:t>
      </w:r>
      <w:r w:rsidRPr="00074586">
        <w:rPr>
          <w:b/>
          <w:bCs/>
          <w:color w:val="FF0000"/>
        </w:rPr>
        <w:t>of</w:t>
      </w:r>
      <w:r>
        <w:rPr>
          <w:b/>
          <w:bCs/>
          <w:color w:val="FF0000"/>
        </w:rPr>
        <w:t xml:space="preserve"> </w:t>
      </w:r>
      <w:r w:rsidRPr="00074586">
        <w:rPr>
          <w:b/>
          <w:bCs/>
          <w:color w:val="FF0000"/>
        </w:rPr>
        <w:t>Asset</w:t>
      </w:r>
      <w:r>
        <w:rPr>
          <w:b/>
          <w:bCs/>
          <w:color w:val="FF0000"/>
        </w:rPr>
        <w:t xml:space="preserve"> </w:t>
      </w:r>
      <w:r w:rsidRPr="00074586">
        <w:rPr>
          <w:b/>
          <w:bCs/>
          <w:color w:val="FF0000"/>
        </w:rPr>
        <w:t>Sales:</w:t>
      </w:r>
      <w:r>
        <w:rPr>
          <w:color w:val="000080"/>
        </w:rPr>
        <w:t xml:space="preserve"> </w:t>
      </w:r>
      <w:r w:rsidRPr="00074586">
        <w:rPr>
          <w:color w:val="000080"/>
        </w:rPr>
        <w:t>The</w:t>
      </w:r>
      <w:r>
        <w:rPr>
          <w:color w:val="000080"/>
        </w:rPr>
        <w:t xml:space="preserve"> </w:t>
      </w:r>
      <w:r w:rsidRPr="00490230">
        <w:rPr>
          <w:b/>
          <w:bCs/>
          <w:color w:val="FF6600"/>
        </w:rPr>
        <w:t>Investor</w:t>
      </w:r>
      <w:r>
        <w:rPr>
          <w:color w:val="000080"/>
        </w:rPr>
        <w:t xml:space="preserve"> </w:t>
      </w:r>
      <w:r w:rsidRPr="00074586">
        <w:rPr>
          <w:color w:val="000080"/>
        </w:rPr>
        <w:t>cannot</w:t>
      </w:r>
      <w:r>
        <w:rPr>
          <w:color w:val="000080"/>
        </w:rPr>
        <w:t xml:space="preserve"> </w:t>
      </w:r>
      <w:r w:rsidRPr="00074586">
        <w:rPr>
          <w:color w:val="000080"/>
        </w:rPr>
        <w:t>observe</w:t>
      </w:r>
      <w:r>
        <w:rPr>
          <w:color w:val="000080"/>
        </w:rPr>
        <w:t xml:space="preserve"> </w:t>
      </w:r>
      <w:r w:rsidRPr="00074586">
        <w:rPr>
          <w:color w:val="000080"/>
        </w:rPr>
        <w:t>whether</w:t>
      </w:r>
      <w:r>
        <w:rPr>
          <w:color w:val="000080"/>
        </w:rPr>
        <w:t xml:space="preserve"> </w:t>
      </w:r>
      <w:r w:rsidRPr="00074586">
        <w:rPr>
          <w:color w:val="000080"/>
        </w:rPr>
        <w:t>a</w:t>
      </w:r>
      <w:r>
        <w:rPr>
          <w:color w:val="000080"/>
        </w:rPr>
        <w:t xml:space="preserve"> </w:t>
      </w:r>
      <w:r w:rsidRPr="00E12A56">
        <w:rPr>
          <w:b/>
          <w:bCs/>
          <w:color w:val="3366FF"/>
        </w:rPr>
        <w:t>Bank</w:t>
      </w:r>
      <w:r>
        <w:rPr>
          <w:color w:val="000080"/>
        </w:rPr>
        <w:t xml:space="preserve"> </w:t>
      </w:r>
      <w:r w:rsidRPr="00074586">
        <w:rPr>
          <w:color w:val="000080"/>
        </w:rPr>
        <w:t>sells</w:t>
      </w:r>
      <w:r>
        <w:rPr>
          <w:color w:val="000080"/>
        </w:rPr>
        <w:t xml:space="preserve"> </w:t>
      </w:r>
      <w:r w:rsidRPr="00074586">
        <w:rPr>
          <w:color w:val="000080"/>
        </w:rPr>
        <w:t>its</w:t>
      </w:r>
      <w:r>
        <w:rPr>
          <w:color w:val="000080"/>
        </w:rPr>
        <w:t xml:space="preserve"> </w:t>
      </w:r>
      <w:r w:rsidRPr="00074586">
        <w:rPr>
          <w:color w:val="000080"/>
        </w:rPr>
        <w:t>own</w:t>
      </w:r>
      <w:r>
        <w:rPr>
          <w:color w:val="000080"/>
        </w:rPr>
        <w:t xml:space="preserve"> </w:t>
      </w:r>
      <w:r w:rsidRPr="00074586">
        <w:rPr>
          <w:color w:val="000080"/>
        </w:rPr>
        <w:t>assets.</w:t>
      </w:r>
      <w:r>
        <w:rPr>
          <w:color w:val="000080"/>
        </w:rPr>
        <w:t xml:space="preserve"> </w:t>
      </w:r>
      <w:r w:rsidRPr="00074586">
        <w:rPr>
          <w:color w:val="000080"/>
        </w:rPr>
        <w:t>So,</w:t>
      </w:r>
      <w:r>
        <w:rPr>
          <w:color w:val="000080"/>
        </w:rPr>
        <w:t xml:space="preserve"> </w:t>
      </w:r>
      <w:r w:rsidRPr="00074586">
        <w:rPr>
          <w:color w:val="000080"/>
        </w:rPr>
        <w:t>when</w:t>
      </w:r>
      <w:r>
        <w:rPr>
          <w:color w:val="000080"/>
        </w:rPr>
        <w:t xml:space="preserve"> </w:t>
      </w:r>
      <w:r w:rsidRPr="00074586">
        <w:rPr>
          <w:color w:val="000080"/>
        </w:rPr>
        <w:t>a</w:t>
      </w:r>
      <w:r>
        <w:rPr>
          <w:color w:val="000080"/>
        </w:rPr>
        <w:t xml:space="preserve"> </w:t>
      </w:r>
      <w:r w:rsidRPr="00074586">
        <w:rPr>
          <w:b/>
          <w:bCs/>
          <w:color w:val="0000FF"/>
        </w:rPr>
        <w:t>Bank</w:t>
      </w:r>
      <w:r>
        <w:rPr>
          <w:color w:val="000080"/>
        </w:rPr>
        <w:t xml:space="preserve"> </w:t>
      </w:r>
      <w:r w:rsidRPr="00074586">
        <w:rPr>
          <w:color w:val="000080"/>
        </w:rPr>
        <w:t>chooses</w:t>
      </w:r>
      <w:r>
        <w:rPr>
          <w:color w:val="000080"/>
        </w:rPr>
        <w:t xml:space="preserve"> </w:t>
      </w:r>
      <w:r w:rsidRPr="00074586">
        <w:rPr>
          <w:color w:val="000080"/>
        </w:rPr>
        <w:t>to</w:t>
      </w:r>
      <w:r>
        <w:rPr>
          <w:color w:val="000080"/>
        </w:rPr>
        <w:t xml:space="preserve"> </w:t>
      </w:r>
      <w:r w:rsidRPr="00074586">
        <w:rPr>
          <w:color w:val="000080"/>
        </w:rPr>
        <w:t>sell</w:t>
      </w:r>
      <w:r>
        <w:rPr>
          <w:color w:val="000080"/>
        </w:rPr>
        <w:t xml:space="preserve"> </w:t>
      </w:r>
      <w:r w:rsidRPr="00074586">
        <w:rPr>
          <w:color w:val="000080"/>
        </w:rPr>
        <w:t>its</w:t>
      </w:r>
      <w:r>
        <w:rPr>
          <w:color w:val="000080"/>
        </w:rPr>
        <w:t xml:space="preserve"> </w:t>
      </w:r>
      <w:r w:rsidRPr="00074586">
        <w:rPr>
          <w:color w:val="000080"/>
        </w:rPr>
        <w:t>own</w:t>
      </w:r>
      <w:r>
        <w:rPr>
          <w:color w:val="000080"/>
        </w:rPr>
        <w:t xml:space="preserve"> </w:t>
      </w:r>
      <w:r w:rsidRPr="00074586">
        <w:rPr>
          <w:color w:val="000080"/>
        </w:rPr>
        <w:t>assets,</w:t>
      </w:r>
      <w:r>
        <w:rPr>
          <w:color w:val="000080"/>
        </w:rPr>
        <w:t xml:space="preserve"> </w:t>
      </w:r>
      <w:r w:rsidRPr="00074586">
        <w:rPr>
          <w:color w:val="000080"/>
        </w:rPr>
        <w:t>the</w:t>
      </w:r>
      <w:r>
        <w:rPr>
          <w:color w:val="000080"/>
        </w:rPr>
        <w:t xml:space="preserve"> </w:t>
      </w:r>
      <w:r w:rsidRPr="00490230">
        <w:rPr>
          <w:b/>
          <w:bCs/>
          <w:color w:val="FF6600"/>
        </w:rPr>
        <w:t>Investor</w:t>
      </w:r>
      <w:r>
        <w:rPr>
          <w:color w:val="000080"/>
        </w:rPr>
        <w:t xml:space="preserve"> </w:t>
      </w:r>
      <w:r w:rsidRPr="00074586">
        <w:rPr>
          <w:color w:val="000080"/>
        </w:rPr>
        <w:t>cannot</w:t>
      </w:r>
      <w:r>
        <w:rPr>
          <w:color w:val="000080"/>
        </w:rPr>
        <w:t xml:space="preserve"> </w:t>
      </w:r>
      <w:r w:rsidRPr="00074586">
        <w:rPr>
          <w:color w:val="000080"/>
        </w:rPr>
        <w:t>infer</w:t>
      </w:r>
      <w:r>
        <w:rPr>
          <w:color w:val="000080"/>
        </w:rPr>
        <w:t xml:space="preserve"> </w:t>
      </w:r>
      <w:r w:rsidRPr="00074586">
        <w:rPr>
          <w:color w:val="000080"/>
        </w:rPr>
        <w:t>that</w:t>
      </w:r>
      <w:r>
        <w:rPr>
          <w:color w:val="000080"/>
        </w:rPr>
        <w:t xml:space="preserve"> </w:t>
      </w:r>
      <w:r w:rsidRPr="00074586">
        <w:rPr>
          <w:color w:val="000080"/>
        </w:rPr>
        <w:t>the</w:t>
      </w:r>
      <w:r>
        <w:rPr>
          <w:color w:val="000080"/>
        </w:rPr>
        <w:t xml:space="preserve"> </w:t>
      </w:r>
      <w:r w:rsidRPr="00E12A56">
        <w:rPr>
          <w:b/>
          <w:bCs/>
          <w:color w:val="3366FF"/>
        </w:rPr>
        <w:t>Bank</w:t>
      </w:r>
      <w:r>
        <w:rPr>
          <w:color w:val="000080"/>
        </w:rPr>
        <w:t xml:space="preserve"> </w:t>
      </w:r>
      <w:r w:rsidRPr="00074586">
        <w:rPr>
          <w:color w:val="000080"/>
        </w:rPr>
        <w:t>is</w:t>
      </w:r>
      <w:r>
        <w:rPr>
          <w:color w:val="000080"/>
        </w:rPr>
        <w:t xml:space="preserve"> </w:t>
      </w:r>
      <w:r w:rsidRPr="00074586">
        <w:rPr>
          <w:color w:val="000080"/>
        </w:rPr>
        <w:t>illiquid.</w:t>
      </w:r>
    </w:p>
    <w:p w14:paraId="51CF9251" w14:textId="77777777" w:rsidR="00A3209A" w:rsidRPr="00411BF9" w:rsidRDefault="00A3209A" w:rsidP="00F86E09">
      <w:pPr>
        <w:widowControl w:val="0"/>
        <w:jc w:val="both"/>
        <w:rPr>
          <w:color w:val="000080"/>
          <w:sz w:val="12"/>
          <w:szCs w:val="12"/>
        </w:rPr>
      </w:pPr>
    </w:p>
    <w:p w14:paraId="53A06AF7" w14:textId="5BE4185A" w:rsidR="00490230" w:rsidRPr="00074586" w:rsidRDefault="00A3209A" w:rsidP="00490230">
      <w:pPr>
        <w:widowControl w:val="0"/>
        <w:ind w:right="-180"/>
        <w:outlineLvl w:val="2"/>
        <w:rPr>
          <w:b/>
          <w:bCs/>
          <w:color w:val="000080"/>
        </w:rPr>
      </w:pPr>
      <w:r w:rsidRPr="00074586">
        <w:rPr>
          <w:b/>
          <w:bCs/>
          <w:color w:val="FF0000"/>
        </w:rPr>
        <w:t>Lender</w:t>
      </w:r>
      <w:r>
        <w:rPr>
          <w:b/>
          <w:bCs/>
          <w:color w:val="FF0000"/>
        </w:rPr>
        <w:t xml:space="preserve"> </w:t>
      </w:r>
      <w:r w:rsidRPr="00074586">
        <w:rPr>
          <w:b/>
          <w:bCs/>
          <w:color w:val="FF0000"/>
        </w:rPr>
        <w:t>of</w:t>
      </w:r>
      <w:r>
        <w:rPr>
          <w:b/>
          <w:bCs/>
          <w:color w:val="FF0000"/>
        </w:rPr>
        <w:t xml:space="preserve"> </w:t>
      </w:r>
      <w:r w:rsidRPr="00074586">
        <w:rPr>
          <w:b/>
          <w:bCs/>
          <w:color w:val="FF0000"/>
        </w:rPr>
        <w:t>Last</w:t>
      </w:r>
      <w:r>
        <w:rPr>
          <w:b/>
          <w:bCs/>
          <w:color w:val="FF0000"/>
        </w:rPr>
        <w:t xml:space="preserve"> </w:t>
      </w:r>
      <w:r w:rsidRPr="00074586">
        <w:rPr>
          <w:b/>
          <w:bCs/>
          <w:color w:val="FF0000"/>
        </w:rPr>
        <w:t>Resort</w:t>
      </w:r>
      <w:r>
        <w:rPr>
          <w:b/>
          <w:bCs/>
          <w:color w:val="FF0000"/>
        </w:rPr>
        <w:t xml:space="preserve"> </w:t>
      </w:r>
      <w:r w:rsidRPr="00074586">
        <w:rPr>
          <w:b/>
          <w:bCs/>
          <w:color w:val="FF0000"/>
        </w:rPr>
        <w:t>Detection:</w:t>
      </w:r>
      <w:r>
        <w:rPr>
          <w:color w:val="000080"/>
        </w:rPr>
        <w:t xml:space="preserve"> </w:t>
      </w:r>
      <w:r w:rsidRPr="00074586">
        <w:rPr>
          <w:color w:val="000080"/>
        </w:rPr>
        <w:t>If</w:t>
      </w:r>
      <w:r>
        <w:rPr>
          <w:color w:val="000080"/>
        </w:rPr>
        <w:t xml:space="preserve"> </w:t>
      </w:r>
      <w:r w:rsidRPr="00074586">
        <w:rPr>
          <w:color w:val="000080"/>
        </w:rPr>
        <w:t>the</w:t>
      </w:r>
      <w:r>
        <w:rPr>
          <w:color w:val="000080"/>
        </w:rPr>
        <w:t xml:space="preserve"> </w:t>
      </w:r>
      <w:r w:rsidRPr="00E12A56">
        <w:rPr>
          <w:b/>
          <w:bCs/>
          <w:color w:val="3366FF"/>
        </w:rPr>
        <w:t>Bank</w:t>
      </w:r>
      <w:r>
        <w:rPr>
          <w:color w:val="000080"/>
        </w:rPr>
        <w:t xml:space="preserve"> </w:t>
      </w:r>
      <w:r w:rsidRPr="00074586">
        <w:rPr>
          <w:color w:val="000080"/>
        </w:rPr>
        <w:t>borrows</w:t>
      </w:r>
      <w:r>
        <w:rPr>
          <w:color w:val="000080"/>
        </w:rPr>
        <w:t xml:space="preserve"> </w:t>
      </w:r>
      <w:r w:rsidRPr="00074586">
        <w:rPr>
          <w:color w:val="000080"/>
        </w:rPr>
        <w:t>from</w:t>
      </w:r>
      <w:r>
        <w:rPr>
          <w:color w:val="000080"/>
        </w:rPr>
        <w:t xml:space="preserve"> </w:t>
      </w:r>
      <w:r w:rsidRPr="00074586">
        <w:rPr>
          <w:color w:val="000080"/>
        </w:rPr>
        <w:t>the</w:t>
      </w:r>
      <w:r>
        <w:rPr>
          <w:color w:val="000080"/>
        </w:rPr>
        <w:t xml:space="preserve"> </w:t>
      </w:r>
      <w:r w:rsidRPr="00074586">
        <w:rPr>
          <w:color w:val="000080"/>
        </w:rPr>
        <w:t>Lender</w:t>
      </w:r>
      <w:r>
        <w:rPr>
          <w:color w:val="000080"/>
        </w:rPr>
        <w:t xml:space="preserve"> </w:t>
      </w:r>
      <w:r w:rsidRPr="00074586">
        <w:rPr>
          <w:color w:val="000080"/>
        </w:rPr>
        <w:t>of</w:t>
      </w:r>
      <w:r>
        <w:rPr>
          <w:color w:val="000080"/>
        </w:rPr>
        <w:t xml:space="preserve"> </w:t>
      </w:r>
      <w:r w:rsidRPr="00074586">
        <w:rPr>
          <w:color w:val="000080"/>
        </w:rPr>
        <w:t>Last</w:t>
      </w:r>
      <w:r>
        <w:rPr>
          <w:color w:val="000080"/>
        </w:rPr>
        <w:t xml:space="preserve"> </w:t>
      </w:r>
      <w:r w:rsidRPr="00074586">
        <w:rPr>
          <w:color w:val="000080"/>
        </w:rPr>
        <w:t>Resort,</w:t>
      </w:r>
      <w:r>
        <w:rPr>
          <w:color w:val="000080"/>
        </w:rPr>
        <w:t xml:space="preserve"> </w:t>
      </w:r>
      <w:r w:rsidRPr="00074586">
        <w:rPr>
          <w:color w:val="000080"/>
        </w:rPr>
        <w:t>then</w:t>
      </w:r>
      <w:r>
        <w:rPr>
          <w:color w:val="000080"/>
        </w:rPr>
        <w:t xml:space="preserve"> </w:t>
      </w:r>
      <w:r w:rsidRPr="00074586">
        <w:rPr>
          <w:color w:val="000080"/>
        </w:rPr>
        <w:t>there</w:t>
      </w:r>
      <w:r>
        <w:rPr>
          <w:color w:val="000080"/>
        </w:rPr>
        <w:t xml:space="preserve"> </w:t>
      </w:r>
      <w:r w:rsidRPr="00074586">
        <w:rPr>
          <w:color w:val="000080"/>
        </w:rPr>
        <w:t>is</w:t>
      </w:r>
      <w:r>
        <w:rPr>
          <w:color w:val="000080"/>
        </w:rPr>
        <w:t xml:space="preserve"> </w:t>
      </w:r>
      <w:r w:rsidRPr="00074586">
        <w:rPr>
          <w:color w:val="000080"/>
        </w:rPr>
        <w:t>a</w:t>
      </w:r>
      <w:r>
        <w:rPr>
          <w:color w:val="000080"/>
        </w:rPr>
        <w:t xml:space="preserve"> </w:t>
      </w:r>
      <w:r w:rsidRPr="00074586">
        <w:rPr>
          <w:color w:val="000080"/>
        </w:rPr>
        <w:t>chance</w:t>
      </w:r>
      <w:r>
        <w:rPr>
          <w:color w:val="000080"/>
        </w:rPr>
        <w:t xml:space="preserve"> </w:t>
      </w:r>
      <w:r w:rsidRPr="00074586">
        <w:rPr>
          <w:color w:val="000080"/>
        </w:rPr>
        <w:t>that</w:t>
      </w:r>
      <w:r>
        <w:rPr>
          <w:color w:val="000080"/>
        </w:rPr>
        <w:t xml:space="preserve"> </w:t>
      </w:r>
      <w:r w:rsidRPr="00074586">
        <w:rPr>
          <w:color w:val="000080"/>
        </w:rPr>
        <w:t>this</w:t>
      </w:r>
      <w:r>
        <w:rPr>
          <w:color w:val="000080"/>
        </w:rPr>
        <w:t xml:space="preserve"> </w:t>
      </w:r>
      <w:r w:rsidRPr="00074586">
        <w:rPr>
          <w:color w:val="000080"/>
        </w:rPr>
        <w:t>action</w:t>
      </w:r>
      <w:r>
        <w:rPr>
          <w:color w:val="000080"/>
        </w:rPr>
        <w:t xml:space="preserve"> </w:t>
      </w:r>
      <w:r w:rsidRPr="00074586">
        <w:rPr>
          <w:color w:val="000080"/>
        </w:rPr>
        <w:t>is</w:t>
      </w:r>
      <w:r>
        <w:rPr>
          <w:color w:val="000080"/>
        </w:rPr>
        <w:t xml:space="preserve"> </w:t>
      </w:r>
      <w:r w:rsidRPr="00074586">
        <w:rPr>
          <w:color w:val="000080"/>
        </w:rPr>
        <w:t>observed</w:t>
      </w:r>
      <w:r>
        <w:rPr>
          <w:color w:val="000080"/>
        </w:rPr>
        <w:t xml:space="preserve"> </w:t>
      </w:r>
      <w:r w:rsidRPr="00074586">
        <w:rPr>
          <w:color w:val="000080"/>
        </w:rPr>
        <w:t>by</w:t>
      </w:r>
      <w:r>
        <w:rPr>
          <w:color w:val="000080"/>
        </w:rPr>
        <w:t xml:space="preserve"> </w:t>
      </w:r>
      <w:r w:rsidRPr="00074586">
        <w:rPr>
          <w:color w:val="000080"/>
        </w:rPr>
        <w:t>the</w:t>
      </w:r>
      <w:r>
        <w:rPr>
          <w:color w:val="000080"/>
        </w:rPr>
        <w:t xml:space="preserve"> </w:t>
      </w:r>
      <w:r w:rsidRPr="00490230">
        <w:rPr>
          <w:b/>
          <w:bCs/>
          <w:color w:val="FF6600"/>
        </w:rPr>
        <w:t>Investor</w:t>
      </w:r>
      <w:r w:rsidRPr="00074586">
        <w:rPr>
          <w:color w:val="000080"/>
        </w:rPr>
        <w:t>,</w:t>
      </w:r>
      <w:r>
        <w:rPr>
          <w:color w:val="000080"/>
        </w:rPr>
        <w:t xml:space="preserve"> </w:t>
      </w:r>
      <w:r w:rsidRPr="00074586">
        <w:rPr>
          <w:color w:val="000080"/>
        </w:rPr>
        <w:t>in</w:t>
      </w:r>
      <w:r>
        <w:rPr>
          <w:color w:val="000080"/>
        </w:rPr>
        <w:t xml:space="preserve"> </w:t>
      </w:r>
      <w:r w:rsidRPr="00074586">
        <w:rPr>
          <w:color w:val="000080"/>
        </w:rPr>
        <w:t>which</w:t>
      </w:r>
      <w:r>
        <w:rPr>
          <w:color w:val="000080"/>
        </w:rPr>
        <w:t xml:space="preserve"> </w:t>
      </w:r>
      <w:r w:rsidRPr="00074586">
        <w:rPr>
          <w:color w:val="000080"/>
        </w:rPr>
        <w:t>case</w:t>
      </w:r>
      <w:r>
        <w:rPr>
          <w:color w:val="000080"/>
        </w:rPr>
        <w:t xml:space="preserve"> </w:t>
      </w:r>
      <w:r w:rsidRPr="00074586">
        <w:rPr>
          <w:color w:val="000080"/>
        </w:rPr>
        <w:t>the</w:t>
      </w:r>
      <w:r>
        <w:rPr>
          <w:color w:val="000080"/>
        </w:rPr>
        <w:t xml:space="preserve"> </w:t>
      </w:r>
      <w:r w:rsidRPr="00490230">
        <w:rPr>
          <w:b/>
          <w:bCs/>
          <w:color w:val="FF6600"/>
        </w:rPr>
        <w:t>Investor</w:t>
      </w:r>
      <w:r>
        <w:rPr>
          <w:color w:val="000080"/>
        </w:rPr>
        <w:t xml:space="preserve"> </w:t>
      </w:r>
      <w:r w:rsidRPr="00074586">
        <w:rPr>
          <w:color w:val="000080"/>
        </w:rPr>
        <w:t>knows</w:t>
      </w:r>
      <w:r>
        <w:rPr>
          <w:color w:val="000080"/>
        </w:rPr>
        <w:t xml:space="preserve"> </w:t>
      </w:r>
      <w:r w:rsidRPr="00074586">
        <w:rPr>
          <w:color w:val="000080"/>
        </w:rPr>
        <w:t>the</w:t>
      </w:r>
      <w:r>
        <w:rPr>
          <w:color w:val="000080"/>
        </w:rPr>
        <w:t xml:space="preserve"> </w:t>
      </w:r>
      <w:r w:rsidRPr="00E12A56">
        <w:rPr>
          <w:b/>
          <w:bCs/>
          <w:color w:val="3366FF"/>
        </w:rPr>
        <w:t>Bank</w:t>
      </w:r>
      <w:r>
        <w:rPr>
          <w:color w:val="000080"/>
        </w:rPr>
        <w:t xml:space="preserve"> </w:t>
      </w:r>
      <w:r w:rsidRPr="00074586">
        <w:rPr>
          <w:color w:val="000080"/>
        </w:rPr>
        <w:t>is</w:t>
      </w:r>
      <w:r>
        <w:rPr>
          <w:color w:val="000080"/>
        </w:rPr>
        <w:t xml:space="preserve"> </w:t>
      </w:r>
      <w:r w:rsidRPr="00074586">
        <w:rPr>
          <w:color w:val="000080"/>
        </w:rPr>
        <w:t>illiquid.</w:t>
      </w:r>
      <w:r>
        <w:rPr>
          <w:color w:val="000080"/>
        </w:rPr>
        <w:t xml:space="preserve"> </w:t>
      </w:r>
      <w:r w:rsidRPr="00074586">
        <w:rPr>
          <w:color w:val="000080"/>
        </w:rPr>
        <w:t>If</w:t>
      </w:r>
      <w:r>
        <w:rPr>
          <w:color w:val="000080"/>
        </w:rPr>
        <w:t xml:space="preserve"> </w:t>
      </w:r>
      <w:r w:rsidRPr="00074586">
        <w:rPr>
          <w:color w:val="000080"/>
        </w:rPr>
        <w:t>only</w:t>
      </w:r>
      <w:r>
        <w:rPr>
          <w:color w:val="000080"/>
        </w:rPr>
        <w:t xml:space="preserve"> </w:t>
      </w:r>
      <w:r w:rsidRPr="00074586">
        <w:rPr>
          <w:color w:val="000080"/>
        </w:rPr>
        <w:t>one</w:t>
      </w:r>
      <w:r>
        <w:rPr>
          <w:color w:val="000080"/>
        </w:rPr>
        <w:t xml:space="preserve"> </w:t>
      </w:r>
      <w:r w:rsidRPr="00074586">
        <w:rPr>
          <w:color w:val="000080"/>
        </w:rPr>
        <w:t>bank</w:t>
      </w:r>
      <w:r>
        <w:rPr>
          <w:color w:val="000080"/>
        </w:rPr>
        <w:t xml:space="preserve"> </w:t>
      </w:r>
      <w:r w:rsidRPr="00074586">
        <w:rPr>
          <w:color w:val="000080"/>
        </w:rPr>
        <w:t>borrows</w:t>
      </w:r>
      <w:r>
        <w:rPr>
          <w:color w:val="000080"/>
        </w:rPr>
        <w:t xml:space="preserve"> </w:t>
      </w:r>
      <w:r w:rsidRPr="00074586">
        <w:rPr>
          <w:color w:val="000080"/>
        </w:rPr>
        <w:t>from</w:t>
      </w:r>
      <w:r>
        <w:rPr>
          <w:color w:val="000080"/>
        </w:rPr>
        <w:t xml:space="preserve"> </w:t>
      </w:r>
      <w:r w:rsidRPr="00074586">
        <w:rPr>
          <w:color w:val="000080"/>
        </w:rPr>
        <w:t>the</w:t>
      </w:r>
      <w:r>
        <w:rPr>
          <w:color w:val="000080"/>
        </w:rPr>
        <w:t xml:space="preserve"> </w:t>
      </w:r>
      <w:r w:rsidRPr="00074586">
        <w:rPr>
          <w:color w:val="000080"/>
        </w:rPr>
        <w:t>Lender</w:t>
      </w:r>
      <w:r>
        <w:rPr>
          <w:color w:val="000080"/>
        </w:rPr>
        <w:t xml:space="preserve"> </w:t>
      </w:r>
      <w:r w:rsidRPr="00074586">
        <w:rPr>
          <w:color w:val="000080"/>
        </w:rPr>
        <w:t>of</w:t>
      </w:r>
      <w:r>
        <w:rPr>
          <w:color w:val="000080"/>
        </w:rPr>
        <w:t xml:space="preserve"> </w:t>
      </w:r>
      <w:r w:rsidRPr="00074586">
        <w:rPr>
          <w:color w:val="000080"/>
        </w:rPr>
        <w:t>Last</w:t>
      </w:r>
      <w:r>
        <w:rPr>
          <w:color w:val="000080"/>
        </w:rPr>
        <w:t xml:space="preserve"> </w:t>
      </w:r>
      <w:r w:rsidRPr="00074586">
        <w:rPr>
          <w:color w:val="000080"/>
        </w:rPr>
        <w:t>Resort,</w:t>
      </w:r>
      <w:r>
        <w:rPr>
          <w:color w:val="000080"/>
        </w:rPr>
        <w:t xml:space="preserve"> </w:t>
      </w:r>
      <w:r w:rsidRPr="00074586">
        <w:rPr>
          <w:color w:val="000080"/>
        </w:rPr>
        <w:t>then</w:t>
      </w:r>
      <w:r>
        <w:rPr>
          <w:color w:val="000080"/>
        </w:rPr>
        <w:t xml:space="preserve"> </w:t>
      </w:r>
      <w:r w:rsidRPr="00074586">
        <w:rPr>
          <w:color w:val="000080"/>
        </w:rPr>
        <w:t>there</w:t>
      </w:r>
      <w:r>
        <w:rPr>
          <w:color w:val="000080"/>
        </w:rPr>
        <w:t xml:space="preserve"> </w:t>
      </w:r>
      <w:r w:rsidRPr="00074586">
        <w:rPr>
          <w:color w:val="000080"/>
        </w:rPr>
        <w:t>is</w:t>
      </w:r>
      <w:r>
        <w:rPr>
          <w:color w:val="000080"/>
        </w:rPr>
        <w:t xml:space="preserve"> </w:t>
      </w:r>
      <w:r w:rsidRPr="00074586">
        <w:rPr>
          <w:color w:val="000080"/>
        </w:rPr>
        <w:t>a</w:t>
      </w:r>
      <w:r>
        <w:rPr>
          <w:color w:val="000080"/>
        </w:rPr>
        <w:t xml:space="preserve"> </w:t>
      </w:r>
      <w:r w:rsidRPr="00074586">
        <w:rPr>
          <w:b/>
          <w:bCs/>
          <w:color w:val="000080"/>
        </w:rPr>
        <w:t>75%</w:t>
      </w:r>
      <w:r>
        <w:rPr>
          <w:b/>
          <w:bCs/>
          <w:color w:val="000080"/>
        </w:rPr>
        <w:t xml:space="preserve"> </w:t>
      </w:r>
      <w:r w:rsidRPr="00074586">
        <w:rPr>
          <w:b/>
          <w:bCs/>
          <w:color w:val="000080"/>
        </w:rPr>
        <w:t>chance</w:t>
      </w:r>
      <w:r>
        <w:rPr>
          <w:color w:val="000080"/>
        </w:rPr>
        <w:t xml:space="preserve"> </w:t>
      </w:r>
      <w:r w:rsidRPr="00074586">
        <w:rPr>
          <w:color w:val="000080"/>
        </w:rPr>
        <w:t>that</w:t>
      </w:r>
      <w:r>
        <w:rPr>
          <w:color w:val="000080"/>
        </w:rPr>
        <w:t xml:space="preserve"> </w:t>
      </w:r>
      <w:r w:rsidRPr="00074586">
        <w:rPr>
          <w:color w:val="000080"/>
        </w:rPr>
        <w:t>this</w:t>
      </w:r>
      <w:r>
        <w:rPr>
          <w:color w:val="000080"/>
        </w:rPr>
        <w:t xml:space="preserve"> </w:t>
      </w:r>
      <w:r w:rsidRPr="00074586">
        <w:rPr>
          <w:color w:val="000080"/>
        </w:rPr>
        <w:t>borrowing</w:t>
      </w:r>
      <w:r>
        <w:rPr>
          <w:color w:val="000080"/>
        </w:rPr>
        <w:t xml:space="preserve"> </w:t>
      </w:r>
      <w:r w:rsidRPr="00074586">
        <w:rPr>
          <w:color w:val="000080"/>
        </w:rPr>
        <w:t>will</w:t>
      </w:r>
      <w:r>
        <w:rPr>
          <w:color w:val="000080"/>
        </w:rPr>
        <w:t xml:space="preserve"> </w:t>
      </w:r>
      <w:r w:rsidRPr="00074586">
        <w:rPr>
          <w:color w:val="000080"/>
        </w:rPr>
        <w:t>be</w:t>
      </w:r>
      <w:r>
        <w:rPr>
          <w:color w:val="000080"/>
        </w:rPr>
        <w:t xml:space="preserve"> </w:t>
      </w:r>
      <w:r w:rsidRPr="00074586">
        <w:rPr>
          <w:color w:val="000080"/>
        </w:rPr>
        <w:t>observed</w:t>
      </w:r>
      <w:r>
        <w:rPr>
          <w:color w:val="000080"/>
        </w:rPr>
        <w:t xml:space="preserve"> </w:t>
      </w:r>
      <w:r w:rsidRPr="00074586">
        <w:rPr>
          <w:color w:val="000080"/>
        </w:rPr>
        <w:t>by</w:t>
      </w:r>
      <w:r>
        <w:rPr>
          <w:color w:val="000080"/>
        </w:rPr>
        <w:t xml:space="preserve"> </w:t>
      </w:r>
      <w:r w:rsidRPr="00074586">
        <w:rPr>
          <w:color w:val="000080"/>
        </w:rPr>
        <w:t>the</w:t>
      </w:r>
      <w:r>
        <w:rPr>
          <w:color w:val="000080"/>
        </w:rPr>
        <w:t xml:space="preserve"> </w:t>
      </w:r>
      <w:r w:rsidRPr="00490230">
        <w:rPr>
          <w:b/>
          <w:bCs/>
          <w:color w:val="FF6600"/>
        </w:rPr>
        <w:t>Investor</w:t>
      </w:r>
      <w:r w:rsidRPr="00074586">
        <w:rPr>
          <w:color w:val="000080"/>
        </w:rPr>
        <w:t>,</w:t>
      </w:r>
      <w:r>
        <w:rPr>
          <w:color w:val="000080"/>
        </w:rPr>
        <w:t xml:space="preserve"> </w:t>
      </w:r>
      <w:r w:rsidRPr="00074586">
        <w:rPr>
          <w:color w:val="000080"/>
        </w:rPr>
        <w:t>but</w:t>
      </w:r>
      <w:r>
        <w:rPr>
          <w:color w:val="000080"/>
        </w:rPr>
        <w:t xml:space="preserve"> </w:t>
      </w:r>
      <w:r w:rsidRPr="00074586">
        <w:rPr>
          <w:color w:val="000080"/>
        </w:rPr>
        <w:t>there</w:t>
      </w:r>
      <w:r>
        <w:rPr>
          <w:color w:val="000080"/>
        </w:rPr>
        <w:t xml:space="preserve"> </w:t>
      </w:r>
      <w:r w:rsidRPr="00074586">
        <w:rPr>
          <w:color w:val="000080"/>
        </w:rPr>
        <w:t>is</w:t>
      </w:r>
      <w:r>
        <w:rPr>
          <w:color w:val="000080"/>
        </w:rPr>
        <w:t xml:space="preserve"> </w:t>
      </w:r>
      <w:r w:rsidRPr="00074586">
        <w:rPr>
          <w:color w:val="000080"/>
        </w:rPr>
        <w:t>only</w:t>
      </w:r>
      <w:r>
        <w:rPr>
          <w:color w:val="000080"/>
        </w:rPr>
        <w:t xml:space="preserve"> </w:t>
      </w:r>
      <w:r w:rsidRPr="00074586">
        <w:rPr>
          <w:color w:val="000080"/>
        </w:rPr>
        <w:t>a</w:t>
      </w:r>
      <w:r>
        <w:rPr>
          <w:color w:val="000080"/>
        </w:rPr>
        <w:t xml:space="preserve"> </w:t>
      </w:r>
      <w:r w:rsidRPr="00074586">
        <w:rPr>
          <w:b/>
          <w:bCs/>
          <w:color w:val="000080"/>
        </w:rPr>
        <w:t>50%</w:t>
      </w:r>
      <w:r>
        <w:rPr>
          <w:b/>
          <w:bCs/>
          <w:color w:val="000080"/>
        </w:rPr>
        <w:t xml:space="preserve"> </w:t>
      </w:r>
      <w:r w:rsidRPr="00074586">
        <w:rPr>
          <w:b/>
          <w:bCs/>
          <w:color w:val="000080"/>
        </w:rPr>
        <w:t>chance</w:t>
      </w:r>
      <w:r>
        <w:rPr>
          <w:color w:val="000080"/>
        </w:rPr>
        <w:t xml:space="preserve"> </w:t>
      </w:r>
      <w:r w:rsidRPr="00074586">
        <w:rPr>
          <w:color w:val="000080"/>
        </w:rPr>
        <w:t>of</w:t>
      </w:r>
      <w:r>
        <w:rPr>
          <w:color w:val="000080"/>
        </w:rPr>
        <w:t xml:space="preserve"> </w:t>
      </w:r>
      <w:r w:rsidRPr="00074586">
        <w:rPr>
          <w:color w:val="000080"/>
        </w:rPr>
        <w:t>detection</w:t>
      </w:r>
      <w:r>
        <w:rPr>
          <w:color w:val="000080"/>
        </w:rPr>
        <w:t xml:space="preserve"> </w:t>
      </w:r>
      <w:r w:rsidRPr="00074586">
        <w:rPr>
          <w:color w:val="000080"/>
        </w:rPr>
        <w:t>if</w:t>
      </w:r>
      <w:r>
        <w:rPr>
          <w:color w:val="000080"/>
        </w:rPr>
        <w:t xml:space="preserve"> </w:t>
      </w:r>
      <w:r w:rsidRPr="00074586">
        <w:rPr>
          <w:color w:val="000080"/>
        </w:rPr>
        <w:t>2</w:t>
      </w:r>
      <w:r>
        <w:rPr>
          <w:color w:val="000080"/>
        </w:rPr>
        <w:t xml:space="preserve"> </w:t>
      </w:r>
      <w:r w:rsidRPr="00074586">
        <w:rPr>
          <w:color w:val="000080"/>
        </w:rPr>
        <w:t>banks</w:t>
      </w:r>
      <w:r>
        <w:rPr>
          <w:color w:val="000080"/>
        </w:rPr>
        <w:t xml:space="preserve"> </w:t>
      </w:r>
      <w:r w:rsidRPr="00074586">
        <w:rPr>
          <w:color w:val="000080"/>
        </w:rPr>
        <w:t>borrow,</w:t>
      </w:r>
      <w:r>
        <w:rPr>
          <w:color w:val="000080"/>
        </w:rPr>
        <w:t xml:space="preserve"> </w:t>
      </w:r>
      <w:r w:rsidRPr="00074586">
        <w:rPr>
          <w:color w:val="000080"/>
        </w:rPr>
        <w:t>and</w:t>
      </w:r>
      <w:r>
        <w:rPr>
          <w:color w:val="000080"/>
        </w:rPr>
        <w:t xml:space="preserve"> </w:t>
      </w:r>
      <w:r w:rsidRPr="00074586">
        <w:rPr>
          <w:color w:val="000080"/>
        </w:rPr>
        <w:t>only</w:t>
      </w:r>
      <w:r>
        <w:rPr>
          <w:color w:val="000080"/>
        </w:rPr>
        <w:t xml:space="preserve"> </w:t>
      </w:r>
      <w:r w:rsidRPr="00074586">
        <w:rPr>
          <w:color w:val="000080"/>
        </w:rPr>
        <w:t>a</w:t>
      </w:r>
      <w:r>
        <w:rPr>
          <w:color w:val="000080"/>
        </w:rPr>
        <w:t xml:space="preserve"> </w:t>
      </w:r>
      <w:r w:rsidRPr="00074586">
        <w:rPr>
          <w:b/>
          <w:bCs/>
          <w:color w:val="000080"/>
        </w:rPr>
        <w:t>25%</w:t>
      </w:r>
      <w:r>
        <w:rPr>
          <w:b/>
          <w:bCs/>
          <w:color w:val="000080"/>
        </w:rPr>
        <w:t xml:space="preserve"> </w:t>
      </w:r>
      <w:r w:rsidRPr="00074586">
        <w:rPr>
          <w:b/>
          <w:bCs/>
          <w:color w:val="000080"/>
        </w:rPr>
        <w:t>chance</w:t>
      </w:r>
      <w:r>
        <w:rPr>
          <w:color w:val="000080"/>
        </w:rPr>
        <w:t xml:space="preserve"> </w:t>
      </w:r>
      <w:r w:rsidRPr="00074586">
        <w:rPr>
          <w:color w:val="000080"/>
        </w:rPr>
        <w:t>of</w:t>
      </w:r>
      <w:r>
        <w:rPr>
          <w:color w:val="000080"/>
        </w:rPr>
        <w:t xml:space="preserve"> </w:t>
      </w:r>
      <w:r w:rsidRPr="00074586">
        <w:rPr>
          <w:color w:val="000080"/>
        </w:rPr>
        <w:t>detection</w:t>
      </w:r>
      <w:r>
        <w:rPr>
          <w:color w:val="000080"/>
        </w:rPr>
        <w:t xml:space="preserve"> </w:t>
      </w:r>
      <w:r w:rsidRPr="00074586">
        <w:rPr>
          <w:color w:val="000080"/>
        </w:rPr>
        <w:t>if</w:t>
      </w:r>
      <w:r>
        <w:rPr>
          <w:color w:val="000080"/>
        </w:rPr>
        <w:t xml:space="preserve"> </w:t>
      </w:r>
      <w:r w:rsidRPr="00074586">
        <w:rPr>
          <w:color w:val="000080"/>
        </w:rPr>
        <w:t>3</w:t>
      </w:r>
      <w:r>
        <w:rPr>
          <w:color w:val="000080"/>
        </w:rPr>
        <w:t xml:space="preserve"> </w:t>
      </w:r>
      <w:r w:rsidRPr="00074586">
        <w:rPr>
          <w:color w:val="000080"/>
        </w:rPr>
        <w:t>or</w:t>
      </w:r>
      <w:r>
        <w:rPr>
          <w:color w:val="000080"/>
        </w:rPr>
        <w:t xml:space="preserve"> </w:t>
      </w:r>
      <w:r w:rsidRPr="00074586">
        <w:rPr>
          <w:color w:val="000080"/>
        </w:rPr>
        <w:t>more</w:t>
      </w:r>
      <w:r>
        <w:rPr>
          <w:color w:val="000080"/>
        </w:rPr>
        <w:t xml:space="preserve"> </w:t>
      </w:r>
      <w:r w:rsidRPr="00074586">
        <w:rPr>
          <w:color w:val="000080"/>
        </w:rPr>
        <w:t>banks</w:t>
      </w:r>
      <w:r>
        <w:rPr>
          <w:color w:val="000080"/>
        </w:rPr>
        <w:t xml:space="preserve"> </w:t>
      </w:r>
      <w:r w:rsidRPr="00074586">
        <w:rPr>
          <w:color w:val="000080"/>
        </w:rPr>
        <w:t>borrow.</w:t>
      </w:r>
      <w:r w:rsidR="00490230" w:rsidRPr="00490230">
        <w:rPr>
          <w:b/>
          <w:bCs/>
          <w:color w:val="000080"/>
        </w:rPr>
        <w:t xml:space="preserve"> </w:t>
      </w:r>
    </w:p>
    <w:p w14:paraId="4C34626B" w14:textId="77777777" w:rsidR="00490230" w:rsidRDefault="00490230" w:rsidP="00490230">
      <w:pPr>
        <w:widowControl w:val="0"/>
      </w:pPr>
      <w:r>
        <w:t>________________________________________________________________________________</w:t>
      </w:r>
    </w:p>
    <w:p w14:paraId="10B070CD" w14:textId="0F2B8BEB" w:rsidR="00490230" w:rsidRDefault="00490230" w:rsidP="00490230">
      <w:pPr>
        <w:widowControl w:val="0"/>
        <w:ind w:left="3690"/>
        <w:outlineLvl w:val="2"/>
        <w:rPr>
          <w:b/>
          <w:bCs/>
          <w:color w:val="008000"/>
        </w:rPr>
      </w:pPr>
      <w:r w:rsidRPr="00074586">
        <w:rPr>
          <w:b/>
          <w:bCs/>
          <w:color w:val="000080"/>
        </w:rPr>
        <w:t>Instructions</w:t>
      </w:r>
      <w:r>
        <w:rPr>
          <w:b/>
          <w:bCs/>
          <w:color w:val="000080"/>
        </w:rPr>
        <w:t xml:space="preserve"> </w:t>
      </w:r>
      <w:r>
        <w:rPr>
          <w:b/>
          <w:bCs/>
          <w:color w:val="000080"/>
        </w:rPr>
        <w:tab/>
      </w:r>
      <w:r>
        <w:rPr>
          <w:b/>
          <w:bCs/>
          <w:color w:val="000080"/>
        </w:rPr>
        <w:tab/>
      </w:r>
      <w:r>
        <w:rPr>
          <w:b/>
          <w:bCs/>
          <w:color w:val="000080"/>
        </w:rPr>
        <w:tab/>
      </w:r>
      <w:r>
        <w:rPr>
          <w:b/>
          <w:bCs/>
          <w:color w:val="000080"/>
        </w:rPr>
        <w:tab/>
      </w:r>
      <w:r>
        <w:rPr>
          <w:b/>
          <w:bCs/>
          <w:color w:val="000080"/>
        </w:rPr>
        <w:tab/>
        <w:t xml:space="preserve">         </w:t>
      </w:r>
      <w:r w:rsidRPr="00074586">
        <w:rPr>
          <w:b/>
          <w:bCs/>
          <w:color w:val="008000"/>
        </w:rPr>
        <w:t>Page</w:t>
      </w:r>
      <w:r>
        <w:rPr>
          <w:b/>
          <w:bCs/>
          <w:color w:val="008000"/>
        </w:rPr>
        <w:t xml:space="preserve"> 4 </w:t>
      </w:r>
      <w:r w:rsidRPr="00074586">
        <w:rPr>
          <w:b/>
          <w:bCs/>
          <w:color w:val="008000"/>
        </w:rPr>
        <w:t>of</w:t>
      </w:r>
      <w:r>
        <w:rPr>
          <w:b/>
          <w:bCs/>
          <w:color w:val="008000"/>
        </w:rPr>
        <w:t xml:space="preserve"> </w:t>
      </w:r>
      <w:r w:rsidRPr="00074586">
        <w:rPr>
          <w:b/>
          <w:bCs/>
          <w:color w:val="008000"/>
        </w:rPr>
        <w:t>5</w:t>
      </w:r>
    </w:p>
    <w:p w14:paraId="2A96DCB3" w14:textId="27B7DCDA" w:rsidR="00065D3C" w:rsidRPr="00065D3C" w:rsidRDefault="00065D3C" w:rsidP="00490230">
      <w:pPr>
        <w:widowControl w:val="0"/>
        <w:jc w:val="both"/>
        <w:rPr>
          <w:b/>
          <w:bCs/>
          <w:color w:val="008000"/>
          <w:sz w:val="12"/>
          <w:szCs w:val="12"/>
        </w:rPr>
      </w:pPr>
    </w:p>
    <w:p w14:paraId="2662489A" w14:textId="06170A31" w:rsidR="00F852CF" w:rsidRDefault="00F852CF" w:rsidP="00F86E09">
      <w:pPr>
        <w:widowControl w:val="0"/>
        <w:outlineLvl w:val="2"/>
        <w:rPr>
          <w:b/>
          <w:bCs/>
          <w:color w:val="000080"/>
          <w:u w:val="single"/>
        </w:rPr>
      </w:pPr>
      <w:r w:rsidRPr="00411BF9">
        <w:rPr>
          <w:b/>
          <w:bCs/>
          <w:color w:val="000080"/>
          <w:u w:val="single"/>
        </w:rPr>
        <w:t>Period</w:t>
      </w:r>
      <w:r w:rsidR="009A0847" w:rsidRPr="00411BF9">
        <w:rPr>
          <w:b/>
          <w:bCs/>
          <w:color w:val="000080"/>
          <w:u w:val="single"/>
        </w:rPr>
        <w:t xml:space="preserve"> </w:t>
      </w:r>
      <w:r w:rsidRPr="00411BF9">
        <w:rPr>
          <w:b/>
          <w:bCs/>
          <w:color w:val="000080"/>
          <w:u w:val="single"/>
        </w:rPr>
        <w:t>2</w:t>
      </w:r>
    </w:p>
    <w:p w14:paraId="38086EE7" w14:textId="77777777" w:rsidR="00411BF9" w:rsidRPr="00074586" w:rsidRDefault="00411BF9" w:rsidP="00F86E09">
      <w:pPr>
        <w:widowControl w:val="0"/>
        <w:jc w:val="both"/>
        <w:rPr>
          <w:color w:val="000080"/>
        </w:rPr>
      </w:pPr>
      <w:r w:rsidRPr="00074586">
        <w:rPr>
          <w:color w:val="000080"/>
        </w:rPr>
        <w:t>At</w:t>
      </w:r>
      <w:r>
        <w:rPr>
          <w:color w:val="000080"/>
        </w:rPr>
        <w:t xml:space="preserve"> </w:t>
      </w:r>
      <w:r w:rsidRPr="00074586">
        <w:rPr>
          <w:color w:val="000080"/>
        </w:rPr>
        <w:t>the</w:t>
      </w:r>
      <w:r>
        <w:rPr>
          <w:color w:val="000080"/>
        </w:rPr>
        <w:t xml:space="preserve"> </w:t>
      </w:r>
      <w:r w:rsidRPr="00074586">
        <w:rPr>
          <w:color w:val="000080"/>
        </w:rPr>
        <w:t>beginning</w:t>
      </w:r>
      <w:r>
        <w:rPr>
          <w:color w:val="000080"/>
        </w:rPr>
        <w:t xml:space="preserve"> </w:t>
      </w:r>
      <w:r w:rsidRPr="00074586">
        <w:rPr>
          <w:color w:val="000080"/>
        </w:rPr>
        <w:t>of</w:t>
      </w:r>
      <w:r>
        <w:rPr>
          <w:color w:val="000080"/>
        </w:rPr>
        <w:t xml:space="preserve"> </w:t>
      </w:r>
      <w:r w:rsidRPr="00074586">
        <w:rPr>
          <w:color w:val="000080"/>
        </w:rPr>
        <w:t>Period</w:t>
      </w:r>
      <w:r>
        <w:rPr>
          <w:color w:val="000080"/>
        </w:rPr>
        <w:t xml:space="preserve"> </w:t>
      </w:r>
      <w:r w:rsidRPr="00074586">
        <w:rPr>
          <w:color w:val="000080"/>
        </w:rPr>
        <w:t>2,</w:t>
      </w:r>
      <w:r>
        <w:rPr>
          <w:color w:val="000080"/>
        </w:rPr>
        <w:t xml:space="preserve"> </w:t>
      </w:r>
      <w:r w:rsidRPr="00074586">
        <w:rPr>
          <w:color w:val="000080"/>
        </w:rPr>
        <w:t>the</w:t>
      </w:r>
      <w:r>
        <w:rPr>
          <w:color w:val="000080"/>
        </w:rPr>
        <w:t xml:space="preserve"> </w:t>
      </w:r>
      <w:r w:rsidRPr="00490230">
        <w:rPr>
          <w:b/>
          <w:bCs/>
          <w:color w:val="FF6600"/>
        </w:rPr>
        <w:t>Investor</w:t>
      </w:r>
      <w:r>
        <w:rPr>
          <w:color w:val="000080"/>
        </w:rPr>
        <w:t xml:space="preserve"> </w:t>
      </w:r>
      <w:r w:rsidRPr="00074586">
        <w:rPr>
          <w:color w:val="000080"/>
        </w:rPr>
        <w:t>is</w:t>
      </w:r>
      <w:r>
        <w:rPr>
          <w:color w:val="000080"/>
        </w:rPr>
        <w:t xml:space="preserve"> </w:t>
      </w:r>
      <w:r w:rsidRPr="00074586">
        <w:rPr>
          <w:color w:val="000080"/>
        </w:rPr>
        <w:t>told</w:t>
      </w:r>
      <w:r>
        <w:rPr>
          <w:color w:val="000080"/>
        </w:rPr>
        <w:t xml:space="preserve"> </w:t>
      </w:r>
      <w:r w:rsidRPr="00074586">
        <w:rPr>
          <w:color w:val="000080"/>
        </w:rPr>
        <w:t>whether</w:t>
      </w:r>
      <w:r>
        <w:rPr>
          <w:color w:val="000080"/>
        </w:rPr>
        <w:t xml:space="preserve"> </w:t>
      </w:r>
      <w:r w:rsidRPr="00074586">
        <w:rPr>
          <w:color w:val="000080"/>
        </w:rPr>
        <w:t>or</w:t>
      </w:r>
      <w:r>
        <w:rPr>
          <w:color w:val="000080"/>
        </w:rPr>
        <w:t xml:space="preserve"> </w:t>
      </w:r>
      <w:r w:rsidRPr="00074586">
        <w:rPr>
          <w:color w:val="000080"/>
        </w:rPr>
        <w:t>not</w:t>
      </w:r>
      <w:r>
        <w:rPr>
          <w:color w:val="000080"/>
        </w:rPr>
        <w:t xml:space="preserve"> </w:t>
      </w:r>
      <w:r w:rsidRPr="00074586">
        <w:rPr>
          <w:color w:val="000080"/>
        </w:rPr>
        <w:t>the</w:t>
      </w:r>
      <w:r>
        <w:rPr>
          <w:color w:val="000080"/>
        </w:rPr>
        <w:t xml:space="preserve"> </w:t>
      </w:r>
      <w:r w:rsidRPr="00E12A56">
        <w:rPr>
          <w:b/>
          <w:bCs/>
          <w:color w:val="3366FF"/>
        </w:rPr>
        <w:t>Bank</w:t>
      </w:r>
      <w:r>
        <w:rPr>
          <w:color w:val="000080"/>
        </w:rPr>
        <w:t xml:space="preserve"> </w:t>
      </w:r>
      <w:r w:rsidRPr="00074586">
        <w:rPr>
          <w:color w:val="000080"/>
        </w:rPr>
        <w:t>was</w:t>
      </w:r>
      <w:r>
        <w:rPr>
          <w:color w:val="000080"/>
        </w:rPr>
        <w:t xml:space="preserve"> </w:t>
      </w:r>
      <w:r w:rsidRPr="00074586">
        <w:rPr>
          <w:color w:val="000080"/>
        </w:rPr>
        <w:t>observed</w:t>
      </w:r>
      <w:r>
        <w:rPr>
          <w:color w:val="000080"/>
        </w:rPr>
        <w:t xml:space="preserve"> </w:t>
      </w:r>
      <w:r w:rsidRPr="00074586">
        <w:rPr>
          <w:color w:val="000080"/>
        </w:rPr>
        <w:t>borrowing</w:t>
      </w:r>
      <w:r>
        <w:rPr>
          <w:color w:val="000080"/>
        </w:rPr>
        <w:t xml:space="preserve"> </w:t>
      </w:r>
      <w:r w:rsidRPr="00074586">
        <w:rPr>
          <w:color w:val="000080"/>
        </w:rPr>
        <w:t>from</w:t>
      </w:r>
      <w:r>
        <w:rPr>
          <w:color w:val="000080"/>
        </w:rPr>
        <w:t xml:space="preserve"> </w:t>
      </w:r>
      <w:r w:rsidRPr="00074586">
        <w:rPr>
          <w:color w:val="000080"/>
        </w:rPr>
        <w:t>the</w:t>
      </w:r>
      <w:r>
        <w:rPr>
          <w:color w:val="000080"/>
        </w:rPr>
        <w:t xml:space="preserve"> </w:t>
      </w:r>
      <w:r w:rsidRPr="00074586">
        <w:rPr>
          <w:color w:val="000080"/>
        </w:rPr>
        <w:t>Lender</w:t>
      </w:r>
      <w:r>
        <w:rPr>
          <w:color w:val="000080"/>
        </w:rPr>
        <w:t xml:space="preserve"> </w:t>
      </w:r>
      <w:r w:rsidRPr="00074586">
        <w:rPr>
          <w:color w:val="000080"/>
        </w:rPr>
        <w:t>of</w:t>
      </w:r>
      <w:r>
        <w:rPr>
          <w:color w:val="000080"/>
        </w:rPr>
        <w:t xml:space="preserve"> </w:t>
      </w:r>
      <w:r w:rsidRPr="00074586">
        <w:rPr>
          <w:color w:val="000080"/>
        </w:rPr>
        <w:t>Last</w:t>
      </w:r>
      <w:r>
        <w:rPr>
          <w:color w:val="000080"/>
        </w:rPr>
        <w:t xml:space="preserve"> </w:t>
      </w:r>
      <w:r w:rsidRPr="00074586">
        <w:rPr>
          <w:color w:val="000080"/>
        </w:rPr>
        <w:t>Resort.</w:t>
      </w:r>
      <w:r>
        <w:rPr>
          <w:color w:val="000080"/>
        </w:rPr>
        <w:t xml:space="preserve"> </w:t>
      </w:r>
      <w:r w:rsidRPr="00074586">
        <w:rPr>
          <w:color w:val="000080"/>
        </w:rPr>
        <w:t>If</w:t>
      </w:r>
      <w:r>
        <w:rPr>
          <w:color w:val="000080"/>
        </w:rPr>
        <w:t xml:space="preserve"> </w:t>
      </w:r>
      <w:r w:rsidRPr="00074586">
        <w:rPr>
          <w:color w:val="000080"/>
        </w:rPr>
        <w:t>the</w:t>
      </w:r>
      <w:r>
        <w:rPr>
          <w:color w:val="000080"/>
        </w:rPr>
        <w:t xml:space="preserve"> </w:t>
      </w:r>
      <w:r w:rsidRPr="00E12A56">
        <w:rPr>
          <w:b/>
          <w:bCs/>
          <w:color w:val="3366FF"/>
        </w:rPr>
        <w:t>Bank</w:t>
      </w:r>
      <w:r>
        <w:rPr>
          <w:color w:val="000080"/>
        </w:rPr>
        <w:t xml:space="preserve"> </w:t>
      </w:r>
      <w:r w:rsidRPr="00074586">
        <w:rPr>
          <w:color w:val="000080"/>
        </w:rPr>
        <w:t>was</w:t>
      </w:r>
      <w:r>
        <w:rPr>
          <w:color w:val="000080"/>
        </w:rPr>
        <w:t xml:space="preserve"> </w:t>
      </w:r>
      <w:r w:rsidRPr="00074586">
        <w:rPr>
          <w:color w:val="000080"/>
        </w:rPr>
        <w:t>observed</w:t>
      </w:r>
      <w:r>
        <w:rPr>
          <w:color w:val="000080"/>
        </w:rPr>
        <w:t xml:space="preserve"> </w:t>
      </w:r>
      <w:r w:rsidRPr="00074586">
        <w:rPr>
          <w:color w:val="000080"/>
        </w:rPr>
        <w:t>borrowing</w:t>
      </w:r>
      <w:r>
        <w:rPr>
          <w:color w:val="000080"/>
        </w:rPr>
        <w:t xml:space="preserve"> </w:t>
      </w:r>
      <w:r w:rsidRPr="00074586">
        <w:rPr>
          <w:color w:val="000080"/>
        </w:rPr>
        <w:t>from</w:t>
      </w:r>
      <w:r>
        <w:rPr>
          <w:color w:val="000080"/>
        </w:rPr>
        <w:t xml:space="preserve"> </w:t>
      </w:r>
      <w:r w:rsidRPr="00074586">
        <w:rPr>
          <w:color w:val="000080"/>
        </w:rPr>
        <w:t>the</w:t>
      </w:r>
      <w:r>
        <w:rPr>
          <w:color w:val="000080"/>
        </w:rPr>
        <w:t xml:space="preserve"> </w:t>
      </w:r>
      <w:r w:rsidRPr="00074586">
        <w:rPr>
          <w:color w:val="000080"/>
        </w:rPr>
        <w:t>Lender</w:t>
      </w:r>
      <w:r>
        <w:rPr>
          <w:color w:val="000080"/>
        </w:rPr>
        <w:t xml:space="preserve"> </w:t>
      </w:r>
      <w:r w:rsidRPr="00074586">
        <w:rPr>
          <w:color w:val="000080"/>
        </w:rPr>
        <w:t>of</w:t>
      </w:r>
      <w:r>
        <w:rPr>
          <w:color w:val="000080"/>
        </w:rPr>
        <w:t xml:space="preserve"> </w:t>
      </w:r>
      <w:r w:rsidRPr="00074586">
        <w:rPr>
          <w:color w:val="000080"/>
        </w:rPr>
        <w:t>Last</w:t>
      </w:r>
      <w:r>
        <w:rPr>
          <w:color w:val="000080"/>
        </w:rPr>
        <w:t xml:space="preserve"> </w:t>
      </w:r>
      <w:r w:rsidRPr="00074586">
        <w:rPr>
          <w:color w:val="000080"/>
        </w:rPr>
        <w:t>Resort,</w:t>
      </w:r>
      <w:r>
        <w:rPr>
          <w:color w:val="000080"/>
        </w:rPr>
        <w:t xml:space="preserve"> </w:t>
      </w:r>
      <w:r w:rsidRPr="00074586">
        <w:rPr>
          <w:color w:val="000080"/>
        </w:rPr>
        <w:t>then</w:t>
      </w:r>
      <w:r>
        <w:rPr>
          <w:color w:val="000080"/>
        </w:rPr>
        <w:t xml:space="preserve"> </w:t>
      </w:r>
      <w:r w:rsidRPr="00074586">
        <w:rPr>
          <w:color w:val="000080"/>
        </w:rPr>
        <w:t>that</w:t>
      </w:r>
      <w:r>
        <w:rPr>
          <w:color w:val="000080"/>
        </w:rPr>
        <w:t xml:space="preserve"> </w:t>
      </w:r>
      <w:r w:rsidRPr="00074586">
        <w:rPr>
          <w:color w:val="000080"/>
        </w:rPr>
        <w:t>means</w:t>
      </w:r>
      <w:r>
        <w:rPr>
          <w:color w:val="000080"/>
        </w:rPr>
        <w:t xml:space="preserve"> </w:t>
      </w:r>
      <w:r w:rsidRPr="00074586">
        <w:rPr>
          <w:color w:val="000080"/>
        </w:rPr>
        <w:t>that</w:t>
      </w:r>
      <w:r>
        <w:rPr>
          <w:color w:val="000080"/>
        </w:rPr>
        <w:t xml:space="preserve"> </w:t>
      </w:r>
      <w:r w:rsidRPr="00074586">
        <w:rPr>
          <w:color w:val="000080"/>
        </w:rPr>
        <w:t>the</w:t>
      </w:r>
      <w:r>
        <w:rPr>
          <w:color w:val="000080"/>
        </w:rPr>
        <w:t xml:space="preserve"> </w:t>
      </w:r>
      <w:r w:rsidRPr="00E12A56">
        <w:rPr>
          <w:b/>
          <w:bCs/>
          <w:color w:val="3366FF"/>
        </w:rPr>
        <w:t>Bank</w:t>
      </w:r>
      <w:r>
        <w:rPr>
          <w:color w:val="000080"/>
        </w:rPr>
        <w:t xml:space="preserve"> </w:t>
      </w:r>
      <w:r w:rsidRPr="00074586">
        <w:rPr>
          <w:color w:val="000080"/>
        </w:rPr>
        <w:t>is</w:t>
      </w:r>
      <w:r>
        <w:rPr>
          <w:color w:val="000080"/>
        </w:rPr>
        <w:t xml:space="preserve"> </w:t>
      </w:r>
      <w:r w:rsidRPr="00074586">
        <w:rPr>
          <w:b/>
          <w:bCs/>
          <w:color w:val="000080"/>
        </w:rPr>
        <w:t>illiquid</w:t>
      </w:r>
      <w:r w:rsidRPr="00074586">
        <w:rPr>
          <w:color w:val="000080"/>
        </w:rPr>
        <w:t>.</w:t>
      </w:r>
      <w:r>
        <w:rPr>
          <w:color w:val="000080"/>
        </w:rPr>
        <w:t xml:space="preserve"> </w:t>
      </w:r>
      <w:r w:rsidRPr="00074586">
        <w:rPr>
          <w:color w:val="000080"/>
        </w:rPr>
        <w:t>If</w:t>
      </w:r>
      <w:r>
        <w:rPr>
          <w:color w:val="000080"/>
        </w:rPr>
        <w:t xml:space="preserve"> </w:t>
      </w:r>
      <w:r w:rsidRPr="00074586">
        <w:rPr>
          <w:color w:val="000080"/>
        </w:rPr>
        <w:t>the</w:t>
      </w:r>
      <w:r>
        <w:rPr>
          <w:color w:val="000080"/>
        </w:rPr>
        <w:t xml:space="preserve"> </w:t>
      </w:r>
      <w:r w:rsidRPr="00E12A56">
        <w:rPr>
          <w:b/>
          <w:bCs/>
          <w:color w:val="3366FF"/>
        </w:rPr>
        <w:t>Bank</w:t>
      </w:r>
      <w:r>
        <w:rPr>
          <w:color w:val="000080"/>
        </w:rPr>
        <w:t xml:space="preserve"> </w:t>
      </w:r>
      <w:r w:rsidRPr="00074586">
        <w:rPr>
          <w:color w:val="000080"/>
        </w:rPr>
        <w:t>was</w:t>
      </w:r>
      <w:r>
        <w:rPr>
          <w:color w:val="000080"/>
        </w:rPr>
        <w:t xml:space="preserve"> </w:t>
      </w:r>
      <w:r w:rsidRPr="00074586">
        <w:rPr>
          <w:color w:val="000080"/>
        </w:rPr>
        <w:t>not</w:t>
      </w:r>
      <w:r>
        <w:rPr>
          <w:color w:val="000080"/>
        </w:rPr>
        <w:t xml:space="preserve"> </w:t>
      </w:r>
      <w:r w:rsidRPr="00074586">
        <w:rPr>
          <w:color w:val="000080"/>
        </w:rPr>
        <w:t>seen</w:t>
      </w:r>
      <w:r>
        <w:rPr>
          <w:color w:val="000080"/>
        </w:rPr>
        <w:t xml:space="preserve"> </w:t>
      </w:r>
      <w:r w:rsidRPr="00074586">
        <w:rPr>
          <w:color w:val="000080"/>
        </w:rPr>
        <w:t>borrowing</w:t>
      </w:r>
      <w:r>
        <w:rPr>
          <w:color w:val="000080"/>
        </w:rPr>
        <w:t xml:space="preserve"> </w:t>
      </w:r>
      <w:r w:rsidRPr="00074586">
        <w:rPr>
          <w:color w:val="000080"/>
        </w:rPr>
        <w:t>from</w:t>
      </w:r>
      <w:r>
        <w:rPr>
          <w:color w:val="000080"/>
        </w:rPr>
        <w:t xml:space="preserve"> </w:t>
      </w:r>
      <w:r w:rsidRPr="00074586">
        <w:rPr>
          <w:color w:val="000080"/>
        </w:rPr>
        <w:t>the</w:t>
      </w:r>
      <w:r>
        <w:rPr>
          <w:color w:val="000080"/>
        </w:rPr>
        <w:t xml:space="preserve"> </w:t>
      </w:r>
      <w:r w:rsidRPr="00074586">
        <w:rPr>
          <w:color w:val="000080"/>
        </w:rPr>
        <w:t>Lender</w:t>
      </w:r>
      <w:r>
        <w:rPr>
          <w:color w:val="000080"/>
        </w:rPr>
        <w:t xml:space="preserve"> </w:t>
      </w:r>
      <w:r w:rsidRPr="00074586">
        <w:rPr>
          <w:color w:val="000080"/>
        </w:rPr>
        <w:t>of</w:t>
      </w:r>
      <w:r>
        <w:rPr>
          <w:color w:val="000080"/>
        </w:rPr>
        <w:t xml:space="preserve"> </w:t>
      </w:r>
      <w:r w:rsidRPr="00074586">
        <w:rPr>
          <w:color w:val="000080"/>
        </w:rPr>
        <w:t>Last</w:t>
      </w:r>
      <w:r>
        <w:rPr>
          <w:color w:val="000080"/>
        </w:rPr>
        <w:t xml:space="preserve"> </w:t>
      </w:r>
      <w:r w:rsidRPr="00074586">
        <w:rPr>
          <w:color w:val="000080"/>
        </w:rPr>
        <w:t>Resort,</w:t>
      </w:r>
      <w:r>
        <w:rPr>
          <w:color w:val="000080"/>
        </w:rPr>
        <w:t xml:space="preserve"> </w:t>
      </w:r>
      <w:r w:rsidRPr="00074586">
        <w:rPr>
          <w:color w:val="000080"/>
        </w:rPr>
        <w:t>then</w:t>
      </w:r>
      <w:r>
        <w:rPr>
          <w:color w:val="000080"/>
        </w:rPr>
        <w:t xml:space="preserve"> </w:t>
      </w:r>
      <w:r w:rsidRPr="00074586">
        <w:rPr>
          <w:color w:val="000080"/>
        </w:rPr>
        <w:t>that</w:t>
      </w:r>
      <w:r>
        <w:rPr>
          <w:color w:val="000080"/>
        </w:rPr>
        <w:t xml:space="preserve"> </w:t>
      </w:r>
      <w:r w:rsidRPr="00074586">
        <w:rPr>
          <w:color w:val="000080"/>
        </w:rPr>
        <w:t>means</w:t>
      </w:r>
      <w:r>
        <w:rPr>
          <w:color w:val="000080"/>
        </w:rPr>
        <w:t xml:space="preserve"> </w:t>
      </w:r>
      <w:r w:rsidRPr="00074586">
        <w:rPr>
          <w:color w:val="000080"/>
        </w:rPr>
        <w:t>that</w:t>
      </w:r>
      <w:r>
        <w:rPr>
          <w:color w:val="000080"/>
        </w:rPr>
        <w:t xml:space="preserve"> </w:t>
      </w:r>
      <w:r w:rsidRPr="00074586">
        <w:rPr>
          <w:color w:val="000080"/>
        </w:rPr>
        <w:t>the</w:t>
      </w:r>
      <w:r>
        <w:rPr>
          <w:color w:val="000080"/>
        </w:rPr>
        <w:t xml:space="preserve"> </w:t>
      </w:r>
      <w:r w:rsidRPr="00E12A56">
        <w:rPr>
          <w:b/>
          <w:bCs/>
          <w:color w:val="3366FF"/>
        </w:rPr>
        <w:t>Bank</w:t>
      </w:r>
      <w:r>
        <w:rPr>
          <w:color w:val="000080"/>
        </w:rPr>
        <w:t xml:space="preserve"> </w:t>
      </w:r>
      <w:r w:rsidRPr="00074586">
        <w:rPr>
          <w:b/>
          <w:bCs/>
          <w:color w:val="000080"/>
        </w:rPr>
        <w:t>may</w:t>
      </w:r>
      <w:r>
        <w:rPr>
          <w:b/>
          <w:bCs/>
          <w:color w:val="000080"/>
        </w:rPr>
        <w:t xml:space="preserve"> </w:t>
      </w:r>
      <w:r w:rsidRPr="00074586">
        <w:rPr>
          <w:b/>
          <w:bCs/>
          <w:color w:val="000080"/>
        </w:rPr>
        <w:t>or</w:t>
      </w:r>
      <w:r>
        <w:rPr>
          <w:b/>
          <w:bCs/>
          <w:color w:val="000080"/>
        </w:rPr>
        <w:t xml:space="preserve"> </w:t>
      </w:r>
      <w:r w:rsidRPr="00074586">
        <w:rPr>
          <w:b/>
          <w:bCs/>
          <w:color w:val="000080"/>
        </w:rPr>
        <w:t>may</w:t>
      </w:r>
      <w:r>
        <w:rPr>
          <w:b/>
          <w:bCs/>
          <w:color w:val="000080"/>
        </w:rPr>
        <w:t xml:space="preserve"> </w:t>
      </w:r>
      <w:r w:rsidRPr="00074586">
        <w:rPr>
          <w:b/>
          <w:bCs/>
          <w:color w:val="000080"/>
        </w:rPr>
        <w:t>not</w:t>
      </w:r>
      <w:r>
        <w:rPr>
          <w:b/>
          <w:bCs/>
          <w:color w:val="000080"/>
        </w:rPr>
        <w:t xml:space="preserve"> </w:t>
      </w:r>
      <w:r w:rsidRPr="00074586">
        <w:rPr>
          <w:b/>
          <w:bCs/>
          <w:color w:val="000080"/>
        </w:rPr>
        <w:t>be</w:t>
      </w:r>
      <w:r>
        <w:rPr>
          <w:b/>
          <w:bCs/>
          <w:color w:val="000080"/>
        </w:rPr>
        <w:t xml:space="preserve"> </w:t>
      </w:r>
      <w:r w:rsidRPr="00074586">
        <w:rPr>
          <w:b/>
          <w:bCs/>
          <w:color w:val="000080"/>
        </w:rPr>
        <w:t>illiquid</w:t>
      </w:r>
      <w:r w:rsidRPr="00074586">
        <w:rPr>
          <w:color w:val="000080"/>
        </w:rPr>
        <w:t>.</w:t>
      </w:r>
    </w:p>
    <w:p w14:paraId="369377B9" w14:textId="77777777" w:rsidR="00411BF9" w:rsidRPr="00411BF9" w:rsidRDefault="00411BF9" w:rsidP="00F86E09">
      <w:pPr>
        <w:widowControl w:val="0"/>
        <w:jc w:val="both"/>
        <w:rPr>
          <w:color w:val="000080"/>
          <w:sz w:val="12"/>
          <w:szCs w:val="12"/>
        </w:rPr>
      </w:pPr>
    </w:p>
    <w:p w14:paraId="5264CBF2" w14:textId="77777777" w:rsidR="00411BF9" w:rsidRPr="00074586" w:rsidRDefault="00411BF9" w:rsidP="00F86E09">
      <w:pPr>
        <w:widowControl w:val="0"/>
        <w:jc w:val="both"/>
        <w:rPr>
          <w:color w:val="000080"/>
        </w:rPr>
      </w:pPr>
      <w:r w:rsidRPr="00074586">
        <w:rPr>
          <w:color w:val="000080"/>
        </w:rPr>
        <w:t>The</w:t>
      </w:r>
      <w:r>
        <w:rPr>
          <w:color w:val="000080"/>
        </w:rPr>
        <w:t xml:space="preserve"> </w:t>
      </w:r>
      <w:r w:rsidRPr="00490230">
        <w:rPr>
          <w:b/>
          <w:bCs/>
          <w:color w:val="FF6600"/>
        </w:rPr>
        <w:t>Investor</w:t>
      </w:r>
      <w:r>
        <w:rPr>
          <w:color w:val="000080"/>
        </w:rPr>
        <w:t xml:space="preserve"> </w:t>
      </w:r>
      <w:r w:rsidRPr="00074586">
        <w:rPr>
          <w:color w:val="000080"/>
        </w:rPr>
        <w:t>is</w:t>
      </w:r>
      <w:r>
        <w:rPr>
          <w:color w:val="000080"/>
        </w:rPr>
        <w:t xml:space="preserve"> </w:t>
      </w:r>
      <w:r w:rsidRPr="00074586">
        <w:rPr>
          <w:color w:val="000080"/>
        </w:rPr>
        <w:t>not</w:t>
      </w:r>
      <w:r>
        <w:rPr>
          <w:color w:val="000080"/>
        </w:rPr>
        <w:t xml:space="preserve"> </w:t>
      </w:r>
      <w:r w:rsidRPr="00074586">
        <w:rPr>
          <w:color w:val="000080"/>
        </w:rPr>
        <w:t>told</w:t>
      </w:r>
      <w:r>
        <w:rPr>
          <w:color w:val="000080"/>
        </w:rPr>
        <w:t xml:space="preserve"> </w:t>
      </w:r>
      <w:r w:rsidRPr="00074586">
        <w:rPr>
          <w:color w:val="000080"/>
        </w:rPr>
        <w:t>whether</w:t>
      </w:r>
      <w:r>
        <w:rPr>
          <w:color w:val="000080"/>
        </w:rPr>
        <w:t xml:space="preserve"> </w:t>
      </w:r>
      <w:r w:rsidRPr="00074586">
        <w:rPr>
          <w:color w:val="000080"/>
        </w:rPr>
        <w:t>the</w:t>
      </w:r>
      <w:r>
        <w:rPr>
          <w:color w:val="000080"/>
        </w:rPr>
        <w:t xml:space="preserve"> </w:t>
      </w:r>
      <w:r w:rsidRPr="00E12A56">
        <w:rPr>
          <w:b/>
          <w:bCs/>
          <w:color w:val="3366FF"/>
        </w:rPr>
        <w:t>Bank</w:t>
      </w:r>
      <w:r>
        <w:rPr>
          <w:color w:val="000080"/>
        </w:rPr>
        <w:t xml:space="preserve"> </w:t>
      </w:r>
      <w:r w:rsidRPr="00074586">
        <w:rPr>
          <w:color w:val="000080"/>
        </w:rPr>
        <w:t>is</w:t>
      </w:r>
      <w:r>
        <w:rPr>
          <w:color w:val="000080"/>
        </w:rPr>
        <w:t xml:space="preserve"> </w:t>
      </w:r>
      <w:r w:rsidRPr="00074586">
        <w:rPr>
          <w:b/>
          <w:bCs/>
          <w:color w:val="000080"/>
        </w:rPr>
        <w:t>solvent</w:t>
      </w:r>
      <w:r>
        <w:rPr>
          <w:color w:val="000080"/>
        </w:rPr>
        <w:t xml:space="preserve"> </w:t>
      </w:r>
      <w:r w:rsidRPr="00074586">
        <w:rPr>
          <w:color w:val="000080"/>
        </w:rPr>
        <w:t>or</w:t>
      </w:r>
      <w:r>
        <w:rPr>
          <w:color w:val="000080"/>
        </w:rPr>
        <w:t xml:space="preserve"> </w:t>
      </w:r>
      <w:r w:rsidRPr="00074586">
        <w:rPr>
          <w:b/>
          <w:bCs/>
          <w:color w:val="000080"/>
        </w:rPr>
        <w:t>insolvent</w:t>
      </w:r>
      <w:r w:rsidRPr="00074586">
        <w:rPr>
          <w:color w:val="000080"/>
        </w:rPr>
        <w:t>,</w:t>
      </w:r>
      <w:r>
        <w:rPr>
          <w:color w:val="000080"/>
        </w:rPr>
        <w:t xml:space="preserve"> </w:t>
      </w:r>
      <w:r w:rsidRPr="00074586">
        <w:rPr>
          <w:color w:val="000080"/>
        </w:rPr>
        <w:t>but</w:t>
      </w:r>
      <w:r>
        <w:rPr>
          <w:color w:val="000080"/>
        </w:rPr>
        <w:t xml:space="preserve"> </w:t>
      </w:r>
      <w:r w:rsidRPr="00074586">
        <w:rPr>
          <w:color w:val="000080"/>
        </w:rPr>
        <w:t>recall</w:t>
      </w:r>
      <w:r>
        <w:rPr>
          <w:color w:val="000080"/>
        </w:rPr>
        <w:t xml:space="preserve"> </w:t>
      </w:r>
      <w:r w:rsidRPr="00074586">
        <w:rPr>
          <w:color w:val="000080"/>
        </w:rPr>
        <w:t>that</w:t>
      </w:r>
      <w:r>
        <w:rPr>
          <w:color w:val="000080"/>
        </w:rPr>
        <w:t xml:space="preserve"> </w:t>
      </w:r>
      <w:r w:rsidRPr="00074586">
        <w:rPr>
          <w:color w:val="000080"/>
        </w:rPr>
        <w:t>an</w:t>
      </w:r>
      <w:r>
        <w:rPr>
          <w:color w:val="000080"/>
        </w:rPr>
        <w:t xml:space="preserve"> </w:t>
      </w:r>
      <w:r w:rsidRPr="00074586">
        <w:rPr>
          <w:b/>
          <w:bCs/>
          <w:color w:val="000080"/>
        </w:rPr>
        <w:t>illiquid</w:t>
      </w:r>
      <w:r>
        <w:rPr>
          <w:b/>
          <w:bCs/>
          <w:color w:val="000080"/>
        </w:rPr>
        <w:t xml:space="preserve"> </w:t>
      </w:r>
      <w:r w:rsidRPr="00074586">
        <w:rPr>
          <w:b/>
          <w:bCs/>
          <w:color w:val="000080"/>
        </w:rPr>
        <w:t>Bank</w:t>
      </w:r>
      <w:r>
        <w:rPr>
          <w:b/>
          <w:bCs/>
          <w:color w:val="000080"/>
        </w:rPr>
        <w:t xml:space="preserve"> </w:t>
      </w:r>
      <w:r w:rsidRPr="00074586">
        <w:rPr>
          <w:b/>
          <w:bCs/>
          <w:color w:val="000080"/>
        </w:rPr>
        <w:t>is</w:t>
      </w:r>
      <w:r>
        <w:rPr>
          <w:b/>
          <w:bCs/>
          <w:color w:val="000080"/>
        </w:rPr>
        <w:t xml:space="preserve"> </w:t>
      </w:r>
      <w:r w:rsidRPr="00074586">
        <w:rPr>
          <w:b/>
          <w:bCs/>
          <w:color w:val="000080"/>
        </w:rPr>
        <w:t>more</w:t>
      </w:r>
      <w:r>
        <w:rPr>
          <w:b/>
          <w:bCs/>
          <w:color w:val="000080"/>
        </w:rPr>
        <w:t xml:space="preserve"> </w:t>
      </w:r>
      <w:r w:rsidRPr="00074586">
        <w:rPr>
          <w:b/>
          <w:bCs/>
          <w:color w:val="000080"/>
        </w:rPr>
        <w:t>likely</w:t>
      </w:r>
      <w:r>
        <w:rPr>
          <w:b/>
          <w:bCs/>
          <w:color w:val="000080"/>
        </w:rPr>
        <w:t xml:space="preserve"> </w:t>
      </w:r>
      <w:r w:rsidRPr="00074586">
        <w:rPr>
          <w:b/>
          <w:bCs/>
          <w:color w:val="000080"/>
        </w:rPr>
        <w:t>to</w:t>
      </w:r>
      <w:r>
        <w:rPr>
          <w:b/>
          <w:bCs/>
          <w:color w:val="000080"/>
        </w:rPr>
        <w:t xml:space="preserve"> </w:t>
      </w:r>
      <w:r w:rsidRPr="00074586">
        <w:rPr>
          <w:b/>
          <w:bCs/>
          <w:color w:val="000080"/>
        </w:rPr>
        <w:t>be</w:t>
      </w:r>
      <w:r>
        <w:rPr>
          <w:b/>
          <w:bCs/>
          <w:color w:val="000080"/>
        </w:rPr>
        <w:t xml:space="preserve"> </w:t>
      </w:r>
      <w:r w:rsidRPr="00074586">
        <w:rPr>
          <w:b/>
          <w:bCs/>
          <w:color w:val="000080"/>
        </w:rPr>
        <w:t>insolvent</w:t>
      </w:r>
      <w:r w:rsidRPr="00074586">
        <w:rPr>
          <w:color w:val="000080"/>
        </w:rPr>
        <w:t>.</w:t>
      </w:r>
    </w:p>
    <w:p w14:paraId="7FF0F7A6" w14:textId="77777777" w:rsidR="00411BF9" w:rsidRPr="00411BF9" w:rsidRDefault="00411BF9" w:rsidP="00F86E09">
      <w:pPr>
        <w:widowControl w:val="0"/>
        <w:jc w:val="both"/>
        <w:rPr>
          <w:color w:val="000080"/>
          <w:sz w:val="12"/>
          <w:szCs w:val="12"/>
        </w:rPr>
      </w:pPr>
    </w:p>
    <w:p w14:paraId="10D8F616" w14:textId="77777777" w:rsidR="00411BF9" w:rsidRDefault="00411BF9" w:rsidP="00F86E09">
      <w:pPr>
        <w:widowControl w:val="0"/>
        <w:jc w:val="both"/>
        <w:rPr>
          <w:color w:val="000080"/>
        </w:rPr>
      </w:pPr>
      <w:r w:rsidRPr="00074586">
        <w:rPr>
          <w:color w:val="000080"/>
        </w:rPr>
        <w:t>Then</w:t>
      </w:r>
      <w:r>
        <w:rPr>
          <w:color w:val="000080"/>
        </w:rPr>
        <w:t xml:space="preserve"> </w:t>
      </w:r>
      <w:r w:rsidRPr="00074586">
        <w:rPr>
          <w:color w:val="000080"/>
        </w:rPr>
        <w:t>the</w:t>
      </w:r>
      <w:r>
        <w:rPr>
          <w:color w:val="000080"/>
        </w:rPr>
        <w:t xml:space="preserve"> </w:t>
      </w:r>
      <w:r w:rsidRPr="00E12A56">
        <w:rPr>
          <w:b/>
          <w:bCs/>
          <w:color w:val="FF6600"/>
        </w:rPr>
        <w:t>Investor</w:t>
      </w:r>
      <w:r>
        <w:rPr>
          <w:color w:val="000080"/>
        </w:rPr>
        <w:t xml:space="preserve"> </w:t>
      </w:r>
      <w:r w:rsidRPr="00074586">
        <w:rPr>
          <w:color w:val="000080"/>
        </w:rPr>
        <w:t>must</w:t>
      </w:r>
      <w:r>
        <w:rPr>
          <w:color w:val="000080"/>
        </w:rPr>
        <w:t xml:space="preserve"> </w:t>
      </w:r>
      <w:r w:rsidRPr="00074586">
        <w:rPr>
          <w:color w:val="000080"/>
        </w:rPr>
        <w:t>decide</w:t>
      </w:r>
      <w:r>
        <w:rPr>
          <w:color w:val="000080"/>
        </w:rPr>
        <w:t xml:space="preserve"> </w:t>
      </w:r>
      <w:r w:rsidRPr="00074586">
        <w:rPr>
          <w:color w:val="000080"/>
        </w:rPr>
        <w:t>whether</w:t>
      </w:r>
      <w:r>
        <w:rPr>
          <w:color w:val="000080"/>
        </w:rPr>
        <w:t xml:space="preserve"> </w:t>
      </w:r>
      <w:r w:rsidRPr="00074586">
        <w:rPr>
          <w:color w:val="000080"/>
        </w:rPr>
        <w:t>to</w:t>
      </w:r>
      <w:r>
        <w:rPr>
          <w:color w:val="000080"/>
        </w:rPr>
        <w:t xml:space="preserve"> </w:t>
      </w:r>
      <w:r w:rsidRPr="00074586">
        <w:rPr>
          <w:color w:val="000080"/>
        </w:rPr>
        <w:t>invest</w:t>
      </w:r>
      <w:r>
        <w:rPr>
          <w:color w:val="000080"/>
        </w:rPr>
        <w:t xml:space="preserve"> </w:t>
      </w:r>
      <w:r w:rsidRPr="00074586">
        <w:rPr>
          <w:color w:val="000080"/>
        </w:rPr>
        <w:t>or</w:t>
      </w:r>
      <w:r>
        <w:rPr>
          <w:color w:val="000080"/>
        </w:rPr>
        <w:t xml:space="preserve"> </w:t>
      </w:r>
      <w:r w:rsidRPr="00074586">
        <w:rPr>
          <w:color w:val="000080"/>
        </w:rPr>
        <w:t>not</w:t>
      </w:r>
      <w:r>
        <w:rPr>
          <w:color w:val="000080"/>
        </w:rPr>
        <w:t xml:space="preserve"> </w:t>
      </w:r>
      <w:r w:rsidRPr="00074586">
        <w:rPr>
          <w:color w:val="000080"/>
        </w:rPr>
        <w:t>to</w:t>
      </w:r>
      <w:r>
        <w:rPr>
          <w:color w:val="000080"/>
        </w:rPr>
        <w:t xml:space="preserve"> </w:t>
      </w:r>
      <w:r w:rsidRPr="00074586">
        <w:rPr>
          <w:color w:val="000080"/>
        </w:rPr>
        <w:t>invest</w:t>
      </w:r>
      <w:r>
        <w:rPr>
          <w:color w:val="000080"/>
        </w:rPr>
        <w:t xml:space="preserve"> </w:t>
      </w:r>
      <w:r w:rsidRPr="00074586">
        <w:rPr>
          <w:color w:val="000080"/>
        </w:rPr>
        <w:t>in</w:t>
      </w:r>
      <w:r>
        <w:rPr>
          <w:color w:val="000080"/>
        </w:rPr>
        <w:t xml:space="preserve"> </w:t>
      </w:r>
      <w:r w:rsidRPr="00074586">
        <w:rPr>
          <w:color w:val="000080"/>
        </w:rPr>
        <w:t>the</w:t>
      </w:r>
      <w:r>
        <w:rPr>
          <w:color w:val="000080"/>
        </w:rPr>
        <w:t xml:space="preserve"> </w:t>
      </w:r>
      <w:r w:rsidRPr="00074586">
        <w:rPr>
          <w:color w:val="000080"/>
        </w:rPr>
        <w:t>bank.</w:t>
      </w:r>
      <w:r>
        <w:rPr>
          <w:color w:val="000080"/>
        </w:rPr>
        <w:t xml:space="preserve"> </w:t>
      </w:r>
    </w:p>
    <w:p w14:paraId="447736F8" w14:textId="77777777" w:rsidR="00411BF9" w:rsidRPr="00411BF9" w:rsidRDefault="00411BF9" w:rsidP="00F86E09">
      <w:pPr>
        <w:widowControl w:val="0"/>
        <w:jc w:val="both"/>
        <w:rPr>
          <w:color w:val="000080"/>
          <w:sz w:val="12"/>
          <w:szCs w:val="12"/>
        </w:rPr>
      </w:pPr>
    </w:p>
    <w:p w14:paraId="5A599B5B" w14:textId="6E656F99" w:rsidR="00411BF9" w:rsidRPr="00074586" w:rsidRDefault="00411BF9" w:rsidP="00F86E09">
      <w:pPr>
        <w:widowControl w:val="0"/>
        <w:jc w:val="both"/>
        <w:rPr>
          <w:color w:val="000080"/>
        </w:rPr>
      </w:pPr>
      <w:r w:rsidRPr="00074586">
        <w:rPr>
          <w:color w:val="000080"/>
        </w:rPr>
        <w:t>When</w:t>
      </w:r>
      <w:r>
        <w:rPr>
          <w:color w:val="000080"/>
        </w:rPr>
        <w:t xml:space="preserve"> </w:t>
      </w:r>
      <w:r w:rsidRPr="00074586">
        <w:rPr>
          <w:color w:val="000080"/>
        </w:rPr>
        <w:t>the</w:t>
      </w:r>
      <w:r>
        <w:rPr>
          <w:color w:val="000080"/>
        </w:rPr>
        <w:t xml:space="preserve"> </w:t>
      </w:r>
      <w:r w:rsidRPr="00E12A56">
        <w:rPr>
          <w:b/>
          <w:bCs/>
          <w:color w:val="FF6600"/>
        </w:rPr>
        <w:t>Investor DOES INVEST</w:t>
      </w:r>
      <w:r>
        <w:rPr>
          <w:color w:val="000080"/>
        </w:rPr>
        <w:t xml:space="preserve"> </w:t>
      </w:r>
      <w:r w:rsidRPr="00074586">
        <w:rPr>
          <w:color w:val="000080"/>
        </w:rPr>
        <w:t>in</w:t>
      </w:r>
      <w:r>
        <w:rPr>
          <w:color w:val="000080"/>
        </w:rPr>
        <w:t xml:space="preserve"> </w:t>
      </w:r>
      <w:r w:rsidRPr="00074586">
        <w:rPr>
          <w:color w:val="000080"/>
        </w:rPr>
        <w:t>the</w:t>
      </w:r>
      <w:r>
        <w:rPr>
          <w:color w:val="000080"/>
        </w:rPr>
        <w:t xml:space="preserve"> </w:t>
      </w:r>
      <w:r w:rsidRPr="00074586">
        <w:rPr>
          <w:color w:val="000080"/>
        </w:rPr>
        <w:t>bank,</w:t>
      </w:r>
    </w:p>
    <w:p w14:paraId="3AA9DC3C" w14:textId="77777777" w:rsidR="00411BF9" w:rsidRPr="00074586" w:rsidRDefault="00411BF9" w:rsidP="00F86E09">
      <w:pPr>
        <w:widowControl w:val="0"/>
        <w:ind w:left="990"/>
        <w:jc w:val="both"/>
        <w:rPr>
          <w:color w:val="000080"/>
        </w:rPr>
      </w:pPr>
      <w:r w:rsidRPr="00074586">
        <w:rPr>
          <w:color w:val="000080"/>
        </w:rPr>
        <w:t>The</w:t>
      </w:r>
      <w:r>
        <w:rPr>
          <w:color w:val="000080"/>
        </w:rPr>
        <w:t xml:space="preserve"> </w:t>
      </w:r>
      <w:r w:rsidRPr="00E12A56">
        <w:rPr>
          <w:b/>
          <w:bCs/>
          <w:color w:val="FF6600"/>
        </w:rPr>
        <w:t>Investor</w:t>
      </w:r>
      <w:r>
        <w:rPr>
          <w:color w:val="000080"/>
        </w:rPr>
        <w:t xml:space="preserve"> </w:t>
      </w:r>
      <w:r w:rsidRPr="00074586">
        <w:rPr>
          <w:color w:val="000080"/>
        </w:rPr>
        <w:t>receives</w:t>
      </w:r>
      <w:r>
        <w:rPr>
          <w:color w:val="000080"/>
        </w:rPr>
        <w:t xml:space="preserve"> </w:t>
      </w:r>
      <w:r w:rsidRPr="00074586">
        <w:rPr>
          <w:color w:val="000080"/>
        </w:rPr>
        <w:t>either</w:t>
      </w:r>
      <w:r>
        <w:rPr>
          <w:color w:val="000080"/>
        </w:rPr>
        <w:t xml:space="preserve"> </w:t>
      </w:r>
      <w:r w:rsidRPr="00E12A56">
        <w:rPr>
          <w:b/>
          <w:bCs/>
          <w:color w:val="FF6600"/>
        </w:rPr>
        <w:t>0</w:t>
      </w:r>
      <w:r>
        <w:rPr>
          <w:color w:val="000080"/>
        </w:rPr>
        <w:t xml:space="preserve"> </w:t>
      </w:r>
      <w:r w:rsidRPr="00074586">
        <w:rPr>
          <w:color w:val="000080"/>
        </w:rPr>
        <w:t>if</w:t>
      </w:r>
      <w:r>
        <w:rPr>
          <w:color w:val="000080"/>
        </w:rPr>
        <w:t xml:space="preserve"> </w:t>
      </w:r>
      <w:r w:rsidRPr="00074586">
        <w:rPr>
          <w:color w:val="000080"/>
        </w:rPr>
        <w:t>the</w:t>
      </w:r>
      <w:r>
        <w:rPr>
          <w:color w:val="000080"/>
        </w:rPr>
        <w:t xml:space="preserve"> </w:t>
      </w:r>
      <w:r w:rsidRPr="00E12A56">
        <w:rPr>
          <w:b/>
          <w:bCs/>
          <w:color w:val="3366FF"/>
        </w:rPr>
        <w:t>Bank</w:t>
      </w:r>
      <w:r>
        <w:rPr>
          <w:color w:val="000080"/>
        </w:rPr>
        <w:t xml:space="preserve"> </w:t>
      </w:r>
      <w:r w:rsidRPr="00074586">
        <w:rPr>
          <w:color w:val="000080"/>
        </w:rPr>
        <w:t>is</w:t>
      </w:r>
      <w:r>
        <w:rPr>
          <w:color w:val="000080"/>
        </w:rPr>
        <w:t xml:space="preserve"> </w:t>
      </w:r>
      <w:r w:rsidRPr="00074586">
        <w:rPr>
          <w:b/>
          <w:bCs/>
          <w:color w:val="000080"/>
        </w:rPr>
        <w:t>insolvent</w:t>
      </w:r>
      <w:r>
        <w:rPr>
          <w:color w:val="000080"/>
        </w:rPr>
        <w:t xml:space="preserve"> </w:t>
      </w:r>
      <w:r w:rsidRPr="00074586">
        <w:rPr>
          <w:color w:val="000080"/>
        </w:rPr>
        <w:t>or</w:t>
      </w:r>
      <w:r>
        <w:rPr>
          <w:color w:val="000080"/>
        </w:rPr>
        <w:t xml:space="preserve"> </w:t>
      </w:r>
      <w:r w:rsidRPr="00E12A56">
        <w:rPr>
          <w:b/>
          <w:bCs/>
          <w:color w:val="FF6600"/>
        </w:rPr>
        <w:t>100</w:t>
      </w:r>
      <w:r>
        <w:rPr>
          <w:color w:val="000080"/>
        </w:rPr>
        <w:t xml:space="preserve"> </w:t>
      </w:r>
      <w:r w:rsidRPr="00074586">
        <w:rPr>
          <w:color w:val="000080"/>
        </w:rPr>
        <w:t>if</w:t>
      </w:r>
      <w:r>
        <w:rPr>
          <w:color w:val="000080"/>
        </w:rPr>
        <w:t xml:space="preserve"> </w:t>
      </w:r>
      <w:r w:rsidRPr="00074586">
        <w:rPr>
          <w:color w:val="000080"/>
        </w:rPr>
        <w:t>the</w:t>
      </w:r>
      <w:r>
        <w:rPr>
          <w:color w:val="000080"/>
        </w:rPr>
        <w:t xml:space="preserve"> </w:t>
      </w:r>
      <w:r w:rsidRPr="00E12A56">
        <w:rPr>
          <w:b/>
          <w:bCs/>
          <w:color w:val="3366FF"/>
        </w:rPr>
        <w:t>Bank</w:t>
      </w:r>
      <w:r>
        <w:rPr>
          <w:color w:val="000080"/>
        </w:rPr>
        <w:t xml:space="preserve"> </w:t>
      </w:r>
      <w:r w:rsidRPr="00074586">
        <w:rPr>
          <w:color w:val="000080"/>
        </w:rPr>
        <w:t>is</w:t>
      </w:r>
      <w:r>
        <w:rPr>
          <w:color w:val="000080"/>
        </w:rPr>
        <w:t xml:space="preserve"> </w:t>
      </w:r>
      <w:r w:rsidRPr="00074586">
        <w:rPr>
          <w:b/>
          <w:bCs/>
          <w:color w:val="000080"/>
        </w:rPr>
        <w:t>solvent</w:t>
      </w:r>
      <w:r w:rsidRPr="00074586">
        <w:rPr>
          <w:color w:val="000080"/>
        </w:rPr>
        <w:t>.</w:t>
      </w:r>
    </w:p>
    <w:p w14:paraId="2172AC09" w14:textId="77777777" w:rsidR="00411BF9" w:rsidRPr="00074586" w:rsidRDefault="00411BF9" w:rsidP="00F86E09">
      <w:pPr>
        <w:widowControl w:val="0"/>
        <w:ind w:left="990"/>
        <w:jc w:val="both"/>
        <w:rPr>
          <w:color w:val="000080"/>
        </w:rPr>
      </w:pPr>
      <w:r w:rsidRPr="00074586">
        <w:rPr>
          <w:color w:val="000080"/>
        </w:rPr>
        <w:t>The</w:t>
      </w:r>
      <w:r>
        <w:rPr>
          <w:color w:val="000080"/>
        </w:rPr>
        <w:t xml:space="preserve"> </w:t>
      </w:r>
      <w:r w:rsidRPr="00E12A56">
        <w:rPr>
          <w:b/>
          <w:bCs/>
          <w:color w:val="3366FF"/>
        </w:rPr>
        <w:t>Bank</w:t>
      </w:r>
      <w:r>
        <w:rPr>
          <w:color w:val="000080"/>
        </w:rPr>
        <w:t xml:space="preserve"> </w:t>
      </w:r>
      <w:r w:rsidRPr="00074586">
        <w:rPr>
          <w:color w:val="000080"/>
        </w:rPr>
        <w:t>can</w:t>
      </w:r>
      <w:r>
        <w:rPr>
          <w:color w:val="000080"/>
        </w:rPr>
        <w:t xml:space="preserve"> </w:t>
      </w:r>
      <w:r w:rsidRPr="00074586">
        <w:rPr>
          <w:color w:val="000080"/>
        </w:rPr>
        <w:t>operate</w:t>
      </w:r>
      <w:r>
        <w:rPr>
          <w:color w:val="000080"/>
        </w:rPr>
        <w:t xml:space="preserve"> </w:t>
      </w:r>
      <w:r w:rsidRPr="00074586">
        <w:rPr>
          <w:color w:val="000080"/>
        </w:rPr>
        <w:t>in</w:t>
      </w:r>
      <w:r>
        <w:rPr>
          <w:color w:val="000080"/>
        </w:rPr>
        <w:t xml:space="preserve"> </w:t>
      </w:r>
      <w:r w:rsidRPr="00074586">
        <w:rPr>
          <w:color w:val="000080"/>
        </w:rPr>
        <w:t>Period</w:t>
      </w:r>
      <w:r>
        <w:rPr>
          <w:color w:val="000080"/>
        </w:rPr>
        <w:t xml:space="preserve"> </w:t>
      </w:r>
      <w:r w:rsidRPr="00074586">
        <w:rPr>
          <w:color w:val="000080"/>
        </w:rPr>
        <w:t>2</w:t>
      </w:r>
      <w:r>
        <w:rPr>
          <w:color w:val="000080"/>
        </w:rPr>
        <w:t xml:space="preserve"> </w:t>
      </w:r>
      <w:r w:rsidRPr="00074586">
        <w:rPr>
          <w:color w:val="000080"/>
        </w:rPr>
        <w:t>and</w:t>
      </w:r>
      <w:r>
        <w:rPr>
          <w:color w:val="000080"/>
        </w:rPr>
        <w:t xml:space="preserve"> </w:t>
      </w:r>
      <w:r w:rsidRPr="00074586">
        <w:rPr>
          <w:color w:val="000080"/>
        </w:rPr>
        <w:t>receives</w:t>
      </w:r>
      <w:r>
        <w:rPr>
          <w:color w:val="000080"/>
        </w:rPr>
        <w:t xml:space="preserve"> </w:t>
      </w:r>
      <w:r w:rsidRPr="00E12A56">
        <w:rPr>
          <w:b/>
          <w:bCs/>
          <w:color w:val="3366FF"/>
        </w:rPr>
        <w:t>50</w:t>
      </w:r>
      <w:r w:rsidRPr="00074586">
        <w:rPr>
          <w:color w:val="000080"/>
        </w:rPr>
        <w:t>,</w:t>
      </w:r>
      <w:r>
        <w:rPr>
          <w:color w:val="000080"/>
        </w:rPr>
        <w:t xml:space="preserve"> </w:t>
      </w:r>
      <w:r w:rsidRPr="00074586">
        <w:rPr>
          <w:b/>
          <w:bCs/>
          <w:color w:val="000080"/>
        </w:rPr>
        <w:t>whether</w:t>
      </w:r>
      <w:r>
        <w:rPr>
          <w:b/>
          <w:bCs/>
          <w:color w:val="000080"/>
        </w:rPr>
        <w:t xml:space="preserve"> </w:t>
      </w:r>
      <w:r w:rsidRPr="00074586">
        <w:rPr>
          <w:b/>
          <w:bCs/>
          <w:color w:val="000080"/>
        </w:rPr>
        <w:t>or</w:t>
      </w:r>
      <w:r>
        <w:rPr>
          <w:b/>
          <w:bCs/>
          <w:color w:val="000080"/>
        </w:rPr>
        <w:t xml:space="preserve"> </w:t>
      </w:r>
      <w:r w:rsidRPr="00074586">
        <w:rPr>
          <w:b/>
          <w:bCs/>
          <w:color w:val="000080"/>
        </w:rPr>
        <w:t>not</w:t>
      </w:r>
      <w:r>
        <w:rPr>
          <w:b/>
          <w:bCs/>
          <w:color w:val="000080"/>
        </w:rPr>
        <w:t xml:space="preserve"> </w:t>
      </w:r>
      <w:r w:rsidRPr="00074586">
        <w:rPr>
          <w:b/>
          <w:bCs/>
          <w:color w:val="000080"/>
        </w:rPr>
        <w:t>it</w:t>
      </w:r>
      <w:r>
        <w:rPr>
          <w:b/>
          <w:bCs/>
          <w:color w:val="000080"/>
        </w:rPr>
        <w:t xml:space="preserve"> </w:t>
      </w:r>
      <w:r w:rsidRPr="00074586">
        <w:rPr>
          <w:b/>
          <w:bCs/>
          <w:color w:val="000080"/>
        </w:rPr>
        <w:t>is</w:t>
      </w:r>
      <w:r>
        <w:rPr>
          <w:b/>
          <w:bCs/>
          <w:color w:val="000080"/>
        </w:rPr>
        <w:t xml:space="preserve"> </w:t>
      </w:r>
      <w:r w:rsidRPr="00074586">
        <w:rPr>
          <w:b/>
          <w:bCs/>
          <w:color w:val="000080"/>
        </w:rPr>
        <w:t>solvent</w:t>
      </w:r>
      <w:r w:rsidRPr="00074586">
        <w:rPr>
          <w:color w:val="000080"/>
        </w:rPr>
        <w:t>.</w:t>
      </w:r>
    </w:p>
    <w:p w14:paraId="78BC7CF6" w14:textId="77777777" w:rsidR="00411BF9" w:rsidRPr="00411BF9" w:rsidRDefault="00411BF9" w:rsidP="00F86E09">
      <w:pPr>
        <w:widowControl w:val="0"/>
        <w:jc w:val="both"/>
        <w:rPr>
          <w:color w:val="000080"/>
          <w:sz w:val="12"/>
          <w:szCs w:val="12"/>
        </w:rPr>
      </w:pPr>
    </w:p>
    <w:p w14:paraId="473E9EA0" w14:textId="7739A003" w:rsidR="00411BF9" w:rsidRPr="00411BF9" w:rsidRDefault="00411BF9" w:rsidP="00F86E09">
      <w:pPr>
        <w:widowControl w:val="0"/>
        <w:jc w:val="both"/>
        <w:rPr>
          <w:color w:val="000080"/>
        </w:rPr>
      </w:pPr>
      <w:r w:rsidRPr="00411BF9">
        <w:rPr>
          <w:color w:val="000080"/>
        </w:rPr>
        <w:lastRenderedPageBreak/>
        <w:t xml:space="preserve">When the </w:t>
      </w:r>
      <w:r w:rsidRPr="00E12A56">
        <w:rPr>
          <w:b/>
          <w:bCs/>
          <w:color w:val="FF6600"/>
        </w:rPr>
        <w:t>Investor DOES NOT INVEST</w:t>
      </w:r>
      <w:r w:rsidRPr="00411BF9">
        <w:rPr>
          <w:color w:val="000080"/>
        </w:rPr>
        <w:t xml:space="preserve"> in the bank,</w:t>
      </w:r>
    </w:p>
    <w:p w14:paraId="4858334C" w14:textId="77777777" w:rsidR="00411BF9" w:rsidRPr="00074586" w:rsidRDefault="00411BF9" w:rsidP="00F86E09">
      <w:pPr>
        <w:widowControl w:val="0"/>
        <w:ind w:left="990"/>
        <w:jc w:val="both"/>
        <w:rPr>
          <w:color w:val="000080"/>
        </w:rPr>
      </w:pPr>
      <w:r w:rsidRPr="00074586">
        <w:rPr>
          <w:color w:val="000080"/>
        </w:rPr>
        <w:t>The</w:t>
      </w:r>
      <w:r>
        <w:rPr>
          <w:color w:val="000080"/>
        </w:rPr>
        <w:t xml:space="preserve"> </w:t>
      </w:r>
      <w:r w:rsidRPr="00E12A56">
        <w:rPr>
          <w:b/>
          <w:bCs/>
          <w:color w:val="FF6600"/>
        </w:rPr>
        <w:t>Investor</w:t>
      </w:r>
      <w:r>
        <w:rPr>
          <w:color w:val="000080"/>
        </w:rPr>
        <w:t xml:space="preserve"> </w:t>
      </w:r>
      <w:r w:rsidRPr="00074586">
        <w:rPr>
          <w:color w:val="000080"/>
        </w:rPr>
        <w:t>receives</w:t>
      </w:r>
      <w:r>
        <w:rPr>
          <w:color w:val="000080"/>
        </w:rPr>
        <w:t xml:space="preserve"> </w:t>
      </w:r>
      <w:r w:rsidRPr="00074586">
        <w:rPr>
          <w:color w:val="000080"/>
        </w:rPr>
        <w:t>an</w:t>
      </w:r>
      <w:r>
        <w:rPr>
          <w:color w:val="000080"/>
        </w:rPr>
        <w:t xml:space="preserve"> </w:t>
      </w:r>
      <w:r w:rsidRPr="00074586">
        <w:rPr>
          <w:color w:val="000080"/>
        </w:rPr>
        <w:t>outside</w:t>
      </w:r>
      <w:r>
        <w:rPr>
          <w:color w:val="000080"/>
        </w:rPr>
        <w:t xml:space="preserve"> </w:t>
      </w:r>
      <w:r w:rsidRPr="00074586">
        <w:rPr>
          <w:color w:val="000080"/>
        </w:rPr>
        <w:t>option</w:t>
      </w:r>
      <w:r>
        <w:rPr>
          <w:color w:val="000080"/>
        </w:rPr>
        <w:t xml:space="preserve"> </w:t>
      </w:r>
      <w:r w:rsidRPr="00074586">
        <w:rPr>
          <w:color w:val="000080"/>
        </w:rPr>
        <w:t>payment</w:t>
      </w:r>
      <w:r>
        <w:rPr>
          <w:color w:val="000080"/>
        </w:rPr>
        <w:t xml:space="preserve"> </w:t>
      </w:r>
      <w:r w:rsidRPr="00074586">
        <w:rPr>
          <w:color w:val="000080"/>
        </w:rPr>
        <w:t>of</w:t>
      </w:r>
      <w:r>
        <w:rPr>
          <w:color w:val="000080"/>
        </w:rPr>
        <w:t xml:space="preserve"> </w:t>
      </w:r>
      <w:r w:rsidRPr="00E12A56">
        <w:rPr>
          <w:b/>
          <w:bCs/>
          <w:color w:val="FF6600"/>
        </w:rPr>
        <w:t>50</w:t>
      </w:r>
      <w:r w:rsidRPr="00074586">
        <w:rPr>
          <w:color w:val="000080"/>
        </w:rPr>
        <w:t>.</w:t>
      </w:r>
    </w:p>
    <w:p w14:paraId="50AA0AEA" w14:textId="130DBD77" w:rsidR="00490230" w:rsidRPr="00074586" w:rsidRDefault="00411BF9" w:rsidP="00490230">
      <w:pPr>
        <w:widowControl w:val="0"/>
        <w:ind w:right="-180"/>
        <w:outlineLvl w:val="2"/>
        <w:rPr>
          <w:b/>
          <w:bCs/>
          <w:color w:val="000080"/>
        </w:rPr>
      </w:pPr>
      <w:r w:rsidRPr="00074586">
        <w:rPr>
          <w:color w:val="000080"/>
        </w:rPr>
        <w:t>The</w:t>
      </w:r>
      <w:r>
        <w:rPr>
          <w:color w:val="000080"/>
        </w:rPr>
        <w:t xml:space="preserve"> </w:t>
      </w:r>
      <w:r w:rsidRPr="00E12A56">
        <w:rPr>
          <w:b/>
          <w:bCs/>
          <w:color w:val="3366FF"/>
        </w:rPr>
        <w:t>Bank</w:t>
      </w:r>
      <w:r>
        <w:rPr>
          <w:color w:val="000080"/>
        </w:rPr>
        <w:t xml:space="preserve"> </w:t>
      </w:r>
      <w:r w:rsidRPr="00074586">
        <w:rPr>
          <w:color w:val="000080"/>
        </w:rPr>
        <w:t>cannot</w:t>
      </w:r>
      <w:r>
        <w:rPr>
          <w:color w:val="000080"/>
        </w:rPr>
        <w:t xml:space="preserve"> </w:t>
      </w:r>
      <w:r w:rsidRPr="00074586">
        <w:rPr>
          <w:color w:val="000080"/>
        </w:rPr>
        <w:t>operate</w:t>
      </w:r>
      <w:r>
        <w:rPr>
          <w:color w:val="000080"/>
        </w:rPr>
        <w:t xml:space="preserve"> </w:t>
      </w:r>
      <w:r w:rsidRPr="00074586">
        <w:rPr>
          <w:color w:val="000080"/>
        </w:rPr>
        <w:t>in</w:t>
      </w:r>
      <w:r>
        <w:rPr>
          <w:color w:val="000080"/>
        </w:rPr>
        <w:t xml:space="preserve"> </w:t>
      </w:r>
      <w:r w:rsidRPr="00074586">
        <w:rPr>
          <w:color w:val="000080"/>
        </w:rPr>
        <w:t>Period</w:t>
      </w:r>
      <w:r>
        <w:rPr>
          <w:color w:val="000080"/>
        </w:rPr>
        <w:t xml:space="preserve"> </w:t>
      </w:r>
      <w:r w:rsidRPr="00074586">
        <w:rPr>
          <w:color w:val="000080"/>
        </w:rPr>
        <w:t>2,</w:t>
      </w:r>
      <w:r>
        <w:rPr>
          <w:color w:val="000080"/>
        </w:rPr>
        <w:t xml:space="preserve"> </w:t>
      </w:r>
      <w:r w:rsidRPr="00074586">
        <w:rPr>
          <w:color w:val="000080"/>
        </w:rPr>
        <w:t>and</w:t>
      </w:r>
      <w:r>
        <w:rPr>
          <w:color w:val="000080"/>
        </w:rPr>
        <w:t xml:space="preserve"> </w:t>
      </w:r>
      <w:r w:rsidRPr="00074586">
        <w:rPr>
          <w:color w:val="000080"/>
        </w:rPr>
        <w:t>therefore</w:t>
      </w:r>
      <w:r>
        <w:rPr>
          <w:color w:val="000080"/>
        </w:rPr>
        <w:t xml:space="preserve"> </w:t>
      </w:r>
      <w:r w:rsidRPr="00074586">
        <w:rPr>
          <w:color w:val="000080"/>
        </w:rPr>
        <w:t>receives</w:t>
      </w:r>
      <w:r>
        <w:rPr>
          <w:color w:val="000080"/>
        </w:rPr>
        <w:t xml:space="preserve"> </w:t>
      </w:r>
      <w:r w:rsidRPr="00E12A56">
        <w:rPr>
          <w:b/>
          <w:bCs/>
          <w:color w:val="3366FF"/>
        </w:rPr>
        <w:t>0</w:t>
      </w:r>
      <w:r w:rsidRPr="00074586">
        <w:rPr>
          <w:color w:val="000080"/>
        </w:rPr>
        <w:t>.</w:t>
      </w:r>
      <w:r w:rsidR="00490230" w:rsidRPr="00490230">
        <w:rPr>
          <w:b/>
          <w:bCs/>
          <w:color w:val="000080"/>
        </w:rPr>
        <w:t xml:space="preserve"> </w:t>
      </w:r>
    </w:p>
    <w:p w14:paraId="2671959E" w14:textId="77777777" w:rsidR="00490230" w:rsidRDefault="00490230" w:rsidP="00490230">
      <w:pPr>
        <w:widowControl w:val="0"/>
      </w:pPr>
      <w:r>
        <w:t>________________________________________________________________________________</w:t>
      </w:r>
    </w:p>
    <w:p w14:paraId="6E85835F" w14:textId="5BFDFD0E" w:rsidR="00490230" w:rsidRDefault="00490230" w:rsidP="00490230">
      <w:pPr>
        <w:widowControl w:val="0"/>
        <w:ind w:left="3690"/>
        <w:outlineLvl w:val="2"/>
        <w:rPr>
          <w:b/>
          <w:bCs/>
          <w:color w:val="008000"/>
        </w:rPr>
      </w:pPr>
      <w:r w:rsidRPr="00074586">
        <w:rPr>
          <w:b/>
          <w:bCs/>
          <w:color w:val="000080"/>
        </w:rPr>
        <w:t>Instructions</w:t>
      </w:r>
      <w:r>
        <w:rPr>
          <w:b/>
          <w:bCs/>
          <w:color w:val="000080"/>
        </w:rPr>
        <w:t xml:space="preserve"> </w:t>
      </w:r>
      <w:r>
        <w:rPr>
          <w:b/>
          <w:bCs/>
          <w:color w:val="000080"/>
        </w:rPr>
        <w:tab/>
      </w:r>
      <w:r>
        <w:rPr>
          <w:b/>
          <w:bCs/>
          <w:color w:val="000080"/>
        </w:rPr>
        <w:tab/>
      </w:r>
      <w:r>
        <w:rPr>
          <w:b/>
          <w:bCs/>
          <w:color w:val="000080"/>
        </w:rPr>
        <w:tab/>
      </w:r>
      <w:r>
        <w:rPr>
          <w:b/>
          <w:bCs/>
          <w:color w:val="000080"/>
        </w:rPr>
        <w:tab/>
      </w:r>
      <w:r>
        <w:rPr>
          <w:b/>
          <w:bCs/>
          <w:color w:val="000080"/>
        </w:rPr>
        <w:tab/>
        <w:t xml:space="preserve">         </w:t>
      </w:r>
      <w:r w:rsidRPr="00074586">
        <w:rPr>
          <w:b/>
          <w:bCs/>
          <w:color w:val="008000"/>
        </w:rPr>
        <w:t>Page</w:t>
      </w:r>
      <w:r>
        <w:rPr>
          <w:b/>
          <w:bCs/>
          <w:color w:val="008000"/>
        </w:rPr>
        <w:t xml:space="preserve"> 5 </w:t>
      </w:r>
      <w:r w:rsidRPr="00074586">
        <w:rPr>
          <w:b/>
          <w:bCs/>
          <w:color w:val="008000"/>
        </w:rPr>
        <w:t>of</w:t>
      </w:r>
      <w:r>
        <w:rPr>
          <w:b/>
          <w:bCs/>
          <w:color w:val="008000"/>
        </w:rPr>
        <w:t xml:space="preserve"> </w:t>
      </w:r>
      <w:r w:rsidRPr="00074586">
        <w:rPr>
          <w:b/>
          <w:bCs/>
          <w:color w:val="008000"/>
        </w:rPr>
        <w:t>5</w:t>
      </w:r>
    </w:p>
    <w:p w14:paraId="1629A28E" w14:textId="58871128" w:rsidR="00065D3C" w:rsidRPr="00065D3C" w:rsidRDefault="00065D3C" w:rsidP="00490230">
      <w:pPr>
        <w:widowControl w:val="0"/>
        <w:ind w:left="990"/>
        <w:jc w:val="both"/>
        <w:rPr>
          <w:b/>
          <w:bCs/>
          <w:color w:val="008000"/>
          <w:sz w:val="12"/>
          <w:szCs w:val="12"/>
        </w:rPr>
      </w:pPr>
    </w:p>
    <w:p w14:paraId="11BEAD96" w14:textId="77777777" w:rsidR="00411BF9" w:rsidRPr="00074586" w:rsidRDefault="00411BF9" w:rsidP="00F86E09">
      <w:pPr>
        <w:widowControl w:val="0"/>
        <w:rPr>
          <w:color w:val="000080"/>
        </w:rPr>
      </w:pPr>
      <w:r w:rsidRPr="00074586">
        <w:rPr>
          <w:color w:val="000080"/>
        </w:rPr>
        <w:t>There</w:t>
      </w:r>
      <w:r>
        <w:rPr>
          <w:color w:val="000080"/>
        </w:rPr>
        <w:t xml:space="preserve"> </w:t>
      </w:r>
      <w:r w:rsidRPr="00074586">
        <w:rPr>
          <w:color w:val="000080"/>
        </w:rPr>
        <w:t>will</w:t>
      </w:r>
      <w:r>
        <w:rPr>
          <w:color w:val="000080"/>
        </w:rPr>
        <w:t xml:space="preserve"> </w:t>
      </w:r>
      <w:r w:rsidRPr="00074586">
        <w:rPr>
          <w:color w:val="000080"/>
        </w:rPr>
        <w:t>be</w:t>
      </w:r>
      <w:r>
        <w:rPr>
          <w:color w:val="000080"/>
        </w:rPr>
        <w:t xml:space="preserve"> </w:t>
      </w:r>
      <w:r w:rsidRPr="00074586">
        <w:rPr>
          <w:b/>
          <w:bCs/>
          <w:color w:val="000080"/>
        </w:rPr>
        <w:t>25</w:t>
      </w:r>
      <w:r>
        <w:rPr>
          <w:b/>
          <w:bCs/>
          <w:color w:val="000080"/>
        </w:rPr>
        <w:t xml:space="preserve"> </w:t>
      </w:r>
      <w:r w:rsidRPr="00074586">
        <w:rPr>
          <w:b/>
          <w:bCs/>
          <w:color w:val="000080"/>
        </w:rPr>
        <w:t>rounds</w:t>
      </w:r>
      <w:r>
        <w:rPr>
          <w:color w:val="000080"/>
        </w:rPr>
        <w:t xml:space="preserve"> </w:t>
      </w:r>
      <w:r w:rsidRPr="00074586">
        <w:rPr>
          <w:color w:val="000080"/>
        </w:rPr>
        <w:t>and</w:t>
      </w:r>
      <w:r>
        <w:rPr>
          <w:color w:val="000080"/>
        </w:rPr>
        <w:t xml:space="preserve"> </w:t>
      </w:r>
      <w:r w:rsidRPr="00074586">
        <w:rPr>
          <w:color w:val="000080"/>
        </w:rPr>
        <w:t>each</w:t>
      </w:r>
      <w:r>
        <w:rPr>
          <w:color w:val="000080"/>
        </w:rPr>
        <w:t xml:space="preserve"> </w:t>
      </w:r>
      <w:r w:rsidRPr="00074586">
        <w:rPr>
          <w:color w:val="000080"/>
        </w:rPr>
        <w:t>round</w:t>
      </w:r>
      <w:r>
        <w:rPr>
          <w:color w:val="000080"/>
        </w:rPr>
        <w:t xml:space="preserve"> </w:t>
      </w:r>
      <w:r w:rsidRPr="00074586">
        <w:rPr>
          <w:color w:val="000080"/>
        </w:rPr>
        <w:t>has</w:t>
      </w:r>
      <w:r>
        <w:rPr>
          <w:color w:val="000080"/>
        </w:rPr>
        <w:t xml:space="preserve"> </w:t>
      </w:r>
      <w:r w:rsidRPr="00074586">
        <w:rPr>
          <w:b/>
          <w:bCs/>
          <w:color w:val="000080"/>
        </w:rPr>
        <w:t>2</w:t>
      </w:r>
      <w:r>
        <w:rPr>
          <w:b/>
          <w:bCs/>
          <w:color w:val="000080"/>
        </w:rPr>
        <w:t xml:space="preserve"> </w:t>
      </w:r>
      <w:r w:rsidRPr="00074586">
        <w:rPr>
          <w:b/>
          <w:bCs/>
          <w:color w:val="000080"/>
        </w:rPr>
        <w:t>periods</w:t>
      </w:r>
      <w:r w:rsidRPr="00074586">
        <w:rPr>
          <w:color w:val="000080"/>
        </w:rPr>
        <w:t>.</w:t>
      </w:r>
    </w:p>
    <w:p w14:paraId="5B16022C" w14:textId="77777777" w:rsidR="00411BF9" w:rsidRPr="00074586" w:rsidRDefault="00411BF9" w:rsidP="00F86E09">
      <w:pPr>
        <w:widowControl w:val="0"/>
        <w:rPr>
          <w:color w:val="000080"/>
        </w:rPr>
      </w:pPr>
      <w:r w:rsidRPr="00074586">
        <w:rPr>
          <w:color w:val="000080"/>
        </w:rPr>
        <w:t>You</w:t>
      </w:r>
      <w:r>
        <w:rPr>
          <w:color w:val="000080"/>
        </w:rPr>
        <w:t xml:space="preserve"> </w:t>
      </w:r>
      <w:r w:rsidRPr="00074586">
        <w:rPr>
          <w:color w:val="000080"/>
        </w:rPr>
        <w:t>will</w:t>
      </w:r>
      <w:r>
        <w:rPr>
          <w:color w:val="000080"/>
        </w:rPr>
        <w:t xml:space="preserve"> </w:t>
      </w:r>
      <w:r w:rsidRPr="00074586">
        <w:rPr>
          <w:color w:val="000080"/>
        </w:rPr>
        <w:t>be</w:t>
      </w:r>
      <w:r>
        <w:rPr>
          <w:color w:val="000080"/>
        </w:rPr>
        <w:t xml:space="preserve"> </w:t>
      </w:r>
      <w:r w:rsidRPr="00074586">
        <w:rPr>
          <w:color w:val="000080"/>
        </w:rPr>
        <w:t>a</w:t>
      </w:r>
      <w:r>
        <w:rPr>
          <w:color w:val="000080"/>
        </w:rPr>
        <w:t xml:space="preserve"> </w:t>
      </w:r>
      <w:r w:rsidRPr="00E12A56">
        <w:rPr>
          <w:b/>
          <w:bCs/>
          <w:color w:val="3366FF"/>
        </w:rPr>
        <w:t>Bank</w:t>
      </w:r>
      <w:r w:rsidRPr="00074586">
        <w:rPr>
          <w:color w:val="000080"/>
        </w:rPr>
        <w:t>/</w:t>
      </w:r>
      <w:r w:rsidRPr="00E12A56">
        <w:rPr>
          <w:b/>
          <w:bCs/>
          <w:color w:val="FF6600"/>
        </w:rPr>
        <w:t>Investor</w:t>
      </w:r>
      <w:r>
        <w:rPr>
          <w:color w:val="000080"/>
        </w:rPr>
        <w:t xml:space="preserve"> </w:t>
      </w:r>
      <w:r w:rsidRPr="00074586">
        <w:rPr>
          <w:color w:val="000080"/>
        </w:rPr>
        <w:t>in</w:t>
      </w:r>
      <w:r>
        <w:rPr>
          <w:color w:val="000080"/>
        </w:rPr>
        <w:t xml:space="preserve"> </w:t>
      </w:r>
      <w:r w:rsidRPr="00074586">
        <w:rPr>
          <w:color w:val="000080"/>
        </w:rPr>
        <w:t>all</w:t>
      </w:r>
      <w:r>
        <w:rPr>
          <w:color w:val="000080"/>
        </w:rPr>
        <w:t xml:space="preserve"> </w:t>
      </w:r>
      <w:r w:rsidRPr="00074586">
        <w:rPr>
          <w:color w:val="000080"/>
        </w:rPr>
        <w:t>rounds.</w:t>
      </w:r>
    </w:p>
    <w:p w14:paraId="765E320A" w14:textId="77777777" w:rsidR="00411BF9" w:rsidRDefault="00411BF9" w:rsidP="00F86E09">
      <w:pPr>
        <w:widowControl w:val="0"/>
        <w:rPr>
          <w:color w:val="000080"/>
        </w:rPr>
      </w:pPr>
      <w:r w:rsidRPr="00074586">
        <w:rPr>
          <w:color w:val="000080"/>
        </w:rPr>
        <w:t>Each</w:t>
      </w:r>
      <w:r>
        <w:rPr>
          <w:color w:val="000080"/>
        </w:rPr>
        <w:t xml:space="preserve"> </w:t>
      </w:r>
      <w:r w:rsidRPr="00074586">
        <w:rPr>
          <w:color w:val="000080"/>
        </w:rPr>
        <w:t>round</w:t>
      </w:r>
      <w:r>
        <w:rPr>
          <w:color w:val="000080"/>
        </w:rPr>
        <w:t xml:space="preserve"> </w:t>
      </w:r>
      <w:r w:rsidRPr="00074586">
        <w:rPr>
          <w:color w:val="000080"/>
        </w:rPr>
        <w:t>begins</w:t>
      </w:r>
      <w:r>
        <w:rPr>
          <w:color w:val="000080"/>
        </w:rPr>
        <w:t xml:space="preserve"> </w:t>
      </w:r>
      <w:r w:rsidRPr="00074586">
        <w:rPr>
          <w:color w:val="000080"/>
        </w:rPr>
        <w:t>with</w:t>
      </w:r>
      <w:r>
        <w:rPr>
          <w:color w:val="000080"/>
        </w:rPr>
        <w:t xml:space="preserve"> </w:t>
      </w:r>
      <w:r w:rsidRPr="00074586">
        <w:rPr>
          <w:color w:val="000080"/>
        </w:rPr>
        <w:t>a</w:t>
      </w:r>
      <w:r>
        <w:rPr>
          <w:color w:val="000080"/>
        </w:rPr>
        <w:t xml:space="preserve"> </w:t>
      </w:r>
      <w:r w:rsidRPr="00074586">
        <w:rPr>
          <w:color w:val="000080"/>
        </w:rPr>
        <w:t>new</w:t>
      </w:r>
      <w:r>
        <w:rPr>
          <w:color w:val="000080"/>
        </w:rPr>
        <w:t xml:space="preserve"> </w:t>
      </w:r>
      <w:r w:rsidRPr="00074586">
        <w:rPr>
          <w:color w:val="000080"/>
        </w:rPr>
        <w:t>random</w:t>
      </w:r>
      <w:r>
        <w:rPr>
          <w:color w:val="000080"/>
        </w:rPr>
        <w:t xml:space="preserve"> </w:t>
      </w:r>
      <w:r w:rsidRPr="00074586">
        <w:rPr>
          <w:color w:val="000080"/>
        </w:rPr>
        <w:t>pairing</w:t>
      </w:r>
      <w:r>
        <w:rPr>
          <w:color w:val="000080"/>
        </w:rPr>
        <w:t xml:space="preserve"> </w:t>
      </w:r>
      <w:r w:rsidRPr="00074586">
        <w:rPr>
          <w:color w:val="000080"/>
        </w:rPr>
        <w:t>of</w:t>
      </w:r>
      <w:r>
        <w:rPr>
          <w:color w:val="000080"/>
        </w:rPr>
        <w:t xml:space="preserve"> </w:t>
      </w:r>
      <w:r w:rsidRPr="00E12A56">
        <w:rPr>
          <w:b/>
          <w:bCs/>
          <w:color w:val="3366FF"/>
        </w:rPr>
        <w:t>Banks</w:t>
      </w:r>
      <w:r>
        <w:rPr>
          <w:color w:val="000080"/>
        </w:rPr>
        <w:t xml:space="preserve"> </w:t>
      </w:r>
      <w:r w:rsidRPr="00074586">
        <w:rPr>
          <w:color w:val="000080"/>
        </w:rPr>
        <w:t>and</w:t>
      </w:r>
      <w:r>
        <w:rPr>
          <w:color w:val="000080"/>
        </w:rPr>
        <w:t xml:space="preserve"> </w:t>
      </w:r>
      <w:r w:rsidRPr="00E12A56">
        <w:rPr>
          <w:b/>
          <w:bCs/>
          <w:color w:val="FF6600"/>
        </w:rPr>
        <w:t>Investors</w:t>
      </w:r>
      <w:r w:rsidRPr="00074586">
        <w:rPr>
          <w:color w:val="000080"/>
        </w:rPr>
        <w:t>.</w:t>
      </w:r>
    </w:p>
    <w:p w14:paraId="50F17F8E" w14:textId="77777777" w:rsidR="00411BF9" w:rsidRPr="00411BF9" w:rsidRDefault="00411BF9" w:rsidP="00F86E09">
      <w:pPr>
        <w:widowControl w:val="0"/>
        <w:rPr>
          <w:color w:val="000080"/>
          <w:sz w:val="12"/>
          <w:szCs w:val="12"/>
        </w:rPr>
      </w:pPr>
    </w:p>
    <w:p w14:paraId="16B2A498" w14:textId="77777777" w:rsidR="00411BF9" w:rsidRPr="00074586" w:rsidRDefault="00411BF9" w:rsidP="00F86E09">
      <w:pPr>
        <w:widowControl w:val="0"/>
        <w:rPr>
          <w:color w:val="000080"/>
        </w:rPr>
      </w:pPr>
      <w:r w:rsidRPr="00074586">
        <w:rPr>
          <w:color w:val="000080"/>
        </w:rPr>
        <w:t>There</w:t>
      </w:r>
      <w:r>
        <w:rPr>
          <w:color w:val="000080"/>
        </w:rPr>
        <w:t xml:space="preserve"> </w:t>
      </w:r>
      <w:r w:rsidRPr="00074586">
        <w:rPr>
          <w:color w:val="000080"/>
        </w:rPr>
        <w:t>is</w:t>
      </w:r>
      <w:r>
        <w:rPr>
          <w:color w:val="000080"/>
        </w:rPr>
        <w:t xml:space="preserve"> </w:t>
      </w:r>
      <w:r w:rsidRPr="00074586">
        <w:rPr>
          <w:color w:val="000080"/>
        </w:rPr>
        <w:t>a</w:t>
      </w:r>
    </w:p>
    <w:p w14:paraId="5E61118A" w14:textId="77777777" w:rsidR="00411BF9" w:rsidRPr="00074586" w:rsidRDefault="00411BF9" w:rsidP="00F86E09">
      <w:pPr>
        <w:widowControl w:val="0"/>
        <w:ind w:left="990"/>
        <w:rPr>
          <w:color w:val="000080"/>
        </w:rPr>
      </w:pPr>
      <w:r w:rsidRPr="00074586">
        <w:rPr>
          <w:b/>
          <w:bCs/>
          <w:color w:val="000080"/>
        </w:rPr>
        <w:t>1</w:t>
      </w:r>
      <w:r>
        <w:rPr>
          <w:b/>
          <w:bCs/>
          <w:color w:val="000080"/>
        </w:rPr>
        <w:t xml:space="preserve"> </w:t>
      </w:r>
      <w:r w:rsidRPr="00074586">
        <w:rPr>
          <w:b/>
          <w:bCs/>
          <w:color w:val="000080"/>
        </w:rPr>
        <w:t>in</w:t>
      </w:r>
      <w:r>
        <w:rPr>
          <w:b/>
          <w:bCs/>
          <w:color w:val="000080"/>
        </w:rPr>
        <w:t xml:space="preserve"> </w:t>
      </w:r>
      <w:r w:rsidRPr="00074586">
        <w:rPr>
          <w:b/>
          <w:bCs/>
          <w:color w:val="000080"/>
        </w:rPr>
        <w:t>2</w:t>
      </w:r>
      <w:r>
        <w:rPr>
          <w:b/>
          <w:bCs/>
          <w:color w:val="000080"/>
        </w:rPr>
        <w:t xml:space="preserve"> </w:t>
      </w:r>
      <w:r w:rsidRPr="00074586">
        <w:rPr>
          <w:b/>
          <w:bCs/>
          <w:color w:val="000080"/>
        </w:rPr>
        <w:t>chance</w:t>
      </w:r>
      <w:r>
        <w:rPr>
          <w:b/>
          <w:bCs/>
          <w:color w:val="000080"/>
        </w:rPr>
        <w:t xml:space="preserve"> </w:t>
      </w:r>
      <w:r w:rsidRPr="00074586">
        <w:rPr>
          <w:b/>
          <w:bCs/>
          <w:color w:val="000080"/>
        </w:rPr>
        <w:t>(50%)</w:t>
      </w:r>
      <w:r>
        <w:rPr>
          <w:color w:val="000080"/>
        </w:rPr>
        <w:t xml:space="preserve"> </w:t>
      </w:r>
      <w:r w:rsidRPr="00074586">
        <w:rPr>
          <w:color w:val="000080"/>
        </w:rPr>
        <w:t>that</w:t>
      </w:r>
      <w:r>
        <w:rPr>
          <w:color w:val="000080"/>
        </w:rPr>
        <w:t xml:space="preserve"> </w:t>
      </w:r>
      <w:r w:rsidRPr="00074586">
        <w:rPr>
          <w:color w:val="000080"/>
        </w:rPr>
        <w:t>a</w:t>
      </w:r>
      <w:r>
        <w:rPr>
          <w:color w:val="000080"/>
        </w:rPr>
        <w:t xml:space="preserve"> </w:t>
      </w:r>
      <w:r w:rsidRPr="00E12A56">
        <w:rPr>
          <w:b/>
          <w:bCs/>
          <w:color w:val="3366FF"/>
        </w:rPr>
        <w:t>Bank</w:t>
      </w:r>
      <w:r>
        <w:rPr>
          <w:color w:val="000080"/>
        </w:rPr>
        <w:t xml:space="preserve"> </w:t>
      </w:r>
      <w:r w:rsidRPr="00074586">
        <w:rPr>
          <w:color w:val="000080"/>
        </w:rPr>
        <w:t>is</w:t>
      </w:r>
      <w:r>
        <w:rPr>
          <w:color w:val="000080"/>
        </w:rPr>
        <w:t xml:space="preserve"> </w:t>
      </w:r>
      <w:r w:rsidRPr="00074586">
        <w:rPr>
          <w:b/>
          <w:bCs/>
          <w:color w:val="000080"/>
        </w:rPr>
        <w:t>solvent-liquid</w:t>
      </w:r>
    </w:p>
    <w:p w14:paraId="4CEACF6C" w14:textId="77777777" w:rsidR="00411BF9" w:rsidRPr="00074586" w:rsidRDefault="00411BF9" w:rsidP="00F86E09">
      <w:pPr>
        <w:widowControl w:val="0"/>
        <w:ind w:left="990"/>
        <w:rPr>
          <w:color w:val="000080"/>
        </w:rPr>
      </w:pPr>
      <w:r w:rsidRPr="00074586">
        <w:rPr>
          <w:b/>
          <w:bCs/>
          <w:color w:val="000080"/>
        </w:rPr>
        <w:t>1</w:t>
      </w:r>
      <w:r>
        <w:rPr>
          <w:b/>
          <w:bCs/>
          <w:color w:val="000080"/>
        </w:rPr>
        <w:t xml:space="preserve"> </w:t>
      </w:r>
      <w:r w:rsidRPr="00074586">
        <w:rPr>
          <w:b/>
          <w:bCs/>
          <w:color w:val="000080"/>
        </w:rPr>
        <w:t>in</w:t>
      </w:r>
      <w:r>
        <w:rPr>
          <w:b/>
          <w:bCs/>
          <w:color w:val="000080"/>
        </w:rPr>
        <w:t xml:space="preserve"> </w:t>
      </w:r>
      <w:r w:rsidRPr="00074586">
        <w:rPr>
          <w:b/>
          <w:bCs/>
          <w:color w:val="000080"/>
        </w:rPr>
        <w:t>6</w:t>
      </w:r>
      <w:r>
        <w:rPr>
          <w:b/>
          <w:bCs/>
          <w:color w:val="000080"/>
        </w:rPr>
        <w:t xml:space="preserve"> </w:t>
      </w:r>
      <w:r w:rsidRPr="00074586">
        <w:rPr>
          <w:b/>
          <w:bCs/>
          <w:color w:val="000080"/>
        </w:rPr>
        <w:t>chance</w:t>
      </w:r>
      <w:r>
        <w:rPr>
          <w:b/>
          <w:bCs/>
          <w:color w:val="000080"/>
        </w:rPr>
        <w:t xml:space="preserve"> </w:t>
      </w:r>
      <w:r w:rsidRPr="00074586">
        <w:rPr>
          <w:b/>
          <w:bCs/>
          <w:color w:val="000080"/>
        </w:rPr>
        <w:t>(17%)</w:t>
      </w:r>
      <w:r>
        <w:rPr>
          <w:color w:val="000080"/>
        </w:rPr>
        <w:t xml:space="preserve"> </w:t>
      </w:r>
      <w:r w:rsidRPr="00074586">
        <w:rPr>
          <w:color w:val="000080"/>
        </w:rPr>
        <w:t>that</w:t>
      </w:r>
      <w:r>
        <w:rPr>
          <w:color w:val="000080"/>
        </w:rPr>
        <w:t xml:space="preserve"> </w:t>
      </w:r>
      <w:r w:rsidRPr="00074586">
        <w:rPr>
          <w:color w:val="000080"/>
        </w:rPr>
        <w:t>a</w:t>
      </w:r>
      <w:r>
        <w:rPr>
          <w:color w:val="000080"/>
        </w:rPr>
        <w:t xml:space="preserve"> </w:t>
      </w:r>
      <w:r w:rsidRPr="00E12A56">
        <w:rPr>
          <w:b/>
          <w:bCs/>
          <w:color w:val="3366FF"/>
        </w:rPr>
        <w:t>Bank</w:t>
      </w:r>
      <w:r>
        <w:rPr>
          <w:color w:val="000080"/>
        </w:rPr>
        <w:t xml:space="preserve"> </w:t>
      </w:r>
      <w:r w:rsidRPr="00074586">
        <w:rPr>
          <w:color w:val="000080"/>
        </w:rPr>
        <w:t>is</w:t>
      </w:r>
      <w:r>
        <w:rPr>
          <w:color w:val="000080"/>
        </w:rPr>
        <w:t xml:space="preserve"> </w:t>
      </w:r>
      <w:r w:rsidRPr="00074586">
        <w:rPr>
          <w:b/>
          <w:bCs/>
          <w:color w:val="000080"/>
        </w:rPr>
        <w:t>solvent-illiquid</w:t>
      </w:r>
    </w:p>
    <w:p w14:paraId="6724387A" w14:textId="77777777" w:rsidR="00411BF9" w:rsidRPr="00074586" w:rsidRDefault="00411BF9" w:rsidP="00F86E09">
      <w:pPr>
        <w:widowControl w:val="0"/>
        <w:ind w:left="990"/>
        <w:rPr>
          <w:color w:val="000080"/>
        </w:rPr>
      </w:pPr>
      <w:r w:rsidRPr="00074586">
        <w:rPr>
          <w:b/>
          <w:bCs/>
          <w:color w:val="000080"/>
        </w:rPr>
        <w:t>1</w:t>
      </w:r>
      <w:r>
        <w:rPr>
          <w:b/>
          <w:bCs/>
          <w:color w:val="000080"/>
        </w:rPr>
        <w:t xml:space="preserve"> </w:t>
      </w:r>
      <w:r w:rsidRPr="00074586">
        <w:rPr>
          <w:b/>
          <w:bCs/>
          <w:color w:val="000080"/>
        </w:rPr>
        <w:t>in</w:t>
      </w:r>
      <w:r>
        <w:rPr>
          <w:b/>
          <w:bCs/>
          <w:color w:val="000080"/>
        </w:rPr>
        <w:t xml:space="preserve"> </w:t>
      </w:r>
      <w:r w:rsidRPr="00074586">
        <w:rPr>
          <w:b/>
          <w:bCs/>
          <w:color w:val="000080"/>
        </w:rPr>
        <w:t>3</w:t>
      </w:r>
      <w:r>
        <w:rPr>
          <w:b/>
          <w:bCs/>
          <w:color w:val="000080"/>
        </w:rPr>
        <w:t xml:space="preserve"> </w:t>
      </w:r>
      <w:r w:rsidRPr="00074586">
        <w:rPr>
          <w:b/>
          <w:bCs/>
          <w:color w:val="000080"/>
        </w:rPr>
        <w:t>chance</w:t>
      </w:r>
      <w:r>
        <w:rPr>
          <w:b/>
          <w:bCs/>
          <w:color w:val="000080"/>
        </w:rPr>
        <w:t xml:space="preserve"> </w:t>
      </w:r>
      <w:r w:rsidRPr="00074586">
        <w:rPr>
          <w:b/>
          <w:bCs/>
          <w:color w:val="000080"/>
        </w:rPr>
        <w:t>(33%)</w:t>
      </w:r>
      <w:r>
        <w:rPr>
          <w:color w:val="000080"/>
        </w:rPr>
        <w:t xml:space="preserve"> </w:t>
      </w:r>
      <w:r w:rsidRPr="00074586">
        <w:rPr>
          <w:color w:val="000080"/>
        </w:rPr>
        <w:t>that</w:t>
      </w:r>
      <w:r>
        <w:rPr>
          <w:color w:val="000080"/>
        </w:rPr>
        <w:t xml:space="preserve"> </w:t>
      </w:r>
      <w:r w:rsidRPr="00074586">
        <w:rPr>
          <w:color w:val="000080"/>
        </w:rPr>
        <w:t>a</w:t>
      </w:r>
      <w:r>
        <w:rPr>
          <w:color w:val="000080"/>
        </w:rPr>
        <w:t xml:space="preserve"> </w:t>
      </w:r>
      <w:r w:rsidRPr="00E12A56">
        <w:rPr>
          <w:b/>
          <w:bCs/>
          <w:color w:val="3366FF"/>
        </w:rPr>
        <w:t>Bank</w:t>
      </w:r>
      <w:r>
        <w:rPr>
          <w:color w:val="000080"/>
        </w:rPr>
        <w:t xml:space="preserve"> </w:t>
      </w:r>
      <w:r w:rsidRPr="00074586">
        <w:rPr>
          <w:color w:val="000080"/>
        </w:rPr>
        <w:t>is</w:t>
      </w:r>
      <w:r>
        <w:rPr>
          <w:color w:val="000080"/>
        </w:rPr>
        <w:t xml:space="preserve"> </w:t>
      </w:r>
      <w:r w:rsidRPr="00074586">
        <w:rPr>
          <w:b/>
          <w:bCs/>
          <w:color w:val="000080"/>
        </w:rPr>
        <w:t>insolvent</w:t>
      </w:r>
      <w:r>
        <w:rPr>
          <w:b/>
          <w:bCs/>
          <w:color w:val="000080"/>
        </w:rPr>
        <w:t xml:space="preserve"> </w:t>
      </w:r>
      <w:r w:rsidRPr="00074586">
        <w:rPr>
          <w:b/>
          <w:bCs/>
          <w:color w:val="000080"/>
        </w:rPr>
        <w:t>and</w:t>
      </w:r>
      <w:r>
        <w:rPr>
          <w:b/>
          <w:bCs/>
          <w:color w:val="000080"/>
        </w:rPr>
        <w:t xml:space="preserve"> </w:t>
      </w:r>
      <w:r w:rsidRPr="00074586">
        <w:rPr>
          <w:b/>
          <w:bCs/>
          <w:color w:val="000080"/>
        </w:rPr>
        <w:t>illiquid</w:t>
      </w:r>
    </w:p>
    <w:p w14:paraId="73977CC7" w14:textId="77777777" w:rsidR="00411BF9" w:rsidRPr="00074586" w:rsidRDefault="00411BF9" w:rsidP="00F86E09">
      <w:pPr>
        <w:widowControl w:val="0"/>
        <w:rPr>
          <w:color w:val="000080"/>
        </w:rPr>
      </w:pPr>
    </w:p>
    <w:p w14:paraId="159AE40B" w14:textId="77777777" w:rsidR="00411BF9" w:rsidRPr="00074586" w:rsidRDefault="00411BF9" w:rsidP="00F86E09">
      <w:pPr>
        <w:widowControl w:val="0"/>
        <w:rPr>
          <w:color w:val="000080"/>
        </w:rPr>
      </w:pPr>
      <w:r w:rsidRPr="00411BF9">
        <w:rPr>
          <w:b/>
          <w:bCs/>
          <w:color w:val="000080"/>
          <w:u w:val="single"/>
        </w:rPr>
        <w:t>Period 1</w:t>
      </w:r>
      <w:r w:rsidRPr="00074586">
        <w:rPr>
          <w:b/>
          <w:bCs/>
          <w:color w:val="000080"/>
        </w:rPr>
        <w:t>:</w:t>
      </w:r>
      <w:r>
        <w:rPr>
          <w:color w:val="000080"/>
        </w:rPr>
        <w:t xml:space="preserve"> </w:t>
      </w:r>
      <w:r w:rsidRPr="00E12A56">
        <w:rPr>
          <w:b/>
          <w:bCs/>
          <w:color w:val="3366FF"/>
        </w:rPr>
        <w:t>Banks</w:t>
      </w:r>
      <w:r>
        <w:rPr>
          <w:color w:val="000080"/>
        </w:rPr>
        <w:t xml:space="preserve"> </w:t>
      </w:r>
      <w:r w:rsidRPr="00074586">
        <w:rPr>
          <w:color w:val="000080"/>
        </w:rPr>
        <w:t>receive</w:t>
      </w:r>
      <w:r>
        <w:rPr>
          <w:color w:val="000080"/>
        </w:rPr>
        <w:t xml:space="preserve"> </w:t>
      </w:r>
      <w:r w:rsidRPr="00074586">
        <w:rPr>
          <w:color w:val="000080"/>
        </w:rPr>
        <w:t>an</w:t>
      </w:r>
      <w:r>
        <w:rPr>
          <w:color w:val="000080"/>
        </w:rPr>
        <w:t xml:space="preserve"> </w:t>
      </w:r>
      <w:r w:rsidRPr="00074586">
        <w:rPr>
          <w:color w:val="000080"/>
        </w:rPr>
        <w:t>income</w:t>
      </w:r>
      <w:r>
        <w:rPr>
          <w:color w:val="000080"/>
        </w:rPr>
        <w:t xml:space="preserve"> </w:t>
      </w:r>
      <w:r w:rsidRPr="00074586">
        <w:rPr>
          <w:color w:val="000080"/>
        </w:rPr>
        <w:t>of</w:t>
      </w:r>
      <w:r>
        <w:rPr>
          <w:color w:val="000080"/>
        </w:rPr>
        <w:t xml:space="preserve"> </w:t>
      </w:r>
      <w:r w:rsidRPr="00E12A56">
        <w:rPr>
          <w:b/>
          <w:bCs/>
          <w:color w:val="3366FF"/>
        </w:rPr>
        <w:t>50</w:t>
      </w:r>
      <w:r>
        <w:rPr>
          <w:color w:val="000080"/>
        </w:rPr>
        <w:t xml:space="preserve"> </w:t>
      </w:r>
      <w:r w:rsidRPr="00074586">
        <w:rPr>
          <w:color w:val="000080"/>
        </w:rPr>
        <w:t>in</w:t>
      </w:r>
      <w:r>
        <w:rPr>
          <w:color w:val="000080"/>
        </w:rPr>
        <w:t xml:space="preserve"> </w:t>
      </w:r>
      <w:r w:rsidRPr="00074586">
        <w:rPr>
          <w:color w:val="000080"/>
        </w:rPr>
        <w:t>each</w:t>
      </w:r>
      <w:r>
        <w:rPr>
          <w:color w:val="000080"/>
        </w:rPr>
        <w:t xml:space="preserve"> </w:t>
      </w:r>
      <w:r w:rsidRPr="00074586">
        <w:rPr>
          <w:color w:val="000080"/>
        </w:rPr>
        <w:t>round,</w:t>
      </w:r>
      <w:r>
        <w:rPr>
          <w:color w:val="000080"/>
        </w:rPr>
        <w:t xml:space="preserve"> </w:t>
      </w:r>
      <w:r w:rsidRPr="00074586">
        <w:rPr>
          <w:color w:val="000080"/>
        </w:rPr>
        <w:t>but</w:t>
      </w:r>
      <w:r>
        <w:rPr>
          <w:color w:val="000080"/>
        </w:rPr>
        <w:t xml:space="preserve"> </w:t>
      </w:r>
      <w:r w:rsidRPr="00074586">
        <w:rPr>
          <w:color w:val="000080"/>
        </w:rPr>
        <w:t>an</w:t>
      </w:r>
      <w:r>
        <w:rPr>
          <w:color w:val="000080"/>
        </w:rPr>
        <w:t xml:space="preserve"> </w:t>
      </w:r>
      <w:r w:rsidRPr="00074586">
        <w:rPr>
          <w:b/>
          <w:bCs/>
          <w:color w:val="000080"/>
        </w:rPr>
        <w:t>illiquid</w:t>
      </w:r>
      <w:r>
        <w:rPr>
          <w:b/>
          <w:bCs/>
          <w:color w:val="000080"/>
        </w:rPr>
        <w:t xml:space="preserve"> </w:t>
      </w:r>
      <w:r w:rsidRPr="00074586">
        <w:rPr>
          <w:b/>
          <w:bCs/>
          <w:color w:val="000080"/>
        </w:rPr>
        <w:t>bank</w:t>
      </w:r>
      <w:r>
        <w:rPr>
          <w:color w:val="000080"/>
        </w:rPr>
        <w:t xml:space="preserve"> </w:t>
      </w:r>
      <w:r w:rsidRPr="00074586">
        <w:rPr>
          <w:color w:val="000080"/>
        </w:rPr>
        <w:t>must</w:t>
      </w:r>
      <w:r>
        <w:rPr>
          <w:color w:val="000080"/>
        </w:rPr>
        <w:t xml:space="preserve"> </w:t>
      </w:r>
      <w:r w:rsidRPr="00074586">
        <w:rPr>
          <w:color w:val="000080"/>
        </w:rPr>
        <w:t>either:</w:t>
      </w:r>
    </w:p>
    <w:p w14:paraId="722B3650" w14:textId="77777777" w:rsidR="00411BF9" w:rsidRPr="00074586" w:rsidRDefault="00411BF9" w:rsidP="00F86E09">
      <w:pPr>
        <w:widowControl w:val="0"/>
        <w:ind w:left="1710"/>
        <w:rPr>
          <w:color w:val="000080"/>
        </w:rPr>
      </w:pPr>
      <w:r w:rsidRPr="00E12A56">
        <w:rPr>
          <w:b/>
          <w:bCs/>
          <w:color w:val="3366FF"/>
        </w:rPr>
        <w:t>Sell some of its own assets</w:t>
      </w:r>
      <w:r>
        <w:rPr>
          <w:color w:val="000080"/>
        </w:rPr>
        <w:t xml:space="preserve"> </w:t>
      </w:r>
      <w:r w:rsidRPr="00074586">
        <w:rPr>
          <w:color w:val="000080"/>
        </w:rPr>
        <w:t>at</w:t>
      </w:r>
      <w:r>
        <w:rPr>
          <w:color w:val="000080"/>
        </w:rPr>
        <w:t xml:space="preserve"> </w:t>
      </w:r>
      <w:r w:rsidRPr="00074586">
        <w:rPr>
          <w:color w:val="000080"/>
        </w:rPr>
        <w:t>a</w:t>
      </w:r>
      <w:r>
        <w:rPr>
          <w:color w:val="000080"/>
        </w:rPr>
        <w:t xml:space="preserve"> </w:t>
      </w:r>
      <w:r w:rsidRPr="00074586">
        <w:rPr>
          <w:color w:val="000080"/>
        </w:rPr>
        <w:t>cost</w:t>
      </w:r>
      <w:r>
        <w:rPr>
          <w:color w:val="000080"/>
        </w:rPr>
        <w:t xml:space="preserve"> </w:t>
      </w:r>
      <w:r w:rsidRPr="00074586">
        <w:rPr>
          <w:color w:val="000080"/>
        </w:rPr>
        <w:t>of</w:t>
      </w:r>
      <w:r>
        <w:rPr>
          <w:color w:val="000080"/>
        </w:rPr>
        <w:t xml:space="preserve"> </w:t>
      </w:r>
      <w:r w:rsidRPr="00E12A56">
        <w:rPr>
          <w:b/>
          <w:bCs/>
          <w:color w:val="3366FF"/>
        </w:rPr>
        <w:t>40</w:t>
      </w:r>
      <w:r w:rsidRPr="00074586">
        <w:rPr>
          <w:color w:val="000080"/>
        </w:rPr>
        <w:t>,</w:t>
      </w:r>
      <w:r>
        <w:rPr>
          <w:color w:val="000080"/>
        </w:rPr>
        <w:t xml:space="preserve"> </w:t>
      </w:r>
      <w:r w:rsidRPr="00074586">
        <w:rPr>
          <w:color w:val="000080"/>
        </w:rPr>
        <w:t>or</w:t>
      </w:r>
      <w:r>
        <w:rPr>
          <w:color w:val="000080"/>
        </w:rPr>
        <w:t xml:space="preserve"> </w:t>
      </w:r>
    </w:p>
    <w:p w14:paraId="7ECF7D5D" w14:textId="77777777" w:rsidR="00411BF9" w:rsidRPr="00074586" w:rsidRDefault="00411BF9" w:rsidP="00F86E09">
      <w:pPr>
        <w:widowControl w:val="0"/>
        <w:ind w:left="1710"/>
        <w:rPr>
          <w:color w:val="000080"/>
        </w:rPr>
      </w:pPr>
      <w:r w:rsidRPr="00E12A56">
        <w:rPr>
          <w:b/>
          <w:bCs/>
          <w:color w:val="3366FF"/>
        </w:rPr>
        <w:t>Borrow from the Lender of Last Resort</w:t>
      </w:r>
      <w:r>
        <w:rPr>
          <w:color w:val="000080"/>
        </w:rPr>
        <w:t xml:space="preserve"> </w:t>
      </w:r>
      <w:r w:rsidRPr="00074586">
        <w:rPr>
          <w:color w:val="000080"/>
        </w:rPr>
        <w:t>at</w:t>
      </w:r>
      <w:r>
        <w:rPr>
          <w:color w:val="000080"/>
        </w:rPr>
        <w:t xml:space="preserve"> </w:t>
      </w:r>
      <w:r w:rsidRPr="00074586">
        <w:rPr>
          <w:color w:val="000080"/>
        </w:rPr>
        <w:t>a</w:t>
      </w:r>
      <w:r>
        <w:rPr>
          <w:color w:val="000080"/>
        </w:rPr>
        <w:t xml:space="preserve"> </w:t>
      </w:r>
      <w:r w:rsidRPr="00074586">
        <w:rPr>
          <w:color w:val="000080"/>
        </w:rPr>
        <w:t>cost</w:t>
      </w:r>
      <w:r>
        <w:rPr>
          <w:color w:val="000080"/>
        </w:rPr>
        <w:t xml:space="preserve"> </w:t>
      </w:r>
      <w:r w:rsidRPr="00074586">
        <w:rPr>
          <w:color w:val="000080"/>
        </w:rPr>
        <w:t>of</w:t>
      </w:r>
      <w:r>
        <w:rPr>
          <w:color w:val="000080"/>
        </w:rPr>
        <w:t xml:space="preserve"> </w:t>
      </w:r>
      <w:r w:rsidRPr="00E12A56">
        <w:rPr>
          <w:b/>
          <w:bCs/>
          <w:color w:val="3366FF"/>
        </w:rPr>
        <w:t>20</w:t>
      </w:r>
      <w:r w:rsidRPr="00074586">
        <w:rPr>
          <w:color w:val="000080"/>
        </w:rPr>
        <w:t>.</w:t>
      </w:r>
    </w:p>
    <w:p w14:paraId="22BA24E6" w14:textId="77777777" w:rsidR="00411BF9" w:rsidRPr="00065D3C" w:rsidRDefault="00411BF9" w:rsidP="00F86E09">
      <w:pPr>
        <w:widowControl w:val="0"/>
        <w:rPr>
          <w:color w:val="000080"/>
          <w:sz w:val="12"/>
          <w:szCs w:val="12"/>
        </w:rPr>
      </w:pPr>
    </w:p>
    <w:p w14:paraId="790964F9" w14:textId="5BB75163" w:rsidR="00411BF9" w:rsidRDefault="00411BF9" w:rsidP="00F86E09">
      <w:pPr>
        <w:widowControl w:val="0"/>
        <w:rPr>
          <w:color w:val="000080"/>
        </w:rPr>
      </w:pPr>
      <w:r w:rsidRPr="00411BF9">
        <w:rPr>
          <w:b/>
          <w:bCs/>
          <w:color w:val="FF0000"/>
        </w:rPr>
        <w:t>Note:</w:t>
      </w:r>
      <w:r w:rsidRPr="00411BF9">
        <w:rPr>
          <w:color w:val="000080"/>
        </w:rPr>
        <w:t xml:space="preserve"> If 1 </w:t>
      </w:r>
      <w:r w:rsidRPr="00E12A56">
        <w:rPr>
          <w:b/>
          <w:bCs/>
          <w:color w:val="3366FF"/>
        </w:rPr>
        <w:t>Bank</w:t>
      </w:r>
      <w:r w:rsidRPr="00411BF9">
        <w:rPr>
          <w:color w:val="000080"/>
        </w:rPr>
        <w:t xml:space="preserve"> borrows from the Lender of Last Resort, then there is a </w:t>
      </w:r>
      <w:r w:rsidRPr="00411BF9">
        <w:rPr>
          <w:b/>
          <w:bCs/>
          <w:color w:val="FF0000"/>
        </w:rPr>
        <w:t>75% chance</w:t>
      </w:r>
      <w:r w:rsidRPr="00411BF9">
        <w:rPr>
          <w:color w:val="000080"/>
        </w:rPr>
        <w:t xml:space="preserve"> that the </w:t>
      </w:r>
      <w:r w:rsidRPr="00E12A56">
        <w:rPr>
          <w:b/>
          <w:bCs/>
          <w:color w:val="FF6600"/>
        </w:rPr>
        <w:t>Investor</w:t>
      </w:r>
      <w:r w:rsidRPr="00411BF9">
        <w:rPr>
          <w:color w:val="000080"/>
        </w:rPr>
        <w:t xml:space="preserve"> will find out that the </w:t>
      </w:r>
      <w:r w:rsidRPr="00E12A56">
        <w:rPr>
          <w:b/>
          <w:bCs/>
          <w:color w:val="3366FF"/>
        </w:rPr>
        <w:t>Bank</w:t>
      </w:r>
      <w:r w:rsidRPr="00411BF9">
        <w:rPr>
          <w:color w:val="000080"/>
        </w:rPr>
        <w:t xml:space="preserve"> is illiquid before having to make an investment decision. If 2 banks are borrowing from the Lender of Last Resort, this chance of detection falls to </w:t>
      </w:r>
      <w:r w:rsidRPr="00411BF9">
        <w:rPr>
          <w:b/>
          <w:bCs/>
          <w:color w:val="FF0000"/>
        </w:rPr>
        <w:t>50%</w:t>
      </w:r>
      <w:r w:rsidRPr="00411BF9">
        <w:rPr>
          <w:color w:val="000080"/>
        </w:rPr>
        <w:t xml:space="preserve">, and the chance of detection is only </w:t>
      </w:r>
      <w:r w:rsidRPr="00411BF9">
        <w:rPr>
          <w:b/>
          <w:bCs/>
          <w:color w:val="FF0000"/>
        </w:rPr>
        <w:t xml:space="preserve">25% </w:t>
      </w:r>
      <w:r w:rsidRPr="00411BF9">
        <w:rPr>
          <w:color w:val="000080"/>
        </w:rPr>
        <w:t xml:space="preserve">if 3 or more banks are borrowing. In contrast, if an illiquid </w:t>
      </w:r>
      <w:r w:rsidRPr="00E12A56">
        <w:rPr>
          <w:b/>
          <w:bCs/>
          <w:color w:val="3366FF"/>
        </w:rPr>
        <w:t>Bank</w:t>
      </w:r>
      <w:r w:rsidRPr="00411BF9">
        <w:rPr>
          <w:color w:val="000080"/>
        </w:rPr>
        <w:t xml:space="preserve"> sells some of its own assets to raise funds, this action will not be observed by the </w:t>
      </w:r>
      <w:r w:rsidRPr="00E12A56">
        <w:rPr>
          <w:b/>
          <w:bCs/>
          <w:color w:val="FF6600"/>
        </w:rPr>
        <w:t>Investor</w:t>
      </w:r>
      <w:r w:rsidRPr="00411BF9">
        <w:rPr>
          <w:color w:val="000080"/>
        </w:rPr>
        <w:t>.</w:t>
      </w:r>
    </w:p>
    <w:p w14:paraId="5A264E8A" w14:textId="77777777" w:rsidR="00411BF9" w:rsidRPr="00411BF9" w:rsidRDefault="00411BF9" w:rsidP="00F86E09">
      <w:pPr>
        <w:widowControl w:val="0"/>
        <w:rPr>
          <w:color w:val="000080"/>
          <w:sz w:val="12"/>
          <w:szCs w:val="12"/>
        </w:rPr>
      </w:pPr>
    </w:p>
    <w:p w14:paraId="344C9186" w14:textId="77777777" w:rsidR="00411BF9" w:rsidRPr="00411BF9" w:rsidRDefault="00411BF9" w:rsidP="00F86E09">
      <w:pPr>
        <w:widowControl w:val="0"/>
        <w:rPr>
          <w:color w:val="000080"/>
          <w:sz w:val="12"/>
          <w:szCs w:val="12"/>
        </w:rPr>
      </w:pPr>
      <w:r w:rsidRPr="00411BF9">
        <w:rPr>
          <w:b/>
          <w:bCs/>
          <w:color w:val="000080"/>
          <w:u w:val="single"/>
        </w:rPr>
        <w:t>Period 2</w:t>
      </w:r>
      <w:r w:rsidRPr="00074586">
        <w:rPr>
          <w:b/>
          <w:bCs/>
          <w:color w:val="000080"/>
        </w:rPr>
        <w:t>:</w:t>
      </w:r>
      <w:r>
        <w:rPr>
          <w:color w:val="000080"/>
        </w:rPr>
        <w:t xml:space="preserve"> </w:t>
      </w:r>
      <w:r w:rsidRPr="00074586">
        <w:rPr>
          <w:color w:val="000080"/>
        </w:rPr>
        <w:t>The</w:t>
      </w:r>
      <w:r>
        <w:rPr>
          <w:color w:val="000080"/>
        </w:rPr>
        <w:t xml:space="preserve"> </w:t>
      </w:r>
      <w:r w:rsidRPr="00E12A56">
        <w:rPr>
          <w:b/>
          <w:bCs/>
          <w:color w:val="FF6600"/>
        </w:rPr>
        <w:t>Investor</w:t>
      </w:r>
      <w:r>
        <w:rPr>
          <w:color w:val="000080"/>
        </w:rPr>
        <w:t xml:space="preserve"> </w:t>
      </w:r>
      <w:r w:rsidRPr="00074586">
        <w:rPr>
          <w:color w:val="000080"/>
        </w:rPr>
        <w:t>first</w:t>
      </w:r>
      <w:r>
        <w:rPr>
          <w:color w:val="000080"/>
        </w:rPr>
        <w:t xml:space="preserve"> </w:t>
      </w:r>
      <w:r w:rsidRPr="00074586">
        <w:rPr>
          <w:color w:val="000080"/>
        </w:rPr>
        <w:t>learns</w:t>
      </w:r>
      <w:r>
        <w:rPr>
          <w:color w:val="000080"/>
        </w:rPr>
        <w:t xml:space="preserve"> </w:t>
      </w:r>
      <w:r w:rsidRPr="00074586">
        <w:rPr>
          <w:color w:val="000080"/>
        </w:rPr>
        <w:t>whether</w:t>
      </w:r>
      <w:r>
        <w:rPr>
          <w:color w:val="000080"/>
        </w:rPr>
        <w:t xml:space="preserve"> </w:t>
      </w:r>
      <w:r w:rsidRPr="00074586">
        <w:rPr>
          <w:color w:val="000080"/>
        </w:rPr>
        <w:t>or</w:t>
      </w:r>
      <w:r>
        <w:rPr>
          <w:color w:val="000080"/>
        </w:rPr>
        <w:t xml:space="preserve"> </w:t>
      </w:r>
      <w:r w:rsidRPr="00074586">
        <w:rPr>
          <w:color w:val="000080"/>
        </w:rPr>
        <w:t>not</w:t>
      </w:r>
      <w:r>
        <w:rPr>
          <w:color w:val="000080"/>
        </w:rPr>
        <w:t xml:space="preserve"> </w:t>
      </w:r>
      <w:r w:rsidRPr="00074586">
        <w:rPr>
          <w:color w:val="000080"/>
        </w:rPr>
        <w:t>the</w:t>
      </w:r>
      <w:r>
        <w:rPr>
          <w:color w:val="000080"/>
        </w:rPr>
        <w:t xml:space="preserve"> </w:t>
      </w:r>
      <w:r w:rsidRPr="00E12A56">
        <w:rPr>
          <w:b/>
          <w:bCs/>
          <w:color w:val="3366FF"/>
        </w:rPr>
        <w:t>Bank</w:t>
      </w:r>
      <w:r>
        <w:rPr>
          <w:color w:val="000080"/>
        </w:rPr>
        <w:t xml:space="preserve"> </w:t>
      </w:r>
      <w:r w:rsidRPr="00074586">
        <w:rPr>
          <w:color w:val="000080"/>
        </w:rPr>
        <w:t>was</w:t>
      </w:r>
      <w:r>
        <w:rPr>
          <w:color w:val="000080"/>
        </w:rPr>
        <w:t xml:space="preserve"> </w:t>
      </w:r>
      <w:r w:rsidRPr="00074586">
        <w:rPr>
          <w:color w:val="000080"/>
        </w:rPr>
        <w:t>observed</w:t>
      </w:r>
      <w:r>
        <w:rPr>
          <w:color w:val="000080"/>
        </w:rPr>
        <w:t xml:space="preserve"> </w:t>
      </w:r>
      <w:r w:rsidRPr="00074586">
        <w:rPr>
          <w:color w:val="000080"/>
        </w:rPr>
        <w:t>borrowing</w:t>
      </w:r>
      <w:r>
        <w:rPr>
          <w:color w:val="000080"/>
        </w:rPr>
        <w:t xml:space="preserve"> </w:t>
      </w:r>
      <w:r w:rsidRPr="00074586">
        <w:rPr>
          <w:color w:val="000080"/>
        </w:rPr>
        <w:t>from</w:t>
      </w:r>
      <w:r>
        <w:rPr>
          <w:color w:val="000080"/>
        </w:rPr>
        <w:t xml:space="preserve"> </w:t>
      </w:r>
      <w:r w:rsidRPr="00074586">
        <w:rPr>
          <w:color w:val="000080"/>
        </w:rPr>
        <w:t>the</w:t>
      </w:r>
      <w:r>
        <w:rPr>
          <w:color w:val="000080"/>
        </w:rPr>
        <w:t xml:space="preserve"> </w:t>
      </w:r>
      <w:r w:rsidRPr="00074586">
        <w:rPr>
          <w:color w:val="000080"/>
        </w:rPr>
        <w:t>Lender</w:t>
      </w:r>
      <w:r>
        <w:rPr>
          <w:color w:val="000080"/>
        </w:rPr>
        <w:t xml:space="preserve"> </w:t>
      </w:r>
      <w:r w:rsidRPr="00074586">
        <w:rPr>
          <w:color w:val="000080"/>
        </w:rPr>
        <w:t>of</w:t>
      </w:r>
      <w:r>
        <w:rPr>
          <w:color w:val="000080"/>
        </w:rPr>
        <w:t xml:space="preserve"> </w:t>
      </w:r>
      <w:r w:rsidRPr="00074586">
        <w:rPr>
          <w:color w:val="000080"/>
        </w:rPr>
        <w:t>Last</w:t>
      </w:r>
      <w:r>
        <w:rPr>
          <w:color w:val="000080"/>
        </w:rPr>
        <w:t xml:space="preserve"> </w:t>
      </w:r>
      <w:r w:rsidRPr="00074586">
        <w:rPr>
          <w:color w:val="000080"/>
        </w:rPr>
        <w:t>Resort.</w:t>
      </w:r>
      <w:r>
        <w:rPr>
          <w:color w:val="000080"/>
        </w:rPr>
        <w:t xml:space="preserve"> </w:t>
      </w:r>
      <w:r w:rsidRPr="00074586">
        <w:rPr>
          <w:color w:val="000080"/>
        </w:rPr>
        <w:t>Then</w:t>
      </w:r>
      <w:r>
        <w:rPr>
          <w:color w:val="000080"/>
        </w:rPr>
        <w:t xml:space="preserve"> </w:t>
      </w:r>
      <w:r w:rsidRPr="00074586">
        <w:rPr>
          <w:color w:val="000080"/>
        </w:rPr>
        <w:t>the</w:t>
      </w:r>
      <w:r>
        <w:rPr>
          <w:color w:val="000080"/>
        </w:rPr>
        <w:t xml:space="preserve"> </w:t>
      </w:r>
      <w:r w:rsidRPr="00E12A56">
        <w:rPr>
          <w:b/>
          <w:bCs/>
          <w:color w:val="FF6600"/>
        </w:rPr>
        <w:t>Investor</w:t>
      </w:r>
      <w:r>
        <w:rPr>
          <w:color w:val="000080"/>
        </w:rPr>
        <w:t xml:space="preserve"> </w:t>
      </w:r>
      <w:r w:rsidRPr="00074586">
        <w:rPr>
          <w:color w:val="000080"/>
        </w:rPr>
        <w:t>decides</w:t>
      </w:r>
      <w:r>
        <w:rPr>
          <w:color w:val="000080"/>
        </w:rPr>
        <w:t xml:space="preserve"> </w:t>
      </w:r>
      <w:r w:rsidRPr="00074586">
        <w:rPr>
          <w:color w:val="000080"/>
        </w:rPr>
        <w:t>whether</w:t>
      </w:r>
      <w:r>
        <w:rPr>
          <w:color w:val="000080"/>
        </w:rPr>
        <w:t xml:space="preserve"> </w:t>
      </w:r>
      <w:r w:rsidRPr="00074586">
        <w:rPr>
          <w:color w:val="000080"/>
        </w:rPr>
        <w:t>or</w:t>
      </w:r>
      <w:r>
        <w:rPr>
          <w:color w:val="000080"/>
        </w:rPr>
        <w:t xml:space="preserve"> </w:t>
      </w:r>
      <w:r w:rsidRPr="00074586">
        <w:rPr>
          <w:color w:val="000080"/>
        </w:rPr>
        <w:t>not</w:t>
      </w:r>
      <w:r>
        <w:rPr>
          <w:color w:val="000080"/>
        </w:rPr>
        <w:t xml:space="preserve"> </w:t>
      </w:r>
      <w:r w:rsidRPr="00074586">
        <w:rPr>
          <w:color w:val="000080"/>
        </w:rPr>
        <w:t>to</w:t>
      </w:r>
      <w:r>
        <w:rPr>
          <w:color w:val="000080"/>
        </w:rPr>
        <w:t xml:space="preserve"> </w:t>
      </w:r>
      <w:r w:rsidRPr="00074586">
        <w:rPr>
          <w:color w:val="000080"/>
        </w:rPr>
        <w:t>invest</w:t>
      </w:r>
      <w:r>
        <w:rPr>
          <w:color w:val="000080"/>
        </w:rPr>
        <w:t xml:space="preserve"> </w:t>
      </w:r>
      <w:r w:rsidRPr="00074586">
        <w:rPr>
          <w:color w:val="000080"/>
        </w:rPr>
        <w:t>in</w:t>
      </w:r>
      <w:r>
        <w:rPr>
          <w:color w:val="000080"/>
        </w:rPr>
        <w:t xml:space="preserve"> </w:t>
      </w:r>
      <w:r w:rsidRPr="00074586">
        <w:rPr>
          <w:color w:val="000080"/>
        </w:rPr>
        <w:t>the</w:t>
      </w:r>
      <w:r>
        <w:rPr>
          <w:color w:val="000080"/>
        </w:rPr>
        <w:t xml:space="preserve"> </w:t>
      </w:r>
      <w:r w:rsidRPr="00074586">
        <w:rPr>
          <w:color w:val="000080"/>
        </w:rPr>
        <w:t>bank.</w:t>
      </w:r>
      <w:r>
        <w:rPr>
          <w:color w:val="000080"/>
        </w:rPr>
        <w:t xml:space="preserve"> </w:t>
      </w:r>
      <w:r w:rsidRPr="00074586">
        <w:rPr>
          <w:color w:val="000080"/>
        </w:rPr>
        <w:br/>
      </w:r>
    </w:p>
    <w:p w14:paraId="78739EF6" w14:textId="787790BA" w:rsidR="00411BF9" w:rsidRPr="00074586" w:rsidRDefault="00411BF9" w:rsidP="00F86E09">
      <w:pPr>
        <w:widowControl w:val="0"/>
        <w:rPr>
          <w:color w:val="000080"/>
        </w:rPr>
      </w:pPr>
      <w:r w:rsidRPr="00074586">
        <w:rPr>
          <w:color w:val="000080"/>
        </w:rPr>
        <w:t>When</w:t>
      </w:r>
      <w:r>
        <w:rPr>
          <w:color w:val="000080"/>
        </w:rPr>
        <w:t xml:space="preserve"> </w:t>
      </w:r>
      <w:r w:rsidRPr="00074586">
        <w:rPr>
          <w:color w:val="000080"/>
        </w:rPr>
        <w:t>the</w:t>
      </w:r>
      <w:r>
        <w:rPr>
          <w:color w:val="000080"/>
        </w:rPr>
        <w:t xml:space="preserve"> </w:t>
      </w:r>
      <w:r w:rsidRPr="00E12A56">
        <w:rPr>
          <w:b/>
          <w:bCs/>
          <w:color w:val="FF6600"/>
        </w:rPr>
        <w:t>Investor DOES INVEST</w:t>
      </w:r>
      <w:r>
        <w:rPr>
          <w:color w:val="000080"/>
        </w:rPr>
        <w:t xml:space="preserve"> </w:t>
      </w:r>
      <w:r w:rsidRPr="00074586">
        <w:rPr>
          <w:color w:val="000080"/>
        </w:rPr>
        <w:t>in</w:t>
      </w:r>
      <w:r>
        <w:rPr>
          <w:color w:val="000080"/>
        </w:rPr>
        <w:t xml:space="preserve"> </w:t>
      </w:r>
      <w:r w:rsidRPr="00074586">
        <w:rPr>
          <w:color w:val="000080"/>
        </w:rPr>
        <w:t>the</w:t>
      </w:r>
      <w:r>
        <w:rPr>
          <w:color w:val="000080"/>
        </w:rPr>
        <w:t xml:space="preserve"> </w:t>
      </w:r>
      <w:r w:rsidRPr="00074586">
        <w:rPr>
          <w:color w:val="000080"/>
        </w:rPr>
        <w:t>bank,</w:t>
      </w:r>
    </w:p>
    <w:p w14:paraId="06A642F9" w14:textId="77777777" w:rsidR="00411BF9" w:rsidRPr="00074586" w:rsidRDefault="00411BF9" w:rsidP="00F86E09">
      <w:pPr>
        <w:widowControl w:val="0"/>
        <w:ind w:left="990"/>
        <w:rPr>
          <w:color w:val="000080"/>
        </w:rPr>
      </w:pPr>
      <w:r w:rsidRPr="00074586">
        <w:rPr>
          <w:color w:val="000080"/>
        </w:rPr>
        <w:t>The</w:t>
      </w:r>
      <w:r>
        <w:rPr>
          <w:color w:val="000080"/>
        </w:rPr>
        <w:t xml:space="preserve"> </w:t>
      </w:r>
      <w:r w:rsidRPr="00E12A56">
        <w:rPr>
          <w:b/>
          <w:bCs/>
          <w:color w:val="FF6600"/>
        </w:rPr>
        <w:t>Investor</w:t>
      </w:r>
      <w:r>
        <w:rPr>
          <w:color w:val="000080"/>
        </w:rPr>
        <w:t xml:space="preserve"> </w:t>
      </w:r>
      <w:r w:rsidRPr="00074586">
        <w:rPr>
          <w:color w:val="000080"/>
        </w:rPr>
        <w:t>receives</w:t>
      </w:r>
      <w:r>
        <w:rPr>
          <w:color w:val="000080"/>
        </w:rPr>
        <w:t xml:space="preserve"> </w:t>
      </w:r>
      <w:r w:rsidRPr="00074586">
        <w:rPr>
          <w:color w:val="000080"/>
        </w:rPr>
        <w:t>either</w:t>
      </w:r>
      <w:r>
        <w:rPr>
          <w:color w:val="000080"/>
        </w:rPr>
        <w:t xml:space="preserve"> </w:t>
      </w:r>
      <w:r w:rsidRPr="00E12A56">
        <w:rPr>
          <w:b/>
          <w:bCs/>
          <w:color w:val="FF6600"/>
        </w:rPr>
        <w:t>0</w:t>
      </w:r>
      <w:r>
        <w:rPr>
          <w:color w:val="000080"/>
        </w:rPr>
        <w:t xml:space="preserve"> </w:t>
      </w:r>
      <w:r w:rsidRPr="00074586">
        <w:rPr>
          <w:color w:val="000080"/>
        </w:rPr>
        <w:t>if</w:t>
      </w:r>
      <w:r>
        <w:rPr>
          <w:color w:val="000080"/>
        </w:rPr>
        <w:t xml:space="preserve"> </w:t>
      </w:r>
      <w:r w:rsidRPr="00074586">
        <w:rPr>
          <w:color w:val="000080"/>
        </w:rPr>
        <w:t>the</w:t>
      </w:r>
      <w:r>
        <w:rPr>
          <w:color w:val="000080"/>
        </w:rPr>
        <w:t xml:space="preserve"> </w:t>
      </w:r>
      <w:r w:rsidRPr="00074586">
        <w:rPr>
          <w:color w:val="000080"/>
        </w:rPr>
        <w:t>bank</w:t>
      </w:r>
      <w:r>
        <w:rPr>
          <w:color w:val="000080"/>
        </w:rPr>
        <w:t xml:space="preserve"> </w:t>
      </w:r>
      <w:r w:rsidRPr="00074586">
        <w:rPr>
          <w:color w:val="000080"/>
        </w:rPr>
        <w:t>is</w:t>
      </w:r>
      <w:r>
        <w:rPr>
          <w:color w:val="000080"/>
        </w:rPr>
        <w:t xml:space="preserve"> </w:t>
      </w:r>
      <w:r w:rsidRPr="00074586">
        <w:rPr>
          <w:b/>
          <w:bCs/>
          <w:color w:val="000080"/>
        </w:rPr>
        <w:t>insolvent</w:t>
      </w:r>
      <w:r>
        <w:rPr>
          <w:color w:val="000080"/>
        </w:rPr>
        <w:t xml:space="preserve"> </w:t>
      </w:r>
      <w:r w:rsidRPr="00074586">
        <w:rPr>
          <w:color w:val="000080"/>
        </w:rPr>
        <w:t>or</w:t>
      </w:r>
      <w:r>
        <w:rPr>
          <w:color w:val="000080"/>
        </w:rPr>
        <w:t xml:space="preserve"> </w:t>
      </w:r>
      <w:r w:rsidRPr="00E12A56">
        <w:rPr>
          <w:b/>
          <w:bCs/>
          <w:color w:val="FF6600"/>
        </w:rPr>
        <w:t>100</w:t>
      </w:r>
      <w:r>
        <w:rPr>
          <w:color w:val="000080"/>
        </w:rPr>
        <w:t xml:space="preserve"> </w:t>
      </w:r>
      <w:r w:rsidRPr="00074586">
        <w:rPr>
          <w:color w:val="000080"/>
        </w:rPr>
        <w:t>if</w:t>
      </w:r>
      <w:r>
        <w:rPr>
          <w:color w:val="000080"/>
        </w:rPr>
        <w:t xml:space="preserve"> </w:t>
      </w:r>
      <w:r w:rsidRPr="00074586">
        <w:rPr>
          <w:color w:val="000080"/>
        </w:rPr>
        <w:t>the</w:t>
      </w:r>
      <w:r>
        <w:rPr>
          <w:color w:val="000080"/>
        </w:rPr>
        <w:t xml:space="preserve"> </w:t>
      </w:r>
      <w:r w:rsidRPr="00074586">
        <w:rPr>
          <w:color w:val="000080"/>
        </w:rPr>
        <w:t>bank</w:t>
      </w:r>
      <w:r>
        <w:rPr>
          <w:color w:val="000080"/>
        </w:rPr>
        <w:t xml:space="preserve"> </w:t>
      </w:r>
      <w:r w:rsidRPr="00074586">
        <w:rPr>
          <w:color w:val="000080"/>
        </w:rPr>
        <w:t>is</w:t>
      </w:r>
      <w:r>
        <w:rPr>
          <w:color w:val="000080"/>
        </w:rPr>
        <w:t xml:space="preserve"> </w:t>
      </w:r>
      <w:r w:rsidRPr="00074586">
        <w:rPr>
          <w:b/>
          <w:bCs/>
          <w:color w:val="000080"/>
        </w:rPr>
        <w:t>solvent</w:t>
      </w:r>
      <w:r w:rsidRPr="00074586">
        <w:rPr>
          <w:color w:val="000080"/>
        </w:rPr>
        <w:t>.</w:t>
      </w:r>
    </w:p>
    <w:p w14:paraId="33640AD2" w14:textId="77777777" w:rsidR="00411BF9" w:rsidRPr="00074586" w:rsidRDefault="00411BF9" w:rsidP="00F86E09">
      <w:pPr>
        <w:widowControl w:val="0"/>
        <w:ind w:left="990"/>
        <w:rPr>
          <w:color w:val="000080"/>
        </w:rPr>
      </w:pPr>
      <w:r w:rsidRPr="00074586">
        <w:rPr>
          <w:color w:val="000080"/>
        </w:rPr>
        <w:t>The</w:t>
      </w:r>
      <w:r>
        <w:rPr>
          <w:color w:val="000080"/>
        </w:rPr>
        <w:t xml:space="preserve"> </w:t>
      </w:r>
      <w:r w:rsidRPr="00E12A56">
        <w:rPr>
          <w:b/>
          <w:bCs/>
          <w:color w:val="3366FF"/>
        </w:rPr>
        <w:t>Bank</w:t>
      </w:r>
      <w:r>
        <w:rPr>
          <w:color w:val="000080"/>
        </w:rPr>
        <w:t xml:space="preserve"> </w:t>
      </w:r>
      <w:r w:rsidRPr="00074586">
        <w:rPr>
          <w:color w:val="000080"/>
        </w:rPr>
        <w:t>can</w:t>
      </w:r>
      <w:r>
        <w:rPr>
          <w:color w:val="000080"/>
        </w:rPr>
        <w:t xml:space="preserve"> </w:t>
      </w:r>
      <w:r w:rsidRPr="00074586">
        <w:rPr>
          <w:color w:val="000080"/>
        </w:rPr>
        <w:t>operate</w:t>
      </w:r>
      <w:r>
        <w:rPr>
          <w:color w:val="000080"/>
        </w:rPr>
        <w:t xml:space="preserve"> </w:t>
      </w:r>
      <w:r w:rsidRPr="00074586">
        <w:rPr>
          <w:color w:val="000080"/>
        </w:rPr>
        <w:t>in</w:t>
      </w:r>
      <w:r>
        <w:rPr>
          <w:color w:val="000080"/>
        </w:rPr>
        <w:t xml:space="preserve"> </w:t>
      </w:r>
      <w:r w:rsidRPr="00074586">
        <w:rPr>
          <w:color w:val="000080"/>
        </w:rPr>
        <w:t>period</w:t>
      </w:r>
      <w:r>
        <w:rPr>
          <w:color w:val="000080"/>
        </w:rPr>
        <w:t xml:space="preserve"> </w:t>
      </w:r>
      <w:r w:rsidRPr="00074586">
        <w:rPr>
          <w:color w:val="000080"/>
        </w:rPr>
        <w:t>2</w:t>
      </w:r>
      <w:r>
        <w:rPr>
          <w:color w:val="000080"/>
        </w:rPr>
        <w:t xml:space="preserve"> </w:t>
      </w:r>
      <w:r w:rsidRPr="00074586">
        <w:rPr>
          <w:color w:val="000080"/>
        </w:rPr>
        <w:t>and</w:t>
      </w:r>
      <w:r>
        <w:rPr>
          <w:color w:val="000080"/>
        </w:rPr>
        <w:t xml:space="preserve"> </w:t>
      </w:r>
      <w:r w:rsidRPr="00074586">
        <w:rPr>
          <w:color w:val="000080"/>
        </w:rPr>
        <w:t>receives</w:t>
      </w:r>
      <w:r>
        <w:rPr>
          <w:color w:val="000080"/>
        </w:rPr>
        <w:t xml:space="preserve"> </w:t>
      </w:r>
      <w:r w:rsidRPr="00E12A56">
        <w:rPr>
          <w:b/>
          <w:bCs/>
          <w:color w:val="3366FF"/>
        </w:rPr>
        <w:t>50</w:t>
      </w:r>
      <w:r>
        <w:rPr>
          <w:color w:val="000080"/>
        </w:rPr>
        <w:t xml:space="preserve"> </w:t>
      </w:r>
      <w:r w:rsidRPr="00074586">
        <w:rPr>
          <w:b/>
          <w:bCs/>
          <w:color w:val="000080"/>
        </w:rPr>
        <w:t>whether</w:t>
      </w:r>
      <w:r>
        <w:rPr>
          <w:b/>
          <w:bCs/>
          <w:color w:val="000080"/>
        </w:rPr>
        <w:t xml:space="preserve"> </w:t>
      </w:r>
      <w:r w:rsidRPr="00074586">
        <w:rPr>
          <w:b/>
          <w:bCs/>
          <w:color w:val="000080"/>
        </w:rPr>
        <w:t>it</w:t>
      </w:r>
      <w:r>
        <w:rPr>
          <w:b/>
          <w:bCs/>
          <w:color w:val="000080"/>
        </w:rPr>
        <w:t xml:space="preserve"> </w:t>
      </w:r>
      <w:r w:rsidRPr="00074586">
        <w:rPr>
          <w:b/>
          <w:bCs/>
          <w:color w:val="000080"/>
        </w:rPr>
        <w:t>is</w:t>
      </w:r>
      <w:r>
        <w:rPr>
          <w:b/>
          <w:bCs/>
          <w:color w:val="000080"/>
        </w:rPr>
        <w:t xml:space="preserve"> </w:t>
      </w:r>
      <w:r w:rsidRPr="00074586">
        <w:rPr>
          <w:b/>
          <w:bCs/>
          <w:color w:val="000080"/>
        </w:rPr>
        <w:t>solvent</w:t>
      </w:r>
      <w:r>
        <w:rPr>
          <w:b/>
          <w:bCs/>
          <w:color w:val="000080"/>
        </w:rPr>
        <w:t xml:space="preserve"> </w:t>
      </w:r>
      <w:r w:rsidRPr="00074586">
        <w:rPr>
          <w:b/>
          <w:bCs/>
          <w:color w:val="000080"/>
        </w:rPr>
        <w:t>or</w:t>
      </w:r>
      <w:r>
        <w:rPr>
          <w:b/>
          <w:bCs/>
          <w:color w:val="000080"/>
        </w:rPr>
        <w:t xml:space="preserve"> </w:t>
      </w:r>
      <w:r w:rsidRPr="00074586">
        <w:rPr>
          <w:b/>
          <w:bCs/>
          <w:color w:val="000080"/>
        </w:rPr>
        <w:t>not</w:t>
      </w:r>
      <w:r w:rsidRPr="00074586">
        <w:rPr>
          <w:color w:val="000080"/>
        </w:rPr>
        <w:t>.</w:t>
      </w:r>
    </w:p>
    <w:p w14:paraId="532E4931" w14:textId="77777777" w:rsidR="00411BF9" w:rsidRPr="00411BF9" w:rsidRDefault="00411BF9" w:rsidP="00F86E09">
      <w:pPr>
        <w:widowControl w:val="0"/>
        <w:rPr>
          <w:color w:val="000080"/>
          <w:sz w:val="12"/>
          <w:szCs w:val="12"/>
        </w:rPr>
      </w:pPr>
    </w:p>
    <w:p w14:paraId="1FFFF541" w14:textId="1DF8219D" w:rsidR="00411BF9" w:rsidRPr="00411BF9" w:rsidRDefault="00411BF9" w:rsidP="00F86E09">
      <w:pPr>
        <w:widowControl w:val="0"/>
        <w:rPr>
          <w:color w:val="000080"/>
        </w:rPr>
      </w:pPr>
      <w:r w:rsidRPr="00411BF9">
        <w:rPr>
          <w:color w:val="000080"/>
        </w:rPr>
        <w:t xml:space="preserve">When the </w:t>
      </w:r>
      <w:r w:rsidRPr="00E12A56">
        <w:rPr>
          <w:b/>
          <w:bCs/>
          <w:color w:val="FF6600"/>
        </w:rPr>
        <w:t>Investor DOES NOT INVEST</w:t>
      </w:r>
      <w:r w:rsidRPr="00411BF9">
        <w:rPr>
          <w:color w:val="000080"/>
        </w:rPr>
        <w:t xml:space="preserve"> in the bank,</w:t>
      </w:r>
    </w:p>
    <w:p w14:paraId="397085B9" w14:textId="77777777" w:rsidR="00411BF9" w:rsidRPr="00074586" w:rsidRDefault="00411BF9" w:rsidP="00F86E09">
      <w:pPr>
        <w:widowControl w:val="0"/>
        <w:ind w:left="990"/>
        <w:rPr>
          <w:color w:val="000080"/>
        </w:rPr>
      </w:pPr>
      <w:r w:rsidRPr="00074586">
        <w:rPr>
          <w:color w:val="000080"/>
        </w:rPr>
        <w:t>The</w:t>
      </w:r>
      <w:r>
        <w:rPr>
          <w:color w:val="000080"/>
        </w:rPr>
        <w:t xml:space="preserve"> </w:t>
      </w:r>
      <w:r w:rsidRPr="00E12A56">
        <w:rPr>
          <w:b/>
          <w:bCs/>
          <w:color w:val="FF6600"/>
        </w:rPr>
        <w:t>Investor</w:t>
      </w:r>
      <w:r>
        <w:rPr>
          <w:color w:val="000080"/>
        </w:rPr>
        <w:t xml:space="preserve"> </w:t>
      </w:r>
      <w:r w:rsidRPr="00074586">
        <w:rPr>
          <w:color w:val="000080"/>
        </w:rPr>
        <w:t>receives</w:t>
      </w:r>
      <w:r>
        <w:rPr>
          <w:color w:val="000080"/>
        </w:rPr>
        <w:t xml:space="preserve"> </w:t>
      </w:r>
      <w:r w:rsidRPr="00E12A56">
        <w:rPr>
          <w:b/>
          <w:bCs/>
          <w:color w:val="FF6600"/>
        </w:rPr>
        <w:t>50</w:t>
      </w:r>
      <w:r w:rsidRPr="00074586">
        <w:rPr>
          <w:color w:val="000080"/>
        </w:rPr>
        <w:t>.</w:t>
      </w:r>
    </w:p>
    <w:p w14:paraId="2CC6CC25" w14:textId="77777777" w:rsidR="00411BF9" w:rsidRPr="00074586" w:rsidRDefault="00411BF9" w:rsidP="00F86E09">
      <w:pPr>
        <w:widowControl w:val="0"/>
        <w:ind w:left="990"/>
        <w:rPr>
          <w:color w:val="000080"/>
        </w:rPr>
      </w:pPr>
      <w:r w:rsidRPr="00074586">
        <w:rPr>
          <w:color w:val="000080"/>
        </w:rPr>
        <w:t>The</w:t>
      </w:r>
      <w:r>
        <w:rPr>
          <w:color w:val="000080"/>
        </w:rPr>
        <w:t xml:space="preserve"> </w:t>
      </w:r>
      <w:r w:rsidRPr="00E12A56">
        <w:rPr>
          <w:b/>
          <w:bCs/>
          <w:color w:val="3366FF"/>
        </w:rPr>
        <w:t>Bank</w:t>
      </w:r>
      <w:r>
        <w:rPr>
          <w:color w:val="000080"/>
        </w:rPr>
        <w:t xml:space="preserve"> </w:t>
      </w:r>
      <w:r w:rsidRPr="00074586">
        <w:rPr>
          <w:color w:val="000080"/>
        </w:rPr>
        <w:t>receives</w:t>
      </w:r>
      <w:r>
        <w:rPr>
          <w:color w:val="000080"/>
        </w:rPr>
        <w:t xml:space="preserve"> </w:t>
      </w:r>
      <w:r w:rsidRPr="00E12A56">
        <w:rPr>
          <w:b/>
          <w:bCs/>
          <w:color w:val="3366FF"/>
        </w:rPr>
        <w:t>0</w:t>
      </w:r>
      <w:r>
        <w:rPr>
          <w:color w:val="000080"/>
        </w:rPr>
        <w:t xml:space="preserve"> </w:t>
      </w:r>
      <w:r w:rsidRPr="00074586">
        <w:rPr>
          <w:color w:val="000080"/>
        </w:rPr>
        <w:t>in</w:t>
      </w:r>
      <w:r>
        <w:rPr>
          <w:color w:val="000080"/>
        </w:rPr>
        <w:t xml:space="preserve"> </w:t>
      </w:r>
      <w:r w:rsidRPr="00074586">
        <w:rPr>
          <w:color w:val="000080"/>
        </w:rPr>
        <w:t>period</w:t>
      </w:r>
      <w:r>
        <w:rPr>
          <w:color w:val="000080"/>
        </w:rPr>
        <w:t xml:space="preserve"> </w:t>
      </w:r>
      <w:r w:rsidRPr="00074586">
        <w:rPr>
          <w:color w:val="000080"/>
        </w:rPr>
        <w:t>2,</w:t>
      </w:r>
      <w:r>
        <w:rPr>
          <w:color w:val="000080"/>
        </w:rPr>
        <w:t xml:space="preserve"> </w:t>
      </w:r>
      <w:r w:rsidRPr="00074586">
        <w:rPr>
          <w:b/>
          <w:bCs/>
          <w:color w:val="000080"/>
        </w:rPr>
        <w:t>whether</w:t>
      </w:r>
      <w:r>
        <w:rPr>
          <w:b/>
          <w:bCs/>
          <w:color w:val="000080"/>
        </w:rPr>
        <w:t xml:space="preserve"> </w:t>
      </w:r>
      <w:r w:rsidRPr="00074586">
        <w:rPr>
          <w:b/>
          <w:bCs/>
          <w:color w:val="000080"/>
        </w:rPr>
        <w:t>it</w:t>
      </w:r>
      <w:r>
        <w:rPr>
          <w:b/>
          <w:bCs/>
          <w:color w:val="000080"/>
        </w:rPr>
        <w:t xml:space="preserve"> </w:t>
      </w:r>
      <w:r w:rsidRPr="00074586">
        <w:rPr>
          <w:b/>
          <w:bCs/>
          <w:color w:val="000080"/>
        </w:rPr>
        <w:t>is</w:t>
      </w:r>
      <w:r>
        <w:rPr>
          <w:b/>
          <w:bCs/>
          <w:color w:val="000080"/>
        </w:rPr>
        <w:t xml:space="preserve"> </w:t>
      </w:r>
      <w:r w:rsidRPr="00074586">
        <w:rPr>
          <w:b/>
          <w:bCs/>
          <w:color w:val="000080"/>
        </w:rPr>
        <w:t>solvent</w:t>
      </w:r>
      <w:r>
        <w:rPr>
          <w:b/>
          <w:bCs/>
          <w:color w:val="000080"/>
        </w:rPr>
        <w:t xml:space="preserve"> </w:t>
      </w:r>
      <w:r w:rsidRPr="00074586">
        <w:rPr>
          <w:b/>
          <w:bCs/>
          <w:color w:val="000080"/>
        </w:rPr>
        <w:t>or</w:t>
      </w:r>
      <w:r>
        <w:rPr>
          <w:b/>
          <w:bCs/>
          <w:color w:val="000080"/>
        </w:rPr>
        <w:t xml:space="preserve"> </w:t>
      </w:r>
      <w:r w:rsidRPr="00074586">
        <w:rPr>
          <w:b/>
          <w:bCs/>
          <w:color w:val="000080"/>
        </w:rPr>
        <w:t>not</w:t>
      </w:r>
      <w:r w:rsidRPr="00074586">
        <w:rPr>
          <w:color w:val="000080"/>
        </w:rPr>
        <w:t>.</w:t>
      </w:r>
    </w:p>
    <w:p w14:paraId="0AA113F5" w14:textId="77777777" w:rsidR="00411BF9" w:rsidRPr="00065D3C" w:rsidRDefault="00411BF9" w:rsidP="00F86E09">
      <w:pPr>
        <w:widowControl w:val="0"/>
        <w:ind w:right="-540"/>
        <w:outlineLvl w:val="2"/>
        <w:rPr>
          <w:b/>
          <w:bCs/>
          <w:color w:val="FF0000"/>
          <w:sz w:val="12"/>
          <w:szCs w:val="12"/>
        </w:rPr>
      </w:pPr>
    </w:p>
    <w:p w14:paraId="7E5804D7" w14:textId="4436575F" w:rsidR="00411BF9" w:rsidRDefault="00411BF9" w:rsidP="00F86E09">
      <w:pPr>
        <w:widowControl w:val="0"/>
        <w:outlineLvl w:val="2"/>
        <w:rPr>
          <w:color w:val="000080"/>
        </w:rPr>
      </w:pPr>
      <w:r w:rsidRPr="00411BF9">
        <w:rPr>
          <w:b/>
          <w:bCs/>
          <w:color w:val="FF0000"/>
        </w:rPr>
        <w:t>Special Earnings Announcement:</w:t>
      </w:r>
      <w:r w:rsidRPr="00411BF9">
        <w:rPr>
          <w:color w:val="000080"/>
        </w:rPr>
        <w:t xml:space="preserve"> The computer will keep track of your total earnings for all rounds. Your cash earnings will be </w:t>
      </w:r>
      <w:r>
        <w:rPr>
          <w:b/>
          <w:bCs/>
          <w:color w:val="000080"/>
        </w:rPr>
        <w:t>5</w:t>
      </w:r>
      <w:r w:rsidRPr="00411BF9">
        <w:rPr>
          <w:b/>
          <w:bCs/>
          <w:color w:val="000080"/>
        </w:rPr>
        <w:t>%</w:t>
      </w:r>
      <w:r w:rsidRPr="00411BF9">
        <w:rPr>
          <w:color w:val="000080"/>
        </w:rPr>
        <w:t xml:space="preserve"> of your total earnings at the end of the experiment.</w:t>
      </w:r>
    </w:p>
    <w:p w14:paraId="73C2A6DC" w14:textId="0D882D7A" w:rsidR="00411BF9" w:rsidRPr="00411BF9" w:rsidRDefault="00411BF9" w:rsidP="00F86E09">
      <w:pPr>
        <w:widowControl w:val="0"/>
        <w:outlineLvl w:val="2"/>
        <w:rPr>
          <w:b/>
          <w:bCs/>
          <w:color w:val="000080"/>
        </w:rPr>
      </w:pPr>
      <w:r>
        <w:rPr>
          <w:color w:val="000080"/>
        </w:rPr>
        <w:t>______________________________________________________________________________</w:t>
      </w:r>
    </w:p>
    <w:p w14:paraId="67EFE45F" w14:textId="7E45FAFA" w:rsidR="00F852CF" w:rsidRPr="00F852CF" w:rsidRDefault="00411BF9" w:rsidP="00F86E09">
      <w:pPr>
        <w:widowControl w:val="0"/>
      </w:pPr>
      <w:r w:rsidRPr="00074586">
        <w:rPr>
          <w:b/>
          <w:bCs/>
          <w:color w:val="FFA500"/>
        </w:rPr>
        <w:t>V</w:t>
      </w:r>
      <w:r w:rsidRPr="00074586">
        <w:rPr>
          <w:b/>
          <w:bCs/>
          <w:i/>
          <w:iCs/>
          <w:color w:val="000080"/>
        </w:rPr>
        <w:t>e</w:t>
      </w:r>
      <w:r w:rsidRPr="00074586">
        <w:rPr>
          <w:color w:val="000080"/>
        </w:rPr>
        <w:t>con</w:t>
      </w:r>
      <w:r>
        <w:rPr>
          <w:color w:val="000080"/>
        </w:rPr>
        <w:t xml:space="preserve"> </w:t>
      </w:r>
      <w:r w:rsidRPr="00074586">
        <w:rPr>
          <w:color w:val="000080"/>
        </w:rPr>
        <w:t>Lab</w:t>
      </w:r>
      <w:r>
        <w:rPr>
          <w:color w:val="000080"/>
        </w:rPr>
        <w:t xml:space="preserve"> </w:t>
      </w:r>
      <w:r w:rsidRPr="00074586">
        <w:rPr>
          <w:color w:val="000080"/>
        </w:rPr>
        <w:t>-</w:t>
      </w:r>
      <w:r>
        <w:rPr>
          <w:color w:val="000080"/>
        </w:rPr>
        <w:t xml:space="preserve"> </w:t>
      </w:r>
      <w:r w:rsidRPr="00074586">
        <w:rPr>
          <w:color w:val="000080"/>
        </w:rPr>
        <w:t>August</w:t>
      </w:r>
      <w:r>
        <w:rPr>
          <w:color w:val="000080"/>
        </w:rPr>
        <w:t xml:space="preserve"> </w:t>
      </w:r>
      <w:r w:rsidRPr="00074586">
        <w:rPr>
          <w:color w:val="000080"/>
        </w:rPr>
        <w:t>23,</w:t>
      </w:r>
      <w:r>
        <w:rPr>
          <w:color w:val="000080"/>
        </w:rPr>
        <w:t xml:space="preserve"> </w:t>
      </w:r>
      <w:r w:rsidRPr="00074586">
        <w:rPr>
          <w:color w:val="000080"/>
        </w:rPr>
        <w:t>2018</w:t>
      </w:r>
    </w:p>
    <w:p w14:paraId="562328CF" w14:textId="6DB8DF98" w:rsidR="00F72D79" w:rsidRDefault="00F72D79">
      <w:pPr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</w:rPr>
      </w:pPr>
      <w:r>
        <w:br w:type="page"/>
      </w:r>
    </w:p>
    <w:p w14:paraId="4239F841" w14:textId="54174E99" w:rsidR="00E962B0" w:rsidRDefault="00E962B0" w:rsidP="00E962B0">
      <w:pPr>
        <w:pStyle w:val="Heading1"/>
        <w:ind w:right="-180"/>
      </w:pPr>
      <w:r>
        <w:lastRenderedPageBreak/>
        <w:t>Appendix</w:t>
      </w:r>
      <w:r w:rsidR="009A0847">
        <w:t xml:space="preserve"> </w:t>
      </w:r>
      <w:r w:rsidR="00F72D79">
        <w:t>4</w:t>
      </w:r>
      <w:r w:rsidR="009A0847">
        <w:t xml:space="preserve"> </w:t>
      </w:r>
      <w:r>
        <w:t>:</w:t>
      </w:r>
      <w:r w:rsidR="009A0847">
        <w:t xml:space="preserve"> </w:t>
      </w:r>
      <w:r>
        <w:t>Session</w:t>
      </w:r>
      <w:r w:rsidR="009A0847">
        <w:t xml:space="preserve"> </w:t>
      </w:r>
      <w:r>
        <w:t>level</w:t>
      </w:r>
      <w:r w:rsidR="009A0847">
        <w:t xml:space="preserve"> </w:t>
      </w:r>
      <w:r>
        <w:t>Figures</w:t>
      </w:r>
    </w:p>
    <w:p w14:paraId="44F5B200" w14:textId="77777777" w:rsidR="00E962B0" w:rsidRDefault="00E962B0" w:rsidP="00E962B0">
      <w:pPr>
        <w:ind w:left="-630"/>
      </w:pPr>
    </w:p>
    <w:p w14:paraId="20BA826B" w14:textId="77777777" w:rsidR="00E962B0" w:rsidRDefault="00E962B0" w:rsidP="007B56DC">
      <w:pPr>
        <w:ind w:left="-270" w:right="-450" w:hanging="90"/>
      </w:pPr>
    </w:p>
    <w:p w14:paraId="2E2A033C" w14:textId="0E1B222F" w:rsidR="00E962B0" w:rsidRDefault="00E962B0" w:rsidP="007B56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70" w:right="-450" w:hanging="90"/>
        <w:jc w:val="center"/>
        <w:rPr>
          <w:b/>
          <w:u w:val="single"/>
        </w:rPr>
      </w:pPr>
      <w:r w:rsidRPr="00902060">
        <w:rPr>
          <w:b/>
          <w:u w:val="single"/>
        </w:rPr>
        <w:t>Figure</w:t>
      </w:r>
      <w:r w:rsidR="009A0847">
        <w:rPr>
          <w:b/>
          <w:u w:val="single"/>
        </w:rPr>
        <w:t xml:space="preserve"> </w:t>
      </w:r>
      <w:r>
        <w:rPr>
          <w:b/>
          <w:u w:val="single"/>
        </w:rPr>
        <w:t>1</w:t>
      </w:r>
      <w:r w:rsidRPr="00902060">
        <w:rPr>
          <w:b/>
          <w:u w:val="single"/>
        </w:rPr>
        <w:t>.1</w:t>
      </w:r>
      <w:r w:rsidR="009A0847">
        <w:rPr>
          <w:b/>
          <w:u w:val="single"/>
        </w:rPr>
        <w:t xml:space="preserve"> </w:t>
      </w:r>
      <w:r w:rsidRPr="00902060">
        <w:rPr>
          <w:b/>
          <w:u w:val="single"/>
        </w:rPr>
        <w:t>:</w:t>
      </w:r>
      <w:r w:rsidR="009A0847">
        <w:rPr>
          <w:b/>
          <w:u w:val="single"/>
        </w:rPr>
        <w:t xml:space="preserve"> </w:t>
      </w:r>
      <w:r w:rsidRPr="00902060">
        <w:rPr>
          <w:b/>
          <w:u w:val="single"/>
        </w:rPr>
        <w:t>Control</w:t>
      </w:r>
      <w:r w:rsidR="009A0847">
        <w:rPr>
          <w:b/>
          <w:u w:val="single"/>
        </w:rPr>
        <w:t xml:space="preserve"> </w:t>
      </w:r>
      <w:r w:rsidRPr="00902060">
        <w:rPr>
          <w:b/>
          <w:u w:val="single"/>
        </w:rPr>
        <w:t>Treatment</w:t>
      </w:r>
    </w:p>
    <w:p w14:paraId="1CCAEFC3" w14:textId="77777777" w:rsidR="00E962B0" w:rsidRPr="00E364BF" w:rsidRDefault="00E962B0" w:rsidP="007B56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70" w:right="-450" w:hanging="90"/>
        <w:jc w:val="center"/>
        <w:rPr>
          <w:b/>
          <w:sz w:val="14"/>
          <w:szCs w:val="14"/>
          <w:u w:val="single"/>
        </w:rPr>
      </w:pPr>
    </w:p>
    <w:p w14:paraId="305CD2F3" w14:textId="2E589924" w:rsidR="00E962B0" w:rsidRPr="00F74B37" w:rsidRDefault="009A0847" w:rsidP="007B56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70" w:right="-450" w:hanging="90"/>
        <w:rPr>
          <w:sz w:val="22"/>
          <w:szCs w:val="22"/>
        </w:rPr>
      </w:pPr>
      <w:r>
        <w:rPr>
          <w:sz w:val="20"/>
          <w:szCs w:val="20"/>
        </w:rPr>
        <w:t xml:space="preserve">                         </w:t>
      </w:r>
      <w:r w:rsidR="00E962B0" w:rsidRPr="00F74B37">
        <w:rPr>
          <w:sz w:val="22"/>
          <w:szCs w:val="22"/>
        </w:rPr>
        <w:t>Session</w:t>
      </w:r>
      <w:r>
        <w:rPr>
          <w:sz w:val="22"/>
          <w:szCs w:val="22"/>
        </w:rPr>
        <w:t xml:space="preserve"> </w:t>
      </w:r>
      <w:r w:rsidR="00E962B0">
        <w:rPr>
          <w:sz w:val="22"/>
          <w:szCs w:val="22"/>
        </w:rPr>
        <w:t>1</w:t>
      </w:r>
      <w:r>
        <w:rPr>
          <w:sz w:val="22"/>
          <w:szCs w:val="22"/>
        </w:rPr>
        <w:t xml:space="preserve"> </w:t>
      </w:r>
      <w:r w:rsidR="00E962B0">
        <w:rPr>
          <w:sz w:val="22"/>
          <w:szCs w:val="22"/>
        </w:rPr>
        <w:tab/>
      </w:r>
      <w:r w:rsidR="00E962B0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="00E962B0" w:rsidRPr="00F74B37">
        <w:rPr>
          <w:sz w:val="22"/>
          <w:szCs w:val="22"/>
        </w:rPr>
        <w:tab/>
      </w:r>
      <w:r>
        <w:rPr>
          <w:sz w:val="22"/>
          <w:szCs w:val="22"/>
        </w:rPr>
        <w:t xml:space="preserve">         </w:t>
      </w:r>
      <w:r w:rsidR="00E962B0" w:rsidRPr="00F74B37">
        <w:rPr>
          <w:sz w:val="22"/>
          <w:szCs w:val="22"/>
        </w:rPr>
        <w:t>Session</w:t>
      </w:r>
      <w:r>
        <w:rPr>
          <w:sz w:val="22"/>
          <w:szCs w:val="22"/>
        </w:rPr>
        <w:t xml:space="preserve"> </w:t>
      </w:r>
      <w:r w:rsidR="00E962B0" w:rsidRPr="00F74B37">
        <w:rPr>
          <w:sz w:val="22"/>
          <w:szCs w:val="22"/>
        </w:rPr>
        <w:t>2</w:t>
      </w:r>
      <w:r w:rsidR="00E962B0" w:rsidRPr="00F74B37">
        <w:rPr>
          <w:sz w:val="22"/>
          <w:szCs w:val="22"/>
        </w:rPr>
        <w:tab/>
      </w:r>
      <w:r w:rsidR="00E962B0" w:rsidRPr="00F74B37">
        <w:rPr>
          <w:sz w:val="22"/>
          <w:szCs w:val="22"/>
        </w:rPr>
        <w:tab/>
      </w:r>
      <w:r w:rsidR="00E962B0" w:rsidRPr="00F74B37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</w:t>
      </w:r>
      <w:r w:rsidR="00E962B0" w:rsidRPr="00F74B37">
        <w:rPr>
          <w:sz w:val="22"/>
          <w:szCs w:val="22"/>
        </w:rPr>
        <w:t>Session</w:t>
      </w:r>
      <w:r>
        <w:rPr>
          <w:sz w:val="22"/>
          <w:szCs w:val="22"/>
        </w:rPr>
        <w:t xml:space="preserve"> </w:t>
      </w:r>
      <w:r w:rsidR="00E962B0" w:rsidRPr="00F74B37">
        <w:rPr>
          <w:sz w:val="22"/>
          <w:szCs w:val="22"/>
        </w:rPr>
        <w:t>3</w:t>
      </w:r>
    </w:p>
    <w:p w14:paraId="74157636" w14:textId="2E3A1112" w:rsidR="00E962B0" w:rsidRPr="00DA59B8" w:rsidRDefault="00E962B0" w:rsidP="007B56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70" w:right="-450" w:hanging="90"/>
        <w:rPr>
          <w:noProof/>
          <w:sz w:val="2"/>
          <w:szCs w:val="2"/>
        </w:rPr>
      </w:pPr>
      <w:r>
        <w:rPr>
          <w:noProof/>
        </w:rPr>
        <w:drawing>
          <wp:inline distT="0" distB="0" distL="0" distR="0" wp14:anchorId="5E761E0D" wp14:editId="7F03B993">
            <wp:extent cx="1041400" cy="1197610"/>
            <wp:effectExtent l="0" t="0" r="12700" b="8890"/>
            <wp:docPr id="18" name="Chart 18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C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606A971" wp14:editId="37BC9896">
            <wp:extent cx="1060450" cy="1197610"/>
            <wp:effectExtent l="0" t="0" r="6350" b="8890"/>
            <wp:docPr id="17" name="Chart 17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C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  <w:r w:rsidR="009A0847">
        <w:rPr>
          <w:noProof/>
        </w:rPr>
        <w:t xml:space="preserve"> </w:t>
      </w:r>
      <w:r>
        <w:rPr>
          <w:noProof/>
        </w:rPr>
        <w:drawing>
          <wp:inline distT="0" distB="0" distL="0" distR="0" wp14:anchorId="034D94D7" wp14:editId="282CD1B8">
            <wp:extent cx="1041400" cy="1197610"/>
            <wp:effectExtent l="0" t="0" r="12700" b="8890"/>
            <wp:docPr id="23" name="Chart 2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C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11BE670" wp14:editId="057B8C32">
            <wp:extent cx="1060450" cy="1197610"/>
            <wp:effectExtent l="0" t="0" r="6350" b="8890"/>
            <wp:docPr id="24" name="Chart 2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C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  <w:r w:rsidR="009A0847">
        <w:rPr>
          <w:noProof/>
        </w:rPr>
        <w:t xml:space="preserve"> </w:t>
      </w:r>
      <w:r>
        <w:rPr>
          <w:noProof/>
        </w:rPr>
        <w:drawing>
          <wp:inline distT="0" distB="0" distL="0" distR="0" wp14:anchorId="5E9206C0" wp14:editId="05B52A48">
            <wp:extent cx="1041400" cy="1197610"/>
            <wp:effectExtent l="0" t="0" r="12700" b="8890"/>
            <wp:docPr id="25" name="Chart 25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C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FD70CB1" wp14:editId="73B2E82B">
            <wp:extent cx="1060450" cy="1197610"/>
            <wp:effectExtent l="0" t="0" r="6350" b="8890"/>
            <wp:docPr id="26" name="Chart 26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C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7664EFD2" w14:textId="77777777" w:rsidR="00E962B0" w:rsidRPr="00E364BF" w:rsidRDefault="00E962B0" w:rsidP="007B56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70" w:right="-450" w:hanging="90"/>
        <w:rPr>
          <w:sz w:val="14"/>
          <w:szCs w:val="14"/>
        </w:rPr>
      </w:pPr>
    </w:p>
    <w:p w14:paraId="19515562" w14:textId="1D3EB397" w:rsidR="00E962B0" w:rsidRDefault="009A0847" w:rsidP="007B56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70" w:right="-450" w:hanging="90"/>
        <w:rPr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  <w:r w:rsidR="00E962B0" w:rsidRPr="00F93216">
        <w:rPr>
          <w:sz w:val="20"/>
          <w:szCs w:val="20"/>
        </w:rPr>
        <w:t>Session</w:t>
      </w:r>
      <w:r>
        <w:rPr>
          <w:sz w:val="20"/>
          <w:szCs w:val="20"/>
        </w:rPr>
        <w:t xml:space="preserve"> </w:t>
      </w:r>
      <w:r w:rsidR="00E962B0">
        <w:rPr>
          <w:sz w:val="20"/>
          <w:szCs w:val="20"/>
        </w:rPr>
        <w:t>4</w:t>
      </w:r>
      <w:r>
        <w:rPr>
          <w:sz w:val="20"/>
          <w:szCs w:val="20"/>
        </w:rPr>
        <w:t xml:space="preserve"> </w:t>
      </w:r>
      <w:r w:rsidR="00E962B0">
        <w:rPr>
          <w:sz w:val="20"/>
          <w:szCs w:val="20"/>
        </w:rPr>
        <w:tab/>
      </w:r>
      <w:r w:rsidR="00E962B0">
        <w:rPr>
          <w:sz w:val="20"/>
          <w:szCs w:val="20"/>
        </w:rPr>
        <w:tab/>
      </w:r>
      <w:r w:rsidR="00E962B0">
        <w:rPr>
          <w:sz w:val="20"/>
          <w:szCs w:val="20"/>
        </w:rPr>
        <w:tab/>
      </w:r>
      <w:r w:rsidR="00E962B0">
        <w:rPr>
          <w:sz w:val="20"/>
          <w:szCs w:val="20"/>
        </w:rPr>
        <w:tab/>
      </w:r>
      <w:r>
        <w:rPr>
          <w:sz w:val="20"/>
          <w:szCs w:val="20"/>
        </w:rPr>
        <w:t xml:space="preserve">    </w:t>
      </w:r>
      <w:r w:rsidR="00E962B0" w:rsidRPr="00F93216">
        <w:rPr>
          <w:sz w:val="20"/>
          <w:szCs w:val="20"/>
        </w:rPr>
        <w:t>Session</w:t>
      </w:r>
      <w:r>
        <w:rPr>
          <w:sz w:val="20"/>
          <w:szCs w:val="20"/>
        </w:rPr>
        <w:t xml:space="preserve"> </w:t>
      </w:r>
      <w:r w:rsidR="00E962B0">
        <w:rPr>
          <w:sz w:val="20"/>
          <w:szCs w:val="20"/>
        </w:rPr>
        <w:t>5</w:t>
      </w:r>
      <w:r w:rsidR="00E962B0">
        <w:rPr>
          <w:sz w:val="20"/>
          <w:szCs w:val="20"/>
        </w:rPr>
        <w:tab/>
      </w:r>
      <w:r w:rsidR="00E962B0">
        <w:rPr>
          <w:sz w:val="20"/>
          <w:szCs w:val="20"/>
        </w:rPr>
        <w:tab/>
      </w:r>
      <w:r w:rsidR="00E962B0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</w:t>
      </w:r>
      <w:r w:rsidR="00E962B0">
        <w:rPr>
          <w:sz w:val="20"/>
          <w:szCs w:val="20"/>
        </w:rPr>
        <w:t>Session</w:t>
      </w:r>
      <w:r>
        <w:rPr>
          <w:sz w:val="20"/>
          <w:szCs w:val="20"/>
        </w:rPr>
        <w:t xml:space="preserve"> </w:t>
      </w:r>
      <w:r w:rsidR="00E962B0">
        <w:rPr>
          <w:sz w:val="20"/>
          <w:szCs w:val="20"/>
        </w:rPr>
        <w:t>6</w:t>
      </w:r>
    </w:p>
    <w:p w14:paraId="60456173" w14:textId="2118EF39" w:rsidR="00E962B0" w:rsidRPr="00DA59B8" w:rsidRDefault="00E962B0" w:rsidP="007B56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70" w:right="-450" w:hanging="90"/>
        <w:rPr>
          <w:noProof/>
          <w:sz w:val="2"/>
          <w:szCs w:val="2"/>
        </w:rPr>
      </w:pPr>
      <w:r>
        <w:rPr>
          <w:noProof/>
        </w:rPr>
        <w:drawing>
          <wp:inline distT="0" distB="0" distL="0" distR="0" wp14:anchorId="181265BA" wp14:editId="3B78D589">
            <wp:extent cx="1041400" cy="1197610"/>
            <wp:effectExtent l="0" t="0" r="12700" b="8890"/>
            <wp:docPr id="12" name="Chart 1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C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743D3A3" wp14:editId="1E259681">
            <wp:extent cx="1060450" cy="1197610"/>
            <wp:effectExtent l="0" t="0" r="6350" b="8890"/>
            <wp:docPr id="13" name="Chart 1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C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  <w:r w:rsidR="009A0847">
        <w:rPr>
          <w:noProof/>
        </w:rPr>
        <w:t xml:space="preserve"> </w:t>
      </w:r>
      <w:r>
        <w:rPr>
          <w:noProof/>
        </w:rPr>
        <w:drawing>
          <wp:inline distT="0" distB="0" distL="0" distR="0" wp14:anchorId="08728F7D" wp14:editId="00E88F94">
            <wp:extent cx="1041400" cy="1197610"/>
            <wp:effectExtent l="0" t="0" r="12700" b="8890"/>
            <wp:docPr id="19" name="Chart 19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C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6CC2F22" wp14:editId="257F4061">
            <wp:extent cx="1060450" cy="1197610"/>
            <wp:effectExtent l="0" t="0" r="6350" b="8890"/>
            <wp:docPr id="20" name="Chart 20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C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  <w:r w:rsidR="009A0847">
        <w:rPr>
          <w:noProof/>
        </w:rPr>
        <w:t xml:space="preserve"> </w:t>
      </w:r>
      <w:r>
        <w:rPr>
          <w:noProof/>
        </w:rPr>
        <w:drawing>
          <wp:inline distT="0" distB="0" distL="0" distR="0" wp14:anchorId="38D23352" wp14:editId="7FE8E21E">
            <wp:extent cx="1041400" cy="1197610"/>
            <wp:effectExtent l="0" t="0" r="12700" b="8890"/>
            <wp:docPr id="21" name="Chart 2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C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6F06243" wp14:editId="31953B95">
            <wp:extent cx="1060450" cy="1197610"/>
            <wp:effectExtent l="0" t="0" r="6350" b="8890"/>
            <wp:docPr id="22" name="Chart 2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C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14:paraId="60B8523D" w14:textId="77777777" w:rsidR="00E962B0" w:rsidRDefault="00E962B0" w:rsidP="007B56DC">
      <w:pPr>
        <w:ind w:left="-270" w:right="-450" w:hanging="90"/>
      </w:pPr>
    </w:p>
    <w:p w14:paraId="1A37E9B8" w14:textId="77777777" w:rsidR="00E962B0" w:rsidRDefault="00E962B0" w:rsidP="007B56DC">
      <w:pPr>
        <w:ind w:left="-270" w:right="-450" w:hanging="90"/>
      </w:pPr>
      <w:bookmarkStart w:id="3" w:name="OLE_LINK7"/>
      <w:bookmarkStart w:id="4" w:name="OLE_LINK8"/>
    </w:p>
    <w:p w14:paraId="6E0DFF79" w14:textId="77777777" w:rsidR="00E962B0" w:rsidRDefault="00E962B0" w:rsidP="007B56DC">
      <w:pPr>
        <w:ind w:left="-270" w:right="-450" w:hanging="90"/>
      </w:pPr>
    </w:p>
    <w:p w14:paraId="2A0EB7AD" w14:textId="3C3898D8" w:rsidR="00E962B0" w:rsidRDefault="00E962B0" w:rsidP="007B56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70" w:right="-450" w:hanging="90"/>
        <w:jc w:val="center"/>
        <w:rPr>
          <w:b/>
          <w:u w:val="single"/>
        </w:rPr>
      </w:pPr>
      <w:r w:rsidRPr="00902060">
        <w:rPr>
          <w:b/>
          <w:u w:val="single"/>
        </w:rPr>
        <w:t>Figure</w:t>
      </w:r>
      <w:r w:rsidR="009A0847">
        <w:rPr>
          <w:b/>
          <w:u w:val="single"/>
        </w:rPr>
        <w:t xml:space="preserve"> </w:t>
      </w:r>
      <w:r>
        <w:rPr>
          <w:b/>
          <w:u w:val="single"/>
        </w:rPr>
        <w:t>2</w:t>
      </w:r>
      <w:r w:rsidRPr="00902060">
        <w:rPr>
          <w:b/>
          <w:u w:val="single"/>
        </w:rPr>
        <w:t>.1</w:t>
      </w:r>
      <w:r w:rsidR="009A0847">
        <w:rPr>
          <w:b/>
          <w:u w:val="single"/>
        </w:rPr>
        <w:t xml:space="preserve"> </w:t>
      </w:r>
      <w:r w:rsidRPr="00902060">
        <w:rPr>
          <w:b/>
          <w:u w:val="single"/>
        </w:rPr>
        <w:t>:</w:t>
      </w:r>
      <w:r w:rsidR="009A0847">
        <w:rPr>
          <w:b/>
          <w:u w:val="single"/>
        </w:rPr>
        <w:t xml:space="preserve"> </w:t>
      </w:r>
      <w:r>
        <w:rPr>
          <w:b/>
          <w:u w:val="single"/>
        </w:rPr>
        <w:t>Low</w:t>
      </w:r>
      <w:r w:rsidR="009A0847">
        <w:rPr>
          <w:b/>
          <w:u w:val="single"/>
        </w:rPr>
        <w:t xml:space="preserve"> </w:t>
      </w:r>
      <w:r>
        <w:rPr>
          <w:b/>
          <w:u w:val="single"/>
        </w:rPr>
        <w:t>DW</w:t>
      </w:r>
      <w:r w:rsidR="009A0847">
        <w:rPr>
          <w:b/>
          <w:u w:val="single"/>
        </w:rPr>
        <w:t xml:space="preserve"> </w:t>
      </w:r>
      <w:r>
        <w:rPr>
          <w:b/>
          <w:u w:val="single"/>
        </w:rPr>
        <w:t>Cost</w:t>
      </w:r>
      <w:r w:rsidR="009A0847">
        <w:rPr>
          <w:b/>
          <w:u w:val="single"/>
        </w:rPr>
        <w:t xml:space="preserve"> </w:t>
      </w:r>
      <w:r w:rsidRPr="00902060">
        <w:rPr>
          <w:b/>
          <w:u w:val="single"/>
        </w:rPr>
        <w:t>Treatment</w:t>
      </w:r>
    </w:p>
    <w:p w14:paraId="11A91EEC" w14:textId="77777777" w:rsidR="00E962B0" w:rsidRPr="00E364BF" w:rsidRDefault="00E962B0" w:rsidP="007B56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70" w:right="-450" w:hanging="90"/>
        <w:jc w:val="center"/>
        <w:rPr>
          <w:b/>
          <w:sz w:val="14"/>
          <w:szCs w:val="14"/>
          <w:u w:val="single"/>
        </w:rPr>
      </w:pPr>
    </w:p>
    <w:p w14:paraId="20140A9E" w14:textId="34279B97" w:rsidR="00E962B0" w:rsidRPr="00F74B37" w:rsidRDefault="009A0847" w:rsidP="007B56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70" w:right="-450" w:hanging="90"/>
        <w:rPr>
          <w:sz w:val="22"/>
          <w:szCs w:val="22"/>
        </w:rPr>
      </w:pPr>
      <w:r>
        <w:rPr>
          <w:sz w:val="20"/>
          <w:szCs w:val="20"/>
        </w:rPr>
        <w:t xml:space="preserve">                         </w:t>
      </w:r>
      <w:r w:rsidR="00E962B0" w:rsidRPr="00F74B37">
        <w:rPr>
          <w:sz w:val="22"/>
          <w:szCs w:val="22"/>
        </w:rPr>
        <w:t>Session</w:t>
      </w:r>
      <w:r>
        <w:rPr>
          <w:sz w:val="22"/>
          <w:szCs w:val="22"/>
        </w:rPr>
        <w:t xml:space="preserve"> </w:t>
      </w:r>
      <w:r w:rsidR="00E962B0">
        <w:rPr>
          <w:sz w:val="22"/>
          <w:szCs w:val="22"/>
        </w:rPr>
        <w:t>1</w:t>
      </w:r>
      <w:r>
        <w:rPr>
          <w:sz w:val="22"/>
          <w:szCs w:val="22"/>
        </w:rPr>
        <w:t xml:space="preserve"> </w:t>
      </w:r>
      <w:r w:rsidR="00E962B0">
        <w:rPr>
          <w:sz w:val="22"/>
          <w:szCs w:val="22"/>
        </w:rPr>
        <w:tab/>
      </w:r>
      <w:r w:rsidR="00E962B0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="00E962B0" w:rsidRPr="00F74B37">
        <w:rPr>
          <w:sz w:val="22"/>
          <w:szCs w:val="22"/>
        </w:rPr>
        <w:tab/>
      </w:r>
      <w:r>
        <w:rPr>
          <w:sz w:val="22"/>
          <w:szCs w:val="22"/>
        </w:rPr>
        <w:t xml:space="preserve">         </w:t>
      </w:r>
      <w:r w:rsidR="00E962B0" w:rsidRPr="00F74B37">
        <w:rPr>
          <w:sz w:val="22"/>
          <w:szCs w:val="22"/>
        </w:rPr>
        <w:t>Session</w:t>
      </w:r>
      <w:r>
        <w:rPr>
          <w:sz w:val="22"/>
          <w:szCs w:val="22"/>
        </w:rPr>
        <w:t xml:space="preserve"> </w:t>
      </w:r>
      <w:r w:rsidR="00E962B0" w:rsidRPr="00F74B37">
        <w:rPr>
          <w:sz w:val="22"/>
          <w:szCs w:val="22"/>
        </w:rPr>
        <w:t>2</w:t>
      </w:r>
      <w:r w:rsidR="00E962B0" w:rsidRPr="00F74B37">
        <w:rPr>
          <w:sz w:val="22"/>
          <w:szCs w:val="22"/>
        </w:rPr>
        <w:tab/>
      </w:r>
      <w:r w:rsidR="00E962B0" w:rsidRPr="00F74B37">
        <w:rPr>
          <w:sz w:val="22"/>
          <w:szCs w:val="22"/>
        </w:rPr>
        <w:tab/>
      </w:r>
      <w:r w:rsidR="00E962B0" w:rsidRPr="00F74B37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</w:t>
      </w:r>
      <w:r w:rsidR="00E962B0" w:rsidRPr="00F74B37">
        <w:rPr>
          <w:sz w:val="22"/>
          <w:szCs w:val="22"/>
        </w:rPr>
        <w:t>Session</w:t>
      </w:r>
      <w:r>
        <w:rPr>
          <w:sz w:val="22"/>
          <w:szCs w:val="22"/>
        </w:rPr>
        <w:t xml:space="preserve"> </w:t>
      </w:r>
      <w:r w:rsidR="00E962B0" w:rsidRPr="00F74B37">
        <w:rPr>
          <w:sz w:val="22"/>
          <w:szCs w:val="22"/>
        </w:rPr>
        <w:t>3</w:t>
      </w:r>
    </w:p>
    <w:p w14:paraId="3BE822CB" w14:textId="2A8CE0B9" w:rsidR="00E962B0" w:rsidRPr="00DA59B8" w:rsidRDefault="00E962B0" w:rsidP="007B56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70" w:right="-450" w:hanging="90"/>
        <w:rPr>
          <w:noProof/>
          <w:sz w:val="2"/>
          <w:szCs w:val="2"/>
        </w:rPr>
      </w:pPr>
      <w:r>
        <w:rPr>
          <w:noProof/>
        </w:rPr>
        <w:drawing>
          <wp:inline distT="0" distB="0" distL="0" distR="0" wp14:anchorId="59D91283" wp14:editId="70A7126F">
            <wp:extent cx="1041400" cy="1197610"/>
            <wp:effectExtent l="0" t="0" r="12700" b="8890"/>
            <wp:docPr id="27" name="Chart 27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C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6F2FB76" wp14:editId="547B1779">
            <wp:extent cx="1060450" cy="1197610"/>
            <wp:effectExtent l="0" t="0" r="6350" b="8890"/>
            <wp:docPr id="28" name="Chart 28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C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  <w:r w:rsidR="009A0847">
        <w:rPr>
          <w:noProof/>
        </w:rPr>
        <w:t xml:space="preserve"> </w:t>
      </w:r>
      <w:r>
        <w:rPr>
          <w:noProof/>
        </w:rPr>
        <w:drawing>
          <wp:inline distT="0" distB="0" distL="0" distR="0" wp14:anchorId="13783DA5" wp14:editId="11404D35">
            <wp:extent cx="1041400" cy="1197610"/>
            <wp:effectExtent l="0" t="0" r="12700" b="8890"/>
            <wp:docPr id="29" name="Chart 29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C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9E97ACD" wp14:editId="6ADEB255">
            <wp:extent cx="1060450" cy="1197610"/>
            <wp:effectExtent l="0" t="0" r="6350" b="8890"/>
            <wp:docPr id="30" name="Chart 30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C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  <w:r w:rsidR="009A0847">
        <w:rPr>
          <w:noProof/>
        </w:rPr>
        <w:t xml:space="preserve"> </w:t>
      </w:r>
      <w:r>
        <w:rPr>
          <w:noProof/>
        </w:rPr>
        <w:drawing>
          <wp:inline distT="0" distB="0" distL="0" distR="0" wp14:anchorId="2AD9D254" wp14:editId="7C6C5D0A">
            <wp:extent cx="1041400" cy="1197610"/>
            <wp:effectExtent l="0" t="0" r="12700" b="8890"/>
            <wp:docPr id="31" name="Chart 3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C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A44E68B" wp14:editId="643A33B4">
            <wp:extent cx="1060450" cy="1197610"/>
            <wp:effectExtent l="0" t="0" r="6350" b="8890"/>
            <wp:docPr id="32" name="Chart 3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C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14:paraId="538BA5F4" w14:textId="77777777" w:rsidR="00E962B0" w:rsidRPr="00E364BF" w:rsidRDefault="00E962B0" w:rsidP="007B56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70" w:right="-450" w:hanging="90"/>
        <w:rPr>
          <w:sz w:val="14"/>
          <w:szCs w:val="14"/>
        </w:rPr>
      </w:pPr>
    </w:p>
    <w:p w14:paraId="2F6A642C" w14:textId="1AAFAFDE" w:rsidR="00E962B0" w:rsidRDefault="009A0847" w:rsidP="007B56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70" w:right="-450" w:hanging="90"/>
        <w:rPr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  <w:r w:rsidR="00E962B0" w:rsidRPr="00F93216">
        <w:rPr>
          <w:sz w:val="20"/>
          <w:szCs w:val="20"/>
        </w:rPr>
        <w:t>Session</w:t>
      </w:r>
      <w:r>
        <w:rPr>
          <w:sz w:val="20"/>
          <w:szCs w:val="20"/>
        </w:rPr>
        <w:t xml:space="preserve"> </w:t>
      </w:r>
      <w:r w:rsidR="00E962B0">
        <w:rPr>
          <w:sz w:val="20"/>
          <w:szCs w:val="20"/>
        </w:rPr>
        <w:t>4</w:t>
      </w:r>
      <w:r>
        <w:rPr>
          <w:sz w:val="20"/>
          <w:szCs w:val="20"/>
        </w:rPr>
        <w:t xml:space="preserve"> </w:t>
      </w:r>
      <w:r w:rsidR="00E962B0">
        <w:rPr>
          <w:sz w:val="20"/>
          <w:szCs w:val="20"/>
        </w:rPr>
        <w:tab/>
      </w:r>
      <w:r w:rsidR="00E962B0">
        <w:rPr>
          <w:sz w:val="20"/>
          <w:szCs w:val="20"/>
        </w:rPr>
        <w:tab/>
      </w:r>
      <w:r w:rsidR="00E962B0">
        <w:rPr>
          <w:sz w:val="20"/>
          <w:szCs w:val="20"/>
        </w:rPr>
        <w:tab/>
      </w:r>
      <w:r>
        <w:rPr>
          <w:sz w:val="20"/>
          <w:szCs w:val="20"/>
        </w:rPr>
        <w:t xml:space="preserve">           </w:t>
      </w:r>
      <w:r w:rsidR="00E962B0" w:rsidRPr="00F93216">
        <w:rPr>
          <w:sz w:val="20"/>
          <w:szCs w:val="20"/>
        </w:rPr>
        <w:t>Session</w:t>
      </w:r>
      <w:r>
        <w:rPr>
          <w:sz w:val="20"/>
          <w:szCs w:val="20"/>
        </w:rPr>
        <w:t xml:space="preserve"> </w:t>
      </w:r>
      <w:r w:rsidR="00E962B0">
        <w:rPr>
          <w:sz w:val="20"/>
          <w:szCs w:val="20"/>
        </w:rPr>
        <w:t>5</w:t>
      </w:r>
      <w:r w:rsidR="00E962B0">
        <w:rPr>
          <w:sz w:val="20"/>
          <w:szCs w:val="20"/>
        </w:rPr>
        <w:tab/>
      </w:r>
      <w:r w:rsidR="00E962B0">
        <w:rPr>
          <w:sz w:val="20"/>
          <w:szCs w:val="20"/>
        </w:rPr>
        <w:tab/>
      </w:r>
      <w:r w:rsidR="00E962B0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</w:t>
      </w:r>
      <w:r w:rsidR="00E962B0">
        <w:rPr>
          <w:sz w:val="20"/>
          <w:szCs w:val="20"/>
        </w:rPr>
        <w:t>Session</w:t>
      </w:r>
      <w:r>
        <w:rPr>
          <w:sz w:val="20"/>
          <w:szCs w:val="20"/>
        </w:rPr>
        <w:t xml:space="preserve"> </w:t>
      </w:r>
      <w:r w:rsidR="00E962B0">
        <w:rPr>
          <w:sz w:val="20"/>
          <w:szCs w:val="20"/>
        </w:rPr>
        <w:t>6</w:t>
      </w:r>
    </w:p>
    <w:p w14:paraId="1F91C05B" w14:textId="106E492A" w:rsidR="00E962B0" w:rsidRPr="00DA59B8" w:rsidRDefault="00E962B0" w:rsidP="007B56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70" w:right="-450" w:hanging="90"/>
        <w:rPr>
          <w:noProof/>
          <w:sz w:val="2"/>
          <w:szCs w:val="2"/>
        </w:rPr>
      </w:pPr>
      <w:r>
        <w:rPr>
          <w:noProof/>
        </w:rPr>
        <w:drawing>
          <wp:inline distT="0" distB="0" distL="0" distR="0" wp14:anchorId="5071F0F6" wp14:editId="27DE6FF6">
            <wp:extent cx="1041400" cy="1197610"/>
            <wp:effectExtent l="0" t="0" r="12700" b="8890"/>
            <wp:docPr id="33" name="Chart 3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C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4FC4D8A" wp14:editId="1B79F59A">
            <wp:extent cx="1060450" cy="1197610"/>
            <wp:effectExtent l="0" t="0" r="6350" b="8890"/>
            <wp:docPr id="34" name="Chart 3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C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  <w:r w:rsidR="009A0847">
        <w:rPr>
          <w:noProof/>
        </w:rPr>
        <w:t xml:space="preserve"> </w:t>
      </w:r>
      <w:r>
        <w:rPr>
          <w:noProof/>
        </w:rPr>
        <w:drawing>
          <wp:inline distT="0" distB="0" distL="0" distR="0" wp14:anchorId="4070183E" wp14:editId="30CFE87E">
            <wp:extent cx="1041400" cy="1197610"/>
            <wp:effectExtent l="0" t="0" r="12700" b="8890"/>
            <wp:docPr id="35" name="Chart 35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C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F46B5C9" wp14:editId="6B8C36E8">
            <wp:extent cx="1060450" cy="1197610"/>
            <wp:effectExtent l="0" t="0" r="6350" b="8890"/>
            <wp:docPr id="36" name="Chart 36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C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  <w:r w:rsidR="009A0847">
        <w:rPr>
          <w:noProof/>
        </w:rPr>
        <w:t xml:space="preserve"> </w:t>
      </w:r>
      <w:r>
        <w:rPr>
          <w:noProof/>
        </w:rPr>
        <w:drawing>
          <wp:inline distT="0" distB="0" distL="0" distR="0" wp14:anchorId="0F648687" wp14:editId="123DAEE1">
            <wp:extent cx="1041400" cy="1197610"/>
            <wp:effectExtent l="0" t="0" r="12700" b="8890"/>
            <wp:docPr id="37" name="Chart 37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C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F5216FC" wp14:editId="636A9C7E">
            <wp:extent cx="1060450" cy="1197610"/>
            <wp:effectExtent l="0" t="0" r="6350" b="8890"/>
            <wp:docPr id="38" name="Chart 38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C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14:paraId="358D2AC4" w14:textId="77777777" w:rsidR="00E962B0" w:rsidRDefault="00E962B0" w:rsidP="007B56DC">
      <w:pPr>
        <w:ind w:left="-270" w:right="-450" w:hanging="90"/>
      </w:pPr>
    </w:p>
    <w:bookmarkEnd w:id="3"/>
    <w:bookmarkEnd w:id="4"/>
    <w:p w14:paraId="03AE7487" w14:textId="77777777" w:rsidR="00E962B0" w:rsidRDefault="00E962B0" w:rsidP="007B56DC">
      <w:pPr>
        <w:ind w:left="-270" w:right="-450" w:hanging="90"/>
      </w:pPr>
    </w:p>
    <w:p w14:paraId="56B911EB" w14:textId="77777777" w:rsidR="00E962B0" w:rsidRDefault="00E962B0" w:rsidP="007B56DC">
      <w:pPr>
        <w:ind w:left="-270" w:right="-450" w:hanging="90"/>
      </w:pPr>
    </w:p>
    <w:p w14:paraId="14F14B07" w14:textId="77777777" w:rsidR="00E962B0" w:rsidRDefault="00E962B0" w:rsidP="007B56DC">
      <w:pPr>
        <w:ind w:left="-270" w:right="-450" w:hanging="90"/>
      </w:pPr>
    </w:p>
    <w:p w14:paraId="07D7F92E" w14:textId="77777777" w:rsidR="00E962B0" w:rsidRDefault="00E962B0" w:rsidP="007B56DC">
      <w:pPr>
        <w:ind w:left="-270" w:right="-450" w:hanging="90"/>
      </w:pPr>
    </w:p>
    <w:p w14:paraId="037EFE94" w14:textId="77777777" w:rsidR="00E962B0" w:rsidRDefault="00E962B0" w:rsidP="007B56DC">
      <w:pPr>
        <w:ind w:left="-270" w:right="-450" w:hanging="90"/>
      </w:pPr>
    </w:p>
    <w:p w14:paraId="39F93554" w14:textId="77777777" w:rsidR="00E962B0" w:rsidRDefault="00E962B0" w:rsidP="007B56DC">
      <w:pPr>
        <w:ind w:left="-270" w:right="-450" w:hanging="90"/>
      </w:pPr>
    </w:p>
    <w:p w14:paraId="287FAEE2" w14:textId="4B4FEFEC" w:rsidR="00E962B0" w:rsidRDefault="00E962B0" w:rsidP="007B56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70" w:right="-450" w:hanging="90"/>
        <w:jc w:val="center"/>
        <w:rPr>
          <w:b/>
          <w:u w:val="single"/>
        </w:rPr>
      </w:pPr>
      <w:r w:rsidRPr="00902060">
        <w:rPr>
          <w:b/>
          <w:u w:val="single"/>
        </w:rPr>
        <w:t>Figure</w:t>
      </w:r>
      <w:r w:rsidR="009A0847">
        <w:rPr>
          <w:b/>
          <w:u w:val="single"/>
        </w:rPr>
        <w:t xml:space="preserve"> </w:t>
      </w:r>
      <w:r>
        <w:rPr>
          <w:b/>
          <w:u w:val="single"/>
        </w:rPr>
        <w:t>3</w:t>
      </w:r>
      <w:r w:rsidRPr="00902060">
        <w:rPr>
          <w:b/>
          <w:u w:val="single"/>
        </w:rPr>
        <w:t>.1</w:t>
      </w:r>
      <w:r w:rsidR="009A0847">
        <w:rPr>
          <w:b/>
          <w:u w:val="single"/>
        </w:rPr>
        <w:t xml:space="preserve"> </w:t>
      </w:r>
      <w:r w:rsidRPr="00902060">
        <w:rPr>
          <w:b/>
          <w:u w:val="single"/>
        </w:rPr>
        <w:t>:</w:t>
      </w:r>
      <w:r w:rsidR="009A0847">
        <w:rPr>
          <w:b/>
          <w:u w:val="single"/>
        </w:rPr>
        <w:t xml:space="preserve"> </w:t>
      </w:r>
      <w:r>
        <w:rPr>
          <w:b/>
          <w:u w:val="single"/>
        </w:rPr>
        <w:t>Random</w:t>
      </w:r>
      <w:r w:rsidR="009A0847">
        <w:rPr>
          <w:b/>
          <w:u w:val="single"/>
        </w:rPr>
        <w:t xml:space="preserve"> </w:t>
      </w:r>
      <w:r>
        <w:rPr>
          <w:b/>
          <w:u w:val="single"/>
        </w:rPr>
        <w:t>Borrowing</w:t>
      </w:r>
      <w:r w:rsidR="009A0847">
        <w:rPr>
          <w:b/>
          <w:u w:val="single"/>
        </w:rPr>
        <w:t xml:space="preserve"> </w:t>
      </w:r>
      <w:r w:rsidRPr="00902060">
        <w:rPr>
          <w:b/>
          <w:u w:val="single"/>
        </w:rPr>
        <w:t>Treatment</w:t>
      </w:r>
    </w:p>
    <w:p w14:paraId="4564E600" w14:textId="77777777" w:rsidR="00E962B0" w:rsidRPr="00E364BF" w:rsidRDefault="00E962B0" w:rsidP="007B56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70" w:right="-450" w:hanging="90"/>
        <w:jc w:val="center"/>
        <w:rPr>
          <w:b/>
          <w:sz w:val="14"/>
          <w:szCs w:val="14"/>
          <w:u w:val="single"/>
        </w:rPr>
      </w:pPr>
    </w:p>
    <w:p w14:paraId="4AD855EE" w14:textId="5A9D5200" w:rsidR="00E962B0" w:rsidRPr="00F74B37" w:rsidRDefault="009A0847" w:rsidP="007B56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70" w:right="-450" w:hanging="90"/>
        <w:rPr>
          <w:sz w:val="22"/>
          <w:szCs w:val="22"/>
        </w:rPr>
      </w:pPr>
      <w:r>
        <w:rPr>
          <w:sz w:val="20"/>
          <w:szCs w:val="20"/>
        </w:rPr>
        <w:t xml:space="preserve">                         </w:t>
      </w:r>
      <w:r w:rsidR="00E962B0" w:rsidRPr="00F74B37">
        <w:rPr>
          <w:sz w:val="22"/>
          <w:szCs w:val="22"/>
        </w:rPr>
        <w:t>Session</w:t>
      </w:r>
      <w:r>
        <w:rPr>
          <w:sz w:val="22"/>
          <w:szCs w:val="22"/>
        </w:rPr>
        <w:t xml:space="preserve"> </w:t>
      </w:r>
      <w:r w:rsidR="00E962B0">
        <w:rPr>
          <w:sz w:val="22"/>
          <w:szCs w:val="22"/>
        </w:rPr>
        <w:t>1</w:t>
      </w:r>
      <w:r>
        <w:rPr>
          <w:sz w:val="22"/>
          <w:szCs w:val="22"/>
        </w:rPr>
        <w:t xml:space="preserve"> </w:t>
      </w:r>
      <w:r w:rsidR="00E962B0">
        <w:rPr>
          <w:sz w:val="22"/>
          <w:szCs w:val="22"/>
        </w:rPr>
        <w:tab/>
      </w:r>
      <w:r w:rsidR="00E962B0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="00E962B0" w:rsidRPr="00F74B37">
        <w:rPr>
          <w:sz w:val="22"/>
          <w:szCs w:val="22"/>
        </w:rPr>
        <w:tab/>
      </w:r>
      <w:r>
        <w:rPr>
          <w:sz w:val="22"/>
          <w:szCs w:val="22"/>
        </w:rPr>
        <w:t xml:space="preserve">         </w:t>
      </w:r>
      <w:r w:rsidR="00E962B0" w:rsidRPr="00F74B37">
        <w:rPr>
          <w:sz w:val="22"/>
          <w:szCs w:val="22"/>
        </w:rPr>
        <w:t>Session</w:t>
      </w:r>
      <w:r>
        <w:rPr>
          <w:sz w:val="22"/>
          <w:szCs w:val="22"/>
        </w:rPr>
        <w:t xml:space="preserve"> </w:t>
      </w:r>
      <w:r w:rsidR="00E962B0" w:rsidRPr="00F74B37">
        <w:rPr>
          <w:sz w:val="22"/>
          <w:szCs w:val="22"/>
        </w:rPr>
        <w:t>2</w:t>
      </w:r>
      <w:r w:rsidR="00E962B0" w:rsidRPr="00F74B37">
        <w:rPr>
          <w:sz w:val="22"/>
          <w:szCs w:val="22"/>
        </w:rPr>
        <w:tab/>
      </w:r>
      <w:r w:rsidR="00E962B0" w:rsidRPr="00F74B37">
        <w:rPr>
          <w:sz w:val="22"/>
          <w:szCs w:val="22"/>
        </w:rPr>
        <w:tab/>
      </w:r>
      <w:r w:rsidR="00E962B0" w:rsidRPr="00F74B37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</w:t>
      </w:r>
      <w:r w:rsidR="00E962B0" w:rsidRPr="00F74B37">
        <w:rPr>
          <w:sz w:val="22"/>
          <w:szCs w:val="22"/>
        </w:rPr>
        <w:t>Session</w:t>
      </w:r>
      <w:r>
        <w:rPr>
          <w:sz w:val="22"/>
          <w:szCs w:val="22"/>
        </w:rPr>
        <w:t xml:space="preserve"> </w:t>
      </w:r>
      <w:r w:rsidR="00E962B0" w:rsidRPr="00F74B37">
        <w:rPr>
          <w:sz w:val="22"/>
          <w:szCs w:val="22"/>
        </w:rPr>
        <w:t>3</w:t>
      </w:r>
    </w:p>
    <w:p w14:paraId="686573AF" w14:textId="3B2C59D3" w:rsidR="00E962B0" w:rsidRPr="00DA59B8" w:rsidRDefault="00E962B0" w:rsidP="007B56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70" w:right="-450" w:hanging="90"/>
        <w:rPr>
          <w:noProof/>
          <w:sz w:val="2"/>
          <w:szCs w:val="2"/>
        </w:rPr>
      </w:pPr>
      <w:r>
        <w:rPr>
          <w:noProof/>
        </w:rPr>
        <w:drawing>
          <wp:inline distT="0" distB="0" distL="0" distR="0" wp14:anchorId="166D90F7" wp14:editId="0C0274CE">
            <wp:extent cx="1041400" cy="1197610"/>
            <wp:effectExtent l="0" t="0" r="12700" b="8890"/>
            <wp:docPr id="39" name="Chart 39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C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F255116" wp14:editId="5547ACF2">
            <wp:extent cx="1060450" cy="1197610"/>
            <wp:effectExtent l="0" t="0" r="6350" b="8890"/>
            <wp:docPr id="40" name="Chart 40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C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  <w:r w:rsidR="009A0847">
        <w:rPr>
          <w:noProof/>
        </w:rPr>
        <w:t xml:space="preserve"> </w:t>
      </w:r>
      <w:r>
        <w:rPr>
          <w:noProof/>
        </w:rPr>
        <w:drawing>
          <wp:inline distT="0" distB="0" distL="0" distR="0" wp14:anchorId="75D2A4D9" wp14:editId="39C29CE7">
            <wp:extent cx="1041400" cy="1197610"/>
            <wp:effectExtent l="0" t="0" r="12700" b="8890"/>
            <wp:docPr id="41" name="Chart 4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C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EBAD55C" wp14:editId="7A0A0D5A">
            <wp:extent cx="1060450" cy="1197610"/>
            <wp:effectExtent l="0" t="0" r="6350" b="8890"/>
            <wp:docPr id="42" name="Chart 4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C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inline>
        </w:drawing>
      </w:r>
      <w:r w:rsidR="009A0847">
        <w:rPr>
          <w:noProof/>
        </w:rPr>
        <w:t xml:space="preserve"> </w:t>
      </w:r>
      <w:r>
        <w:rPr>
          <w:noProof/>
        </w:rPr>
        <w:drawing>
          <wp:inline distT="0" distB="0" distL="0" distR="0" wp14:anchorId="5FA99563" wp14:editId="6EAF21D0">
            <wp:extent cx="1041400" cy="1197610"/>
            <wp:effectExtent l="0" t="0" r="12700" b="8890"/>
            <wp:docPr id="43" name="Chart 4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C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7"/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A8C29C7" wp14:editId="4FB12CF6">
            <wp:extent cx="1060450" cy="1197610"/>
            <wp:effectExtent l="0" t="0" r="6350" b="8890"/>
            <wp:docPr id="44" name="Chart 4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C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8"/>
              </a:graphicData>
            </a:graphic>
          </wp:inline>
        </w:drawing>
      </w:r>
    </w:p>
    <w:p w14:paraId="1713F3D1" w14:textId="77777777" w:rsidR="00E962B0" w:rsidRPr="00E364BF" w:rsidRDefault="00E962B0" w:rsidP="007B56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70" w:right="-450" w:hanging="90"/>
        <w:rPr>
          <w:sz w:val="14"/>
          <w:szCs w:val="14"/>
        </w:rPr>
      </w:pPr>
    </w:p>
    <w:p w14:paraId="737D5A56" w14:textId="5A896482" w:rsidR="00E962B0" w:rsidRDefault="009A0847" w:rsidP="007B56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70" w:right="-450" w:hanging="90"/>
        <w:rPr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  <w:r w:rsidR="00E962B0" w:rsidRPr="00F93216">
        <w:rPr>
          <w:sz w:val="20"/>
          <w:szCs w:val="20"/>
        </w:rPr>
        <w:t>Session</w:t>
      </w:r>
      <w:r>
        <w:rPr>
          <w:sz w:val="20"/>
          <w:szCs w:val="20"/>
        </w:rPr>
        <w:t xml:space="preserve"> </w:t>
      </w:r>
      <w:r w:rsidR="00E962B0">
        <w:rPr>
          <w:sz w:val="20"/>
          <w:szCs w:val="20"/>
        </w:rPr>
        <w:t>4</w:t>
      </w:r>
      <w:r>
        <w:rPr>
          <w:sz w:val="20"/>
          <w:szCs w:val="20"/>
        </w:rPr>
        <w:t xml:space="preserve"> </w:t>
      </w:r>
      <w:r w:rsidR="00E962B0">
        <w:rPr>
          <w:sz w:val="20"/>
          <w:szCs w:val="20"/>
        </w:rPr>
        <w:tab/>
      </w:r>
      <w:r w:rsidR="00E962B0">
        <w:rPr>
          <w:sz w:val="20"/>
          <w:szCs w:val="20"/>
        </w:rPr>
        <w:tab/>
      </w:r>
      <w:r w:rsidR="00E962B0">
        <w:rPr>
          <w:sz w:val="20"/>
          <w:szCs w:val="20"/>
        </w:rPr>
        <w:tab/>
      </w:r>
      <w:r>
        <w:rPr>
          <w:sz w:val="20"/>
          <w:szCs w:val="20"/>
        </w:rPr>
        <w:t xml:space="preserve">           </w:t>
      </w:r>
      <w:r w:rsidR="00E962B0" w:rsidRPr="00F93216">
        <w:rPr>
          <w:sz w:val="20"/>
          <w:szCs w:val="20"/>
        </w:rPr>
        <w:t>Session</w:t>
      </w:r>
      <w:r>
        <w:rPr>
          <w:sz w:val="20"/>
          <w:szCs w:val="20"/>
        </w:rPr>
        <w:t xml:space="preserve"> </w:t>
      </w:r>
      <w:r w:rsidR="00E962B0">
        <w:rPr>
          <w:sz w:val="20"/>
          <w:szCs w:val="20"/>
        </w:rPr>
        <w:t>5</w:t>
      </w:r>
      <w:r w:rsidR="00E962B0">
        <w:rPr>
          <w:sz w:val="20"/>
          <w:szCs w:val="20"/>
        </w:rPr>
        <w:tab/>
      </w:r>
      <w:r w:rsidR="00E962B0">
        <w:rPr>
          <w:sz w:val="20"/>
          <w:szCs w:val="20"/>
        </w:rPr>
        <w:tab/>
      </w:r>
      <w:r w:rsidR="00E962B0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</w:t>
      </w:r>
      <w:r w:rsidR="00E962B0">
        <w:rPr>
          <w:sz w:val="20"/>
          <w:szCs w:val="20"/>
        </w:rPr>
        <w:t>Session</w:t>
      </w:r>
      <w:r>
        <w:rPr>
          <w:sz w:val="20"/>
          <w:szCs w:val="20"/>
        </w:rPr>
        <w:t xml:space="preserve"> </w:t>
      </w:r>
      <w:r w:rsidR="00E962B0">
        <w:rPr>
          <w:sz w:val="20"/>
          <w:szCs w:val="20"/>
        </w:rPr>
        <w:t>6</w:t>
      </w:r>
    </w:p>
    <w:p w14:paraId="2AFF8509" w14:textId="5EF54329" w:rsidR="00E962B0" w:rsidRPr="00DA59B8" w:rsidRDefault="00E962B0" w:rsidP="007B56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70" w:right="-450" w:hanging="90"/>
        <w:rPr>
          <w:noProof/>
          <w:sz w:val="2"/>
          <w:szCs w:val="2"/>
        </w:rPr>
      </w:pPr>
      <w:r>
        <w:rPr>
          <w:noProof/>
        </w:rPr>
        <w:drawing>
          <wp:inline distT="0" distB="0" distL="0" distR="0" wp14:anchorId="2266DC58" wp14:editId="5B16B1B5">
            <wp:extent cx="1041400" cy="1197610"/>
            <wp:effectExtent l="0" t="0" r="12700" b="8890"/>
            <wp:docPr id="45" name="Chart 45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C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9"/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5A7B494" wp14:editId="10AC4C84">
            <wp:extent cx="1060450" cy="1197610"/>
            <wp:effectExtent l="0" t="0" r="6350" b="8890"/>
            <wp:docPr id="46" name="Chart 46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C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0"/>
              </a:graphicData>
            </a:graphic>
          </wp:inline>
        </w:drawing>
      </w:r>
      <w:r w:rsidR="009A0847">
        <w:rPr>
          <w:noProof/>
        </w:rPr>
        <w:t xml:space="preserve"> </w:t>
      </w:r>
      <w:r>
        <w:rPr>
          <w:noProof/>
        </w:rPr>
        <w:drawing>
          <wp:inline distT="0" distB="0" distL="0" distR="0" wp14:anchorId="1B4633A2" wp14:editId="3D001CAD">
            <wp:extent cx="1041400" cy="1197610"/>
            <wp:effectExtent l="0" t="0" r="12700" b="8890"/>
            <wp:docPr id="47" name="Chart 47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C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1"/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F804427" wp14:editId="4858DF94">
            <wp:extent cx="1060450" cy="1197610"/>
            <wp:effectExtent l="0" t="0" r="6350" b="8890"/>
            <wp:docPr id="48" name="Chart 48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C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2"/>
              </a:graphicData>
            </a:graphic>
          </wp:inline>
        </w:drawing>
      </w:r>
      <w:r w:rsidR="009A0847">
        <w:rPr>
          <w:noProof/>
        </w:rPr>
        <w:t xml:space="preserve"> </w:t>
      </w:r>
      <w:r>
        <w:rPr>
          <w:noProof/>
        </w:rPr>
        <w:drawing>
          <wp:inline distT="0" distB="0" distL="0" distR="0" wp14:anchorId="01F0A39C" wp14:editId="14861C97">
            <wp:extent cx="1041400" cy="1197610"/>
            <wp:effectExtent l="0" t="0" r="12700" b="8890"/>
            <wp:docPr id="49" name="Chart 49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C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3"/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B9B176F" wp14:editId="78038EF0">
            <wp:extent cx="1060450" cy="1197610"/>
            <wp:effectExtent l="0" t="0" r="6350" b="8890"/>
            <wp:docPr id="50" name="Chart 50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C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4"/>
              </a:graphicData>
            </a:graphic>
          </wp:inline>
        </w:drawing>
      </w:r>
    </w:p>
    <w:p w14:paraId="279F8469" w14:textId="77777777" w:rsidR="00E962B0" w:rsidRDefault="00E962B0" w:rsidP="007B56DC">
      <w:pPr>
        <w:ind w:left="-270" w:right="-450" w:hanging="90"/>
      </w:pPr>
    </w:p>
    <w:p w14:paraId="2DA77754" w14:textId="77777777" w:rsidR="00E962B0" w:rsidRDefault="00E962B0" w:rsidP="007B56DC">
      <w:pPr>
        <w:ind w:left="-270" w:right="-450" w:hanging="90"/>
      </w:pPr>
    </w:p>
    <w:p w14:paraId="0C999A6D" w14:textId="77777777" w:rsidR="00E962B0" w:rsidRDefault="00E962B0" w:rsidP="007B56DC">
      <w:pPr>
        <w:ind w:left="-270" w:right="-450" w:hanging="90"/>
      </w:pPr>
    </w:p>
    <w:p w14:paraId="7BC5F0F4" w14:textId="6B7C925C" w:rsidR="00E962B0" w:rsidRDefault="00E962B0" w:rsidP="007B56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70" w:right="-450" w:hanging="90"/>
        <w:jc w:val="center"/>
        <w:rPr>
          <w:b/>
          <w:u w:val="single"/>
        </w:rPr>
      </w:pPr>
      <w:r w:rsidRPr="00902060">
        <w:rPr>
          <w:b/>
          <w:u w:val="single"/>
        </w:rPr>
        <w:t>Figure</w:t>
      </w:r>
      <w:r w:rsidR="009A0847">
        <w:rPr>
          <w:b/>
          <w:u w:val="single"/>
        </w:rPr>
        <w:t xml:space="preserve"> </w:t>
      </w:r>
      <w:r>
        <w:rPr>
          <w:b/>
          <w:u w:val="single"/>
        </w:rPr>
        <w:t>4</w:t>
      </w:r>
      <w:r w:rsidRPr="00902060">
        <w:rPr>
          <w:b/>
          <w:u w:val="single"/>
        </w:rPr>
        <w:t>.1</w:t>
      </w:r>
      <w:r w:rsidR="009A0847">
        <w:rPr>
          <w:b/>
          <w:u w:val="single"/>
        </w:rPr>
        <w:t xml:space="preserve"> </w:t>
      </w:r>
      <w:r w:rsidRPr="00902060">
        <w:rPr>
          <w:b/>
          <w:u w:val="single"/>
        </w:rPr>
        <w:t>:</w:t>
      </w:r>
      <w:r w:rsidR="009A0847">
        <w:rPr>
          <w:b/>
          <w:u w:val="single"/>
        </w:rPr>
        <w:t xml:space="preserve"> </w:t>
      </w:r>
      <w:r>
        <w:rPr>
          <w:b/>
          <w:u w:val="single"/>
        </w:rPr>
        <w:t>Low</w:t>
      </w:r>
      <w:r w:rsidR="009A0847">
        <w:rPr>
          <w:b/>
          <w:u w:val="single"/>
        </w:rPr>
        <w:t xml:space="preserve"> </w:t>
      </w:r>
      <w:r>
        <w:rPr>
          <w:b/>
          <w:u w:val="single"/>
        </w:rPr>
        <w:t>Detection</w:t>
      </w:r>
      <w:r w:rsidR="009A0847">
        <w:rPr>
          <w:b/>
          <w:u w:val="single"/>
        </w:rPr>
        <w:t xml:space="preserve"> </w:t>
      </w:r>
      <w:r w:rsidRPr="00902060">
        <w:rPr>
          <w:b/>
          <w:u w:val="single"/>
        </w:rPr>
        <w:t>Treatment</w:t>
      </w:r>
    </w:p>
    <w:p w14:paraId="73B9CB08" w14:textId="77777777" w:rsidR="00E962B0" w:rsidRPr="00E364BF" w:rsidRDefault="00E962B0" w:rsidP="007B56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70" w:right="-450" w:hanging="90"/>
        <w:jc w:val="center"/>
        <w:rPr>
          <w:b/>
          <w:sz w:val="14"/>
          <w:szCs w:val="14"/>
          <w:u w:val="single"/>
        </w:rPr>
      </w:pPr>
    </w:p>
    <w:p w14:paraId="39AEDEA1" w14:textId="36F61915" w:rsidR="00E962B0" w:rsidRPr="00F74B37" w:rsidRDefault="009A0847" w:rsidP="007B56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70" w:right="-450" w:hanging="90"/>
        <w:rPr>
          <w:sz w:val="22"/>
          <w:szCs w:val="22"/>
        </w:rPr>
      </w:pPr>
      <w:r>
        <w:rPr>
          <w:sz w:val="20"/>
          <w:szCs w:val="20"/>
        </w:rPr>
        <w:t xml:space="preserve">                         </w:t>
      </w:r>
      <w:r w:rsidR="00E962B0" w:rsidRPr="00F74B37">
        <w:rPr>
          <w:sz w:val="22"/>
          <w:szCs w:val="22"/>
        </w:rPr>
        <w:t>Session</w:t>
      </w:r>
      <w:r>
        <w:rPr>
          <w:sz w:val="22"/>
          <w:szCs w:val="22"/>
        </w:rPr>
        <w:t xml:space="preserve"> </w:t>
      </w:r>
      <w:r w:rsidR="00E962B0">
        <w:rPr>
          <w:sz w:val="22"/>
          <w:szCs w:val="22"/>
        </w:rPr>
        <w:t>1</w:t>
      </w:r>
      <w:r>
        <w:rPr>
          <w:sz w:val="22"/>
          <w:szCs w:val="22"/>
        </w:rPr>
        <w:t xml:space="preserve"> </w:t>
      </w:r>
      <w:r w:rsidR="00E962B0">
        <w:rPr>
          <w:sz w:val="22"/>
          <w:szCs w:val="22"/>
        </w:rPr>
        <w:tab/>
      </w:r>
      <w:r w:rsidR="00E962B0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="00E962B0" w:rsidRPr="00F74B37">
        <w:rPr>
          <w:sz w:val="22"/>
          <w:szCs w:val="22"/>
        </w:rPr>
        <w:tab/>
      </w:r>
      <w:r>
        <w:rPr>
          <w:sz w:val="22"/>
          <w:szCs w:val="22"/>
        </w:rPr>
        <w:t xml:space="preserve">         </w:t>
      </w:r>
      <w:r w:rsidR="00E962B0" w:rsidRPr="00F74B37">
        <w:rPr>
          <w:sz w:val="22"/>
          <w:szCs w:val="22"/>
        </w:rPr>
        <w:t>Session</w:t>
      </w:r>
      <w:r>
        <w:rPr>
          <w:sz w:val="22"/>
          <w:szCs w:val="22"/>
        </w:rPr>
        <w:t xml:space="preserve"> </w:t>
      </w:r>
      <w:r w:rsidR="00E962B0" w:rsidRPr="00F74B37">
        <w:rPr>
          <w:sz w:val="22"/>
          <w:szCs w:val="22"/>
        </w:rPr>
        <w:t>2</w:t>
      </w:r>
      <w:r w:rsidR="00E962B0" w:rsidRPr="00F74B37">
        <w:rPr>
          <w:sz w:val="22"/>
          <w:szCs w:val="22"/>
        </w:rPr>
        <w:tab/>
      </w:r>
      <w:r w:rsidR="00E962B0" w:rsidRPr="00F74B37">
        <w:rPr>
          <w:sz w:val="22"/>
          <w:szCs w:val="22"/>
        </w:rPr>
        <w:tab/>
      </w:r>
      <w:r w:rsidR="00E962B0" w:rsidRPr="00F74B37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</w:t>
      </w:r>
      <w:r w:rsidR="00E962B0" w:rsidRPr="00F74B37">
        <w:rPr>
          <w:sz w:val="22"/>
          <w:szCs w:val="22"/>
        </w:rPr>
        <w:t>Session</w:t>
      </w:r>
      <w:r>
        <w:rPr>
          <w:sz w:val="22"/>
          <w:szCs w:val="22"/>
        </w:rPr>
        <w:t xml:space="preserve"> </w:t>
      </w:r>
      <w:r w:rsidR="00E962B0" w:rsidRPr="00F74B37">
        <w:rPr>
          <w:sz w:val="22"/>
          <w:szCs w:val="22"/>
        </w:rPr>
        <w:t>3</w:t>
      </w:r>
    </w:p>
    <w:p w14:paraId="049F8F8C" w14:textId="6333A795" w:rsidR="00E962B0" w:rsidRPr="00DA59B8" w:rsidRDefault="00E962B0" w:rsidP="007B56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70" w:right="-450" w:hanging="90"/>
        <w:rPr>
          <w:noProof/>
          <w:sz w:val="2"/>
          <w:szCs w:val="2"/>
        </w:rPr>
      </w:pPr>
      <w:r>
        <w:rPr>
          <w:noProof/>
        </w:rPr>
        <w:drawing>
          <wp:inline distT="0" distB="0" distL="0" distR="0" wp14:anchorId="2522BED2" wp14:editId="3B8F9555">
            <wp:extent cx="1041400" cy="1197610"/>
            <wp:effectExtent l="0" t="0" r="12700" b="8890"/>
            <wp:docPr id="51" name="Chart 5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C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5"/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97F89CE" wp14:editId="0E60B95F">
            <wp:extent cx="1060450" cy="1197610"/>
            <wp:effectExtent l="0" t="0" r="6350" b="8890"/>
            <wp:docPr id="52" name="Chart 5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C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6"/>
              </a:graphicData>
            </a:graphic>
          </wp:inline>
        </w:drawing>
      </w:r>
      <w:r w:rsidR="009A0847">
        <w:rPr>
          <w:noProof/>
        </w:rPr>
        <w:t xml:space="preserve"> </w:t>
      </w:r>
      <w:r>
        <w:rPr>
          <w:noProof/>
        </w:rPr>
        <w:drawing>
          <wp:inline distT="0" distB="0" distL="0" distR="0" wp14:anchorId="5678C2E1" wp14:editId="2FB41CAC">
            <wp:extent cx="1041400" cy="1197610"/>
            <wp:effectExtent l="0" t="0" r="12700" b="8890"/>
            <wp:docPr id="53" name="Chart 5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C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7"/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0500AE9" wp14:editId="2BBCBDF0">
            <wp:extent cx="1060450" cy="1197610"/>
            <wp:effectExtent l="0" t="0" r="6350" b="8890"/>
            <wp:docPr id="54" name="Chart 5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C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8"/>
              </a:graphicData>
            </a:graphic>
          </wp:inline>
        </w:drawing>
      </w:r>
      <w:r w:rsidR="009A0847">
        <w:rPr>
          <w:noProof/>
        </w:rPr>
        <w:t xml:space="preserve"> </w:t>
      </w:r>
      <w:r>
        <w:rPr>
          <w:noProof/>
        </w:rPr>
        <w:drawing>
          <wp:inline distT="0" distB="0" distL="0" distR="0" wp14:anchorId="0D7843FC" wp14:editId="02CF76A9">
            <wp:extent cx="1041400" cy="1197610"/>
            <wp:effectExtent l="0" t="0" r="12700" b="8890"/>
            <wp:docPr id="55" name="Chart 55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C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9"/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2022418" wp14:editId="6C07D608">
            <wp:extent cx="1060450" cy="1197610"/>
            <wp:effectExtent l="0" t="0" r="6350" b="8890"/>
            <wp:docPr id="56" name="Chart 56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C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0"/>
              </a:graphicData>
            </a:graphic>
          </wp:inline>
        </w:drawing>
      </w:r>
    </w:p>
    <w:p w14:paraId="7852A527" w14:textId="77777777" w:rsidR="00E962B0" w:rsidRPr="00E364BF" w:rsidRDefault="00E962B0" w:rsidP="007B56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70" w:right="-450" w:hanging="90"/>
        <w:rPr>
          <w:sz w:val="14"/>
          <w:szCs w:val="14"/>
        </w:rPr>
      </w:pPr>
    </w:p>
    <w:p w14:paraId="1596CB52" w14:textId="7EF94FF1" w:rsidR="00E962B0" w:rsidRDefault="009A0847" w:rsidP="007B56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70" w:right="-450" w:hanging="90"/>
        <w:rPr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  <w:r w:rsidR="00E962B0" w:rsidRPr="00F93216">
        <w:rPr>
          <w:sz w:val="20"/>
          <w:szCs w:val="20"/>
        </w:rPr>
        <w:t>Session</w:t>
      </w:r>
      <w:r>
        <w:rPr>
          <w:sz w:val="20"/>
          <w:szCs w:val="20"/>
        </w:rPr>
        <w:t xml:space="preserve"> </w:t>
      </w:r>
      <w:r w:rsidR="00E962B0">
        <w:rPr>
          <w:sz w:val="20"/>
          <w:szCs w:val="20"/>
        </w:rPr>
        <w:t>4</w:t>
      </w:r>
      <w:r>
        <w:rPr>
          <w:sz w:val="20"/>
          <w:szCs w:val="20"/>
        </w:rPr>
        <w:t xml:space="preserve"> </w:t>
      </w:r>
      <w:r w:rsidR="00E962B0">
        <w:rPr>
          <w:sz w:val="20"/>
          <w:szCs w:val="20"/>
        </w:rPr>
        <w:tab/>
      </w:r>
      <w:r w:rsidR="00E962B0">
        <w:rPr>
          <w:sz w:val="20"/>
          <w:szCs w:val="20"/>
        </w:rPr>
        <w:tab/>
      </w:r>
      <w:r w:rsidR="00E962B0">
        <w:rPr>
          <w:sz w:val="20"/>
          <w:szCs w:val="20"/>
        </w:rPr>
        <w:tab/>
      </w:r>
      <w:r>
        <w:rPr>
          <w:sz w:val="20"/>
          <w:szCs w:val="20"/>
        </w:rPr>
        <w:t xml:space="preserve">           </w:t>
      </w:r>
      <w:r w:rsidR="00E962B0" w:rsidRPr="00F93216">
        <w:rPr>
          <w:sz w:val="20"/>
          <w:szCs w:val="20"/>
        </w:rPr>
        <w:t>Session</w:t>
      </w:r>
      <w:r>
        <w:rPr>
          <w:sz w:val="20"/>
          <w:szCs w:val="20"/>
        </w:rPr>
        <w:t xml:space="preserve"> </w:t>
      </w:r>
      <w:r w:rsidR="00E962B0">
        <w:rPr>
          <w:sz w:val="20"/>
          <w:szCs w:val="20"/>
        </w:rPr>
        <w:t>5</w:t>
      </w:r>
      <w:r w:rsidR="00E962B0">
        <w:rPr>
          <w:sz w:val="20"/>
          <w:szCs w:val="20"/>
        </w:rPr>
        <w:tab/>
      </w:r>
      <w:r w:rsidR="00E962B0">
        <w:rPr>
          <w:sz w:val="20"/>
          <w:szCs w:val="20"/>
        </w:rPr>
        <w:tab/>
      </w:r>
      <w:r w:rsidR="00E962B0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</w:t>
      </w:r>
      <w:r w:rsidR="00E962B0">
        <w:rPr>
          <w:sz w:val="20"/>
          <w:szCs w:val="20"/>
        </w:rPr>
        <w:t>Session</w:t>
      </w:r>
      <w:r>
        <w:rPr>
          <w:sz w:val="20"/>
          <w:szCs w:val="20"/>
        </w:rPr>
        <w:t xml:space="preserve"> </w:t>
      </w:r>
      <w:r w:rsidR="00E962B0">
        <w:rPr>
          <w:sz w:val="20"/>
          <w:szCs w:val="20"/>
        </w:rPr>
        <w:t>6</w:t>
      </w:r>
    </w:p>
    <w:p w14:paraId="5502CFE5" w14:textId="4C6965A6" w:rsidR="00E962B0" w:rsidRPr="00DA59B8" w:rsidRDefault="00E962B0" w:rsidP="007B56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70" w:right="-450" w:hanging="90"/>
        <w:rPr>
          <w:noProof/>
          <w:sz w:val="2"/>
          <w:szCs w:val="2"/>
        </w:rPr>
      </w:pPr>
      <w:r>
        <w:rPr>
          <w:noProof/>
        </w:rPr>
        <w:drawing>
          <wp:inline distT="0" distB="0" distL="0" distR="0" wp14:anchorId="37F60ED8" wp14:editId="03AAEA4C">
            <wp:extent cx="1041400" cy="1197610"/>
            <wp:effectExtent l="0" t="0" r="12700" b="8890"/>
            <wp:docPr id="57" name="Chart 57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C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1"/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80A24A7" wp14:editId="4EEB13B1">
            <wp:extent cx="1060450" cy="1197610"/>
            <wp:effectExtent l="0" t="0" r="6350" b="8890"/>
            <wp:docPr id="58" name="Chart 58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C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2"/>
              </a:graphicData>
            </a:graphic>
          </wp:inline>
        </w:drawing>
      </w:r>
      <w:r w:rsidR="009A0847">
        <w:rPr>
          <w:noProof/>
        </w:rPr>
        <w:t xml:space="preserve"> </w:t>
      </w:r>
      <w:r>
        <w:rPr>
          <w:noProof/>
        </w:rPr>
        <w:drawing>
          <wp:inline distT="0" distB="0" distL="0" distR="0" wp14:anchorId="6E767EDD" wp14:editId="2B5F3BFA">
            <wp:extent cx="1041400" cy="1197610"/>
            <wp:effectExtent l="0" t="0" r="12700" b="8890"/>
            <wp:docPr id="59" name="Chart 59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C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3"/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90D7C0F" wp14:editId="7F8CB504">
            <wp:extent cx="1060450" cy="1197610"/>
            <wp:effectExtent l="0" t="0" r="6350" b="8890"/>
            <wp:docPr id="60" name="Chart 60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C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4"/>
              </a:graphicData>
            </a:graphic>
          </wp:inline>
        </w:drawing>
      </w:r>
      <w:r w:rsidR="009A0847">
        <w:rPr>
          <w:noProof/>
        </w:rPr>
        <w:t xml:space="preserve"> </w:t>
      </w:r>
      <w:r>
        <w:rPr>
          <w:noProof/>
        </w:rPr>
        <w:drawing>
          <wp:inline distT="0" distB="0" distL="0" distR="0" wp14:anchorId="3EA099C2" wp14:editId="54095A6E">
            <wp:extent cx="1041400" cy="1197610"/>
            <wp:effectExtent l="0" t="0" r="12700" b="8890"/>
            <wp:docPr id="61" name="Chart 6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C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5"/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4E4C38F" wp14:editId="59C894DD">
            <wp:extent cx="1060450" cy="1197610"/>
            <wp:effectExtent l="0" t="0" r="6350" b="8890"/>
            <wp:docPr id="62" name="Chart 6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C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6"/>
              </a:graphicData>
            </a:graphic>
          </wp:inline>
        </w:drawing>
      </w:r>
    </w:p>
    <w:p w14:paraId="67EE6C7D" w14:textId="77777777" w:rsidR="00E962B0" w:rsidRDefault="00E962B0" w:rsidP="007B56DC">
      <w:pPr>
        <w:ind w:left="-270" w:right="-450" w:hanging="90"/>
      </w:pPr>
    </w:p>
    <w:p w14:paraId="40C4F19E" w14:textId="77777777" w:rsidR="00E962B0" w:rsidRPr="00853868" w:rsidRDefault="00E962B0" w:rsidP="00E962B0">
      <w:pPr>
        <w:ind w:left="-360" w:right="-360"/>
        <w:rPr>
          <w:i/>
        </w:rPr>
      </w:pPr>
    </w:p>
    <w:p w14:paraId="16392C11" w14:textId="77777777" w:rsidR="00315B5A" w:rsidRPr="00853868" w:rsidRDefault="00315B5A" w:rsidP="00E962B0">
      <w:pPr>
        <w:pStyle w:val="Olivier1"/>
        <w:ind w:left="-360" w:right="-360"/>
        <w:rPr>
          <w:i/>
        </w:rPr>
      </w:pPr>
    </w:p>
    <w:sectPr w:rsidR="00315B5A" w:rsidRPr="00853868" w:rsidSect="008E1FDB">
      <w:footerReference w:type="even" r:id="rId67"/>
      <w:footerReference w:type="default" r:id="rId68"/>
      <w:pgSz w:w="12240" w:h="15840"/>
      <w:pgMar w:top="1440" w:right="1253" w:bottom="1440" w:left="132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E7369C" w14:textId="77777777" w:rsidR="00CD7662" w:rsidRDefault="00CD7662" w:rsidP="00DC4A62">
      <w:r>
        <w:separator/>
      </w:r>
    </w:p>
  </w:endnote>
  <w:endnote w:type="continuationSeparator" w:id="0">
    <w:p w14:paraId="6DA70C4F" w14:textId="77777777" w:rsidR="00CD7662" w:rsidRDefault="00CD7662" w:rsidP="00DC4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imes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&amp;®ÔˇøÂ'91Â'1">
    <w:altName w:val="Times New Roman"/>
    <w:panose1 w:val="00000000000000000000"/>
    <w:charset w:val="00"/>
    <w:family w:val="roman"/>
    <w:notTrueType/>
    <w:pitch w:val="default"/>
  </w:font>
  <w:font w:name="’'36xÔˇøÂ'91Â'1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pple Chancery">
    <w:charset w:val="00"/>
    <w:family w:val="auto"/>
    <w:pitch w:val="variable"/>
    <w:sig w:usb0="80000067" w:usb1="00000003" w:usb2="00000000" w:usb3="00000000" w:csb0="000001F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8E22E" w14:textId="77777777" w:rsidR="00CD7662" w:rsidRDefault="00CD7662" w:rsidP="006B770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1124AD" w14:textId="77777777" w:rsidR="00CD7662" w:rsidRDefault="00CD7662" w:rsidP="006B770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25565" w14:textId="77777777" w:rsidR="00CD7662" w:rsidRDefault="00CD7662" w:rsidP="006B770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979FA">
      <w:rPr>
        <w:rStyle w:val="PageNumber"/>
        <w:noProof/>
      </w:rPr>
      <w:t>18</w:t>
    </w:r>
    <w:r>
      <w:rPr>
        <w:rStyle w:val="PageNumber"/>
      </w:rPr>
      <w:fldChar w:fldCharType="end"/>
    </w:r>
  </w:p>
  <w:p w14:paraId="4F3D8E21" w14:textId="77777777" w:rsidR="00CD7662" w:rsidRDefault="00CD7662" w:rsidP="006B7701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7067A" w14:textId="77777777" w:rsidR="00CD7662" w:rsidRDefault="00CD7662" w:rsidP="009272A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13ABE9" w14:textId="77777777" w:rsidR="00CD7662" w:rsidRDefault="00CD766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FAF80" w14:textId="77777777" w:rsidR="00CD7662" w:rsidRDefault="00CD7662" w:rsidP="009272A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979FA">
      <w:rPr>
        <w:rStyle w:val="PageNumber"/>
        <w:noProof/>
      </w:rPr>
      <w:t>34</w:t>
    </w:r>
    <w:r>
      <w:rPr>
        <w:rStyle w:val="PageNumber"/>
      </w:rPr>
      <w:fldChar w:fldCharType="end"/>
    </w:r>
  </w:p>
  <w:p w14:paraId="575C9FEA" w14:textId="77777777" w:rsidR="00CD7662" w:rsidRDefault="00CD76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6F1C3B" w14:textId="77777777" w:rsidR="00CD7662" w:rsidRDefault="00CD7662" w:rsidP="00DC4A62">
      <w:r>
        <w:separator/>
      </w:r>
    </w:p>
  </w:footnote>
  <w:footnote w:type="continuationSeparator" w:id="0">
    <w:p w14:paraId="630F3D21" w14:textId="77777777" w:rsidR="00CD7662" w:rsidRDefault="00CD7662" w:rsidP="00DC4A62">
      <w:r>
        <w:continuationSeparator/>
      </w:r>
    </w:p>
  </w:footnote>
  <w:footnote w:id="1">
    <w:p w14:paraId="509C8DF1" w14:textId="7C08ED38" w:rsidR="00CD7662" w:rsidRPr="00D85A0A" w:rsidRDefault="00CD7662" w:rsidP="00E80AC1">
      <w:pPr>
        <w:pStyle w:val="Olivier1"/>
        <w:widowControl w:val="0"/>
        <w:spacing w:after="0" w:line="240" w:lineRule="auto"/>
        <w:rPr>
          <w:sz w:val="20"/>
          <w:szCs w:val="20"/>
        </w:rPr>
      </w:pPr>
      <w:r w:rsidRPr="00C71911">
        <w:rPr>
          <w:rStyle w:val="FootnoteReference"/>
          <w:sz w:val="32"/>
          <w:szCs w:val="32"/>
        </w:rPr>
        <w:sym w:font="Symbol" w:char="F02A"/>
      </w:r>
      <w:r w:rsidRPr="00D85A0A">
        <w:rPr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first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author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would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like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to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thank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Toulouse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School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of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Economics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where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part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of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this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research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was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conducted.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We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are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especially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thankful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to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Stephane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Cezera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for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his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help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running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experiments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at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TSE,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as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well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as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Laura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Young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and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Maria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Winchell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for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research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assistance.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We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would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like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to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thank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seminar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participants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at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TSE,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EIEF,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Universita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degli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Studi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di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Milano,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Lille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3,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GATE,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and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LUISS.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We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also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thank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participants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at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EWEBE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conference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in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Bertinoro,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ESA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conferences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in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Vienna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and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Richmond,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Experimental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Finance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conference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in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Nice,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ASFE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conference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in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Nice,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8</w:t>
      </w:r>
      <w:r w:rsidRPr="00D85A0A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theoretical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and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Macroeconomic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workshop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in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Stony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Brook,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IMEBESS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in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Florence,</w:t>
      </w:r>
      <w:r>
        <w:rPr>
          <w:sz w:val="20"/>
          <w:szCs w:val="20"/>
        </w:rPr>
        <w:t xml:space="preserve"> </w:t>
      </w:r>
      <w:r w:rsidR="00993CCF">
        <w:rPr>
          <w:sz w:val="20"/>
          <w:szCs w:val="20"/>
        </w:rPr>
        <w:t xml:space="preserve">and </w:t>
      </w:r>
      <w:r w:rsidRPr="00D85A0A">
        <w:rPr>
          <w:sz w:val="20"/>
          <w:szCs w:val="20"/>
        </w:rPr>
        <w:t>JIMF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in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Rabat.</w:t>
      </w:r>
      <w:r>
        <w:rPr>
          <w:sz w:val="20"/>
          <w:szCs w:val="20"/>
        </w:rPr>
        <w:t xml:space="preserve">  </w:t>
      </w:r>
    </w:p>
  </w:footnote>
  <w:footnote w:id="2">
    <w:p w14:paraId="14F88B8C" w14:textId="3B5D338F" w:rsidR="00CD7662" w:rsidRPr="00D85A0A" w:rsidRDefault="00CD7662" w:rsidP="00E80AC1">
      <w:pPr>
        <w:pStyle w:val="Olivier1"/>
        <w:widowControl w:val="0"/>
        <w:spacing w:after="0" w:line="240" w:lineRule="auto"/>
        <w:rPr>
          <w:color w:val="000000" w:themeColor="text1"/>
          <w:sz w:val="20"/>
          <w:szCs w:val="20"/>
        </w:rPr>
      </w:pPr>
      <w:r w:rsidRPr="00D85A0A"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In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practice,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solvency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and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liquidity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are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related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(one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can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lead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to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the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other),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and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distinguishing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between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the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two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can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be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difficult,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especially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during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a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financial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crisis.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Other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frictions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that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may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impair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the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interbank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market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include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search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costs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(Ennis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and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Weinberg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2013),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coordination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failures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(Occhino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2016),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as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well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as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operational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problems,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which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can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be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idiosyncratic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(e.g.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counterparty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failures)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or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systemic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(e.g.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the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9/11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terrorist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attack).</w:t>
      </w:r>
      <w:r>
        <w:rPr>
          <w:color w:val="000000" w:themeColor="text1"/>
          <w:sz w:val="20"/>
          <w:szCs w:val="20"/>
        </w:rPr>
        <w:t xml:space="preserve"> </w:t>
      </w:r>
    </w:p>
  </w:footnote>
  <w:footnote w:id="3">
    <w:p w14:paraId="7E260200" w14:textId="77777777" w:rsidR="00CD7662" w:rsidRPr="00D85A0A" w:rsidRDefault="00CD7662" w:rsidP="00E80AC1">
      <w:pPr>
        <w:pStyle w:val="Olivier1"/>
        <w:widowControl w:val="0"/>
        <w:spacing w:after="0" w:line="240" w:lineRule="auto"/>
        <w:rPr>
          <w:sz w:val="20"/>
          <w:szCs w:val="20"/>
        </w:rPr>
      </w:pPr>
      <w:r w:rsidRPr="00D85A0A">
        <w:rPr>
          <w:rStyle w:val="FootnoteReference"/>
          <w:color w:val="000000" w:themeColor="text1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There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is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also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an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ex-ante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effect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under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which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banks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hoard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on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liquidity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to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absorb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tail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liquidity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risks,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thereby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reducing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loans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they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extend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to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real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economy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(Winters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2012,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Gale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and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Yorulmazer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2013).</w:t>
      </w:r>
    </w:p>
  </w:footnote>
  <w:footnote w:id="4">
    <w:p w14:paraId="59D630D9" w14:textId="7A10C2B9" w:rsidR="00CD7662" w:rsidRPr="00D85A0A" w:rsidRDefault="00CD7662" w:rsidP="00E80AC1">
      <w:pPr>
        <w:pStyle w:val="Olivier1"/>
        <w:widowControl w:val="0"/>
        <w:spacing w:after="0" w:line="240" w:lineRule="auto"/>
      </w:pPr>
      <w:r w:rsidRPr="00D85A0A"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It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is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now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well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recognized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that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2007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financial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crisis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was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characterized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by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such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disruptions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to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interbank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market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for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short-term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funding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(Bernanke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2009,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Winters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2012,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Geithner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2014).</w:t>
      </w:r>
    </w:p>
  </w:footnote>
  <w:footnote w:id="5">
    <w:p w14:paraId="67FE9D14" w14:textId="2E52F149" w:rsidR="00CD7662" w:rsidRPr="00D85A0A" w:rsidRDefault="00CD7662" w:rsidP="00E80AC1">
      <w:pPr>
        <w:pStyle w:val="Olivier1"/>
        <w:widowControl w:val="0"/>
        <w:spacing w:after="0" w:line="240" w:lineRule="auto"/>
        <w:rPr>
          <w:color w:val="000000" w:themeColor="text1"/>
          <w:sz w:val="20"/>
          <w:szCs w:val="20"/>
        </w:rPr>
      </w:pPr>
      <w:r w:rsidRPr="00D85A0A">
        <w:rPr>
          <w:rStyle w:val="FootnoteReference"/>
          <w:color w:val="000000" w:themeColor="text1"/>
          <w:sz w:val="20"/>
          <w:szCs w:val="20"/>
        </w:rPr>
        <w:footnoteRef/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There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is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an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extensive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literature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on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the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LoLR.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Questions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that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have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attracted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particular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attention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include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the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relative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benefits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(prevent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a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crisis,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address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negative</w:t>
      </w:r>
      <w:r>
        <w:rPr>
          <w:color w:val="000000" w:themeColor="text1"/>
          <w:sz w:val="20"/>
          <w:szCs w:val="20"/>
        </w:rPr>
        <w:t xml:space="preserve"> externalities</w:t>
      </w:r>
      <w:r w:rsidRPr="00D85A0A">
        <w:rPr>
          <w:color w:val="000000" w:themeColor="text1"/>
          <w:sz w:val="20"/>
          <w:szCs w:val="20"/>
        </w:rPr>
        <w:t>)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and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costs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(default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risk,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moral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hazard)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of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a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LoLR,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whether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the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LoLR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should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be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public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or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private,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and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the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price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at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which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emergency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lending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should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be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provided.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For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reviews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see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Freixas,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Parigi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and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Rochet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(2004),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Rochet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and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Vives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(2004),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Gorton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and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Metrick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(2013),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or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Ennis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(2016).</w:t>
      </w:r>
    </w:p>
  </w:footnote>
  <w:footnote w:id="6">
    <w:p w14:paraId="706103C5" w14:textId="55755F5C" w:rsidR="00CD7662" w:rsidRPr="00D85A0A" w:rsidRDefault="00CD7662" w:rsidP="00E80AC1">
      <w:pPr>
        <w:pStyle w:val="Olivier1"/>
        <w:widowControl w:val="0"/>
        <w:spacing w:after="0" w:line="240" w:lineRule="auto"/>
        <w:rPr>
          <w:color w:val="000000" w:themeColor="text1"/>
          <w:sz w:val="20"/>
          <w:szCs w:val="20"/>
        </w:rPr>
      </w:pPr>
      <w:r w:rsidRPr="00D85A0A">
        <w:rPr>
          <w:rStyle w:val="FootnoteReference"/>
          <w:color w:val="000000" w:themeColor="text1"/>
          <w:sz w:val="20"/>
          <w:szCs w:val="20"/>
        </w:rPr>
        <w:footnoteRef/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See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Gorton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and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Metrick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(2013)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or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Bordo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(2014)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for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comprehensive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historical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reviews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of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the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Fed’s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DW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operations.</w:t>
      </w:r>
      <w:r>
        <w:rPr>
          <w:color w:val="000000" w:themeColor="text1"/>
          <w:sz w:val="20"/>
          <w:szCs w:val="20"/>
        </w:rPr>
        <w:t xml:space="preserve"> </w:t>
      </w:r>
    </w:p>
  </w:footnote>
  <w:footnote w:id="7">
    <w:p w14:paraId="2B88B3A2" w14:textId="5DD3A79F" w:rsidR="00CD7662" w:rsidRPr="00D85A0A" w:rsidRDefault="00CD7662" w:rsidP="00E80AC1">
      <w:pPr>
        <w:pStyle w:val="Olivier1"/>
        <w:widowControl w:val="0"/>
        <w:spacing w:after="0" w:line="240" w:lineRule="auto"/>
        <w:rPr>
          <w:color w:val="000000" w:themeColor="text1"/>
          <w:sz w:val="20"/>
          <w:szCs w:val="20"/>
        </w:rPr>
      </w:pPr>
      <w:r w:rsidRPr="00D85A0A">
        <w:rPr>
          <w:rStyle w:val="FootnoteReference"/>
          <w:color w:val="000000" w:themeColor="text1"/>
          <w:sz w:val="20"/>
          <w:szCs w:val="20"/>
        </w:rPr>
        <w:footnoteRef/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Winters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(2012)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also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documents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how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stigma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limited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the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effectiveness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of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the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Bank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of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England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(BoE)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emergency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liquidity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facility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during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the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2007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financial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crisis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and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resulted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in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substantial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costs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to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the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financial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system.</w:t>
      </w:r>
    </w:p>
  </w:footnote>
  <w:footnote w:id="8">
    <w:p w14:paraId="75241BB0" w14:textId="066FB6E6" w:rsidR="00CD7662" w:rsidRPr="00D85A0A" w:rsidRDefault="00CD7662" w:rsidP="00E80AC1">
      <w:pPr>
        <w:pStyle w:val="Olivier1"/>
        <w:widowControl w:val="0"/>
        <w:spacing w:after="0" w:line="240" w:lineRule="auto"/>
        <w:rPr>
          <w:color w:val="000000" w:themeColor="text1"/>
          <w:sz w:val="20"/>
          <w:szCs w:val="20"/>
        </w:rPr>
      </w:pPr>
      <w:r w:rsidRPr="00D85A0A">
        <w:rPr>
          <w:rStyle w:val="FootnoteReference"/>
          <w:color w:val="000000" w:themeColor="text1"/>
          <w:sz w:val="20"/>
          <w:szCs w:val="20"/>
        </w:rPr>
        <w:footnoteRef/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Many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central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banks,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e.g.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the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BoE,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the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Bank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of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Japan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and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the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European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Central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Bank,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also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rely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on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a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corridor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system.</w:t>
      </w:r>
    </w:p>
  </w:footnote>
  <w:footnote w:id="9">
    <w:p w14:paraId="2F60F835" w14:textId="701E1BDE" w:rsidR="00CD7662" w:rsidRPr="00D85A0A" w:rsidRDefault="00CD7662" w:rsidP="00E80AC1">
      <w:pPr>
        <w:pStyle w:val="Olivier1"/>
        <w:widowControl w:val="0"/>
        <w:spacing w:after="0" w:line="240" w:lineRule="auto"/>
        <w:rPr>
          <w:color w:val="000000" w:themeColor="text1"/>
          <w:sz w:val="20"/>
          <w:szCs w:val="20"/>
        </w:rPr>
      </w:pPr>
      <w:r w:rsidRPr="00D85A0A">
        <w:rPr>
          <w:rStyle w:val="FootnoteReference"/>
          <w:color w:val="000000" w:themeColor="text1"/>
          <w:sz w:val="20"/>
          <w:szCs w:val="20"/>
        </w:rPr>
        <w:footnoteRef/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See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also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the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minutes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from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the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December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6,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2007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Federal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Open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Market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Committee.</w:t>
      </w:r>
    </w:p>
  </w:footnote>
  <w:footnote w:id="10">
    <w:p w14:paraId="5A068DBC" w14:textId="74F53868" w:rsidR="00CD7662" w:rsidRPr="00D85A0A" w:rsidRDefault="00CD7662" w:rsidP="00E80AC1">
      <w:pPr>
        <w:pStyle w:val="Olivier1"/>
        <w:widowControl w:val="0"/>
        <w:spacing w:after="0" w:line="240" w:lineRule="auto"/>
        <w:rPr>
          <w:color w:val="000000" w:themeColor="text1"/>
          <w:sz w:val="20"/>
          <w:szCs w:val="20"/>
        </w:rPr>
      </w:pPr>
      <w:r w:rsidRPr="00D85A0A">
        <w:rPr>
          <w:rStyle w:val="FootnoteReference"/>
          <w:color w:val="000000" w:themeColor="text1"/>
          <w:sz w:val="20"/>
          <w:szCs w:val="20"/>
        </w:rPr>
        <w:footnoteRef/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See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the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July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and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November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2016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minutes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from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the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Federal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Open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Market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Committee.</w:t>
      </w:r>
    </w:p>
  </w:footnote>
  <w:footnote w:id="11">
    <w:p w14:paraId="5310308E" w14:textId="4C5C91DC" w:rsidR="00CD7662" w:rsidRPr="00D85A0A" w:rsidRDefault="00CD7662" w:rsidP="00E80AC1">
      <w:pPr>
        <w:pStyle w:val="Olivier1"/>
        <w:widowControl w:val="0"/>
        <w:spacing w:after="0" w:line="240" w:lineRule="auto"/>
        <w:rPr>
          <w:color w:val="000000" w:themeColor="text1"/>
          <w:sz w:val="20"/>
          <w:szCs w:val="20"/>
        </w:rPr>
      </w:pPr>
      <w:r w:rsidRPr="00D85A0A">
        <w:rPr>
          <w:rStyle w:val="FootnoteReference"/>
          <w:color w:val="000000" w:themeColor="text1"/>
          <w:sz w:val="20"/>
          <w:szCs w:val="20"/>
        </w:rPr>
        <w:footnoteRef/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“Understanding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stigma,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and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potential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ways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to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mitigate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it,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seems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like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an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under-researched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area.”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Potter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(2016).</w:t>
      </w:r>
    </w:p>
  </w:footnote>
  <w:footnote w:id="12">
    <w:p w14:paraId="59185EEC" w14:textId="27A5D2AC" w:rsidR="00CD7662" w:rsidRPr="00D85A0A" w:rsidRDefault="00CD7662" w:rsidP="00E80AC1">
      <w:pPr>
        <w:pStyle w:val="Olivier1"/>
        <w:widowControl w:val="0"/>
        <w:spacing w:after="0" w:line="240" w:lineRule="auto"/>
        <w:rPr>
          <w:color w:val="000000" w:themeColor="text1"/>
          <w:sz w:val="20"/>
          <w:szCs w:val="20"/>
        </w:rPr>
      </w:pPr>
      <w:r w:rsidRPr="00D85A0A">
        <w:rPr>
          <w:rStyle w:val="FootnoteReference"/>
          <w:color w:val="000000" w:themeColor="text1"/>
          <w:sz w:val="20"/>
          <w:szCs w:val="20"/>
        </w:rPr>
        <w:footnoteRef/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As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explained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in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Appendix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1,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DW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borrowing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used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to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be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fully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anonymous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until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the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Dodd-Frank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Act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of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2010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required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the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Fed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to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reveal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the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identity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of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DW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borrowers.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However,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recognizing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the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possible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adverse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consequences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of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real-time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disclosure,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a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two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year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lag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was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imposed.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The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2015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Warren-Vitter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“Bailout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Prevention”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bill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recommended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disclosing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emergency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loans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to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congress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within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a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week,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prompting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concerns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about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information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leakage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and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real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time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identification.</w:t>
      </w:r>
    </w:p>
  </w:footnote>
  <w:footnote w:id="13">
    <w:p w14:paraId="1A9D9AE5" w14:textId="6E5EE1E3" w:rsidR="00CD7662" w:rsidRPr="00D85A0A" w:rsidRDefault="00CD7662" w:rsidP="00E80AC1">
      <w:pPr>
        <w:pStyle w:val="Olivier1"/>
        <w:widowControl w:val="0"/>
        <w:spacing w:after="0" w:line="240" w:lineRule="auto"/>
        <w:rPr>
          <w:sz w:val="20"/>
          <w:szCs w:val="20"/>
        </w:rPr>
      </w:pPr>
      <w:r w:rsidRPr="00D85A0A">
        <w:rPr>
          <w:rStyle w:val="FootnoteReference"/>
          <w:color w:val="000000" w:themeColor="text1"/>
          <w:sz w:val="20"/>
          <w:szCs w:val="20"/>
        </w:rPr>
        <w:footnoteRef/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In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practice,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a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bank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may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become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illiquid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when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a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set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of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depositors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suddenly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withdraw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their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deposits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or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when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a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cou</w:t>
      </w:r>
      <w:r w:rsidRPr="00D85A0A">
        <w:rPr>
          <w:sz w:val="20"/>
          <w:szCs w:val="20"/>
        </w:rPr>
        <w:t>nterparty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fails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to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send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payment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in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time.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For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an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example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of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latter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see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“</w:t>
      </w:r>
      <w:r w:rsidRPr="00D85A0A">
        <w:rPr>
          <w:i/>
          <w:sz w:val="20"/>
          <w:szCs w:val="20"/>
        </w:rPr>
        <w:t>Barclays</w:t>
      </w:r>
      <w:r>
        <w:rPr>
          <w:i/>
          <w:sz w:val="20"/>
          <w:szCs w:val="20"/>
        </w:rPr>
        <w:t xml:space="preserve"> </w:t>
      </w:r>
      <w:r w:rsidRPr="00D85A0A">
        <w:rPr>
          <w:i/>
          <w:sz w:val="20"/>
          <w:szCs w:val="20"/>
        </w:rPr>
        <w:t>admits</w:t>
      </w:r>
      <w:r>
        <w:rPr>
          <w:i/>
          <w:sz w:val="20"/>
          <w:szCs w:val="20"/>
        </w:rPr>
        <w:t xml:space="preserve"> </w:t>
      </w:r>
      <w:r w:rsidRPr="00D85A0A">
        <w:rPr>
          <w:i/>
          <w:sz w:val="20"/>
          <w:szCs w:val="20"/>
        </w:rPr>
        <w:t>borrowing</w:t>
      </w:r>
      <w:r>
        <w:rPr>
          <w:i/>
          <w:sz w:val="20"/>
          <w:szCs w:val="20"/>
        </w:rPr>
        <w:t xml:space="preserve"> </w:t>
      </w:r>
      <w:r w:rsidRPr="00D85A0A">
        <w:rPr>
          <w:i/>
          <w:sz w:val="20"/>
          <w:szCs w:val="20"/>
        </w:rPr>
        <w:t>hundreds</w:t>
      </w:r>
      <w:r>
        <w:rPr>
          <w:i/>
          <w:sz w:val="20"/>
          <w:szCs w:val="20"/>
        </w:rPr>
        <w:t xml:space="preserve"> </w:t>
      </w:r>
      <w:r w:rsidRPr="00D85A0A">
        <w:rPr>
          <w:i/>
          <w:sz w:val="20"/>
          <w:szCs w:val="20"/>
        </w:rPr>
        <w:t>of</w:t>
      </w:r>
      <w:r>
        <w:rPr>
          <w:i/>
          <w:sz w:val="20"/>
          <w:szCs w:val="20"/>
        </w:rPr>
        <w:t xml:space="preserve"> </w:t>
      </w:r>
      <w:r w:rsidRPr="00D85A0A">
        <w:rPr>
          <w:i/>
          <w:sz w:val="20"/>
          <w:szCs w:val="20"/>
        </w:rPr>
        <w:t>millions</w:t>
      </w:r>
      <w:r>
        <w:rPr>
          <w:i/>
          <w:sz w:val="20"/>
          <w:szCs w:val="20"/>
        </w:rPr>
        <w:t xml:space="preserve"> </w:t>
      </w:r>
      <w:r w:rsidRPr="00D85A0A">
        <w:rPr>
          <w:i/>
          <w:sz w:val="20"/>
          <w:szCs w:val="20"/>
        </w:rPr>
        <w:t>at</w:t>
      </w:r>
      <w:r>
        <w:rPr>
          <w:i/>
          <w:sz w:val="20"/>
          <w:szCs w:val="20"/>
        </w:rPr>
        <w:t xml:space="preserve"> </w:t>
      </w:r>
      <w:r w:rsidRPr="00D85A0A">
        <w:rPr>
          <w:i/>
          <w:sz w:val="20"/>
          <w:szCs w:val="20"/>
        </w:rPr>
        <w:t>Bank’s</w:t>
      </w:r>
      <w:r>
        <w:rPr>
          <w:i/>
          <w:sz w:val="20"/>
          <w:szCs w:val="20"/>
        </w:rPr>
        <w:t xml:space="preserve"> </w:t>
      </w:r>
      <w:r w:rsidRPr="00D85A0A">
        <w:rPr>
          <w:i/>
          <w:sz w:val="20"/>
          <w:szCs w:val="20"/>
        </w:rPr>
        <w:t>emergency</w:t>
      </w:r>
      <w:r>
        <w:rPr>
          <w:i/>
          <w:sz w:val="20"/>
          <w:szCs w:val="20"/>
        </w:rPr>
        <w:t xml:space="preserve"> </w:t>
      </w:r>
      <w:r w:rsidRPr="00D85A0A">
        <w:rPr>
          <w:i/>
          <w:sz w:val="20"/>
          <w:szCs w:val="20"/>
        </w:rPr>
        <w:t>rate</w:t>
      </w:r>
      <w:r w:rsidRPr="00D85A0A">
        <w:rPr>
          <w:sz w:val="20"/>
          <w:szCs w:val="20"/>
        </w:rPr>
        <w:t>,”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Guardian,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Aug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30,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2007.</w:t>
      </w:r>
    </w:p>
  </w:footnote>
  <w:footnote w:id="14">
    <w:p w14:paraId="48299CA2" w14:textId="1983A73D" w:rsidR="00CD7662" w:rsidRPr="00D85A0A" w:rsidRDefault="00CD7662" w:rsidP="00E80AC1">
      <w:pPr>
        <w:pStyle w:val="Olivier1"/>
        <w:widowControl w:val="0"/>
        <w:spacing w:after="0" w:line="240" w:lineRule="auto"/>
        <w:rPr>
          <w:color w:val="000000" w:themeColor="text1"/>
          <w:sz w:val="20"/>
          <w:szCs w:val="20"/>
        </w:rPr>
      </w:pPr>
      <w:r w:rsidRPr="00D85A0A"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This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assumption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is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not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necessary.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All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we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need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is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for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the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illiquidity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probability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to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be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higher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for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insolvent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banks.</w:t>
      </w:r>
      <w:r>
        <w:rPr>
          <w:color w:val="000000" w:themeColor="text1"/>
          <w:sz w:val="20"/>
          <w:szCs w:val="20"/>
        </w:rPr>
        <w:t xml:space="preserve"> </w:t>
      </w:r>
    </w:p>
  </w:footnote>
  <w:footnote w:id="15">
    <w:p w14:paraId="35DC682E" w14:textId="7F934E9D" w:rsidR="00CD7662" w:rsidRPr="00D85A0A" w:rsidRDefault="00CD7662" w:rsidP="00E80AC1">
      <w:pPr>
        <w:pStyle w:val="Olivier1"/>
        <w:widowControl w:val="0"/>
        <w:spacing w:after="0" w:line="240" w:lineRule="auto"/>
        <w:rPr>
          <w:sz w:val="20"/>
          <w:szCs w:val="20"/>
        </w:rPr>
      </w:pPr>
      <w:r w:rsidRPr="00AB5DE6">
        <w:rPr>
          <w:rStyle w:val="FootnoteReference"/>
          <w:sz w:val="20"/>
          <w:szCs w:val="20"/>
        </w:rPr>
        <w:footnoteRef/>
      </w:r>
      <w:r w:rsidRPr="00AB5DE6">
        <w:rPr>
          <w:sz w:val="20"/>
          <w:szCs w:val="20"/>
        </w:rPr>
        <w:t xml:space="preserve"> </w:t>
      </w:r>
      <w:r w:rsidRPr="00AB5DE6">
        <w:rPr>
          <w:color w:val="000000" w:themeColor="text1"/>
          <w:sz w:val="20"/>
          <w:szCs w:val="20"/>
        </w:rPr>
        <w:t>This assumption</w:t>
      </w:r>
      <w:r>
        <w:rPr>
          <w:color w:val="000000" w:themeColor="text1"/>
          <w:sz w:val="20"/>
          <w:szCs w:val="20"/>
        </w:rPr>
        <w:t xml:space="preserve"> </w:t>
      </w:r>
      <w:r w:rsidRPr="00AB5DE6">
        <w:rPr>
          <w:color w:val="000000" w:themeColor="text1"/>
          <w:sz w:val="20"/>
          <w:szCs w:val="20"/>
        </w:rPr>
        <w:t xml:space="preserve">is not necessary. </w:t>
      </w:r>
      <w:r>
        <w:rPr>
          <w:color w:val="000000" w:themeColor="text1"/>
          <w:sz w:val="20"/>
          <w:szCs w:val="20"/>
        </w:rPr>
        <w:t>I</w:t>
      </w:r>
      <w:r w:rsidRPr="00AB5DE6">
        <w:rPr>
          <w:color w:val="000000" w:themeColor="text1"/>
          <w:sz w:val="20"/>
          <w:szCs w:val="20"/>
        </w:rPr>
        <w:t xml:space="preserve">nsolvent banks </w:t>
      </w:r>
      <w:r>
        <w:rPr>
          <w:color w:val="000000" w:themeColor="text1"/>
          <w:sz w:val="20"/>
          <w:szCs w:val="20"/>
        </w:rPr>
        <w:t>could be</w:t>
      </w:r>
      <w:r w:rsidRPr="00AB5DE6">
        <w:rPr>
          <w:color w:val="000000" w:themeColor="text1"/>
          <w:sz w:val="20"/>
          <w:szCs w:val="20"/>
        </w:rPr>
        <w:t xml:space="preserve"> granted DW access with a </w:t>
      </w:r>
      <w:r>
        <w:rPr>
          <w:color w:val="000000" w:themeColor="text1"/>
          <w:sz w:val="20"/>
          <w:szCs w:val="20"/>
        </w:rPr>
        <w:t xml:space="preserve">positive </w:t>
      </w:r>
      <w:r w:rsidRPr="00AB5DE6">
        <w:rPr>
          <w:color w:val="000000" w:themeColor="text1"/>
          <w:sz w:val="20"/>
          <w:szCs w:val="20"/>
        </w:rPr>
        <w:t>probability</w:t>
      </w:r>
      <w:r>
        <w:rPr>
          <w:color w:val="000000" w:themeColor="text1"/>
          <w:sz w:val="20"/>
          <w:szCs w:val="20"/>
        </w:rPr>
        <w:t>.</w:t>
      </w:r>
      <w:r w:rsidRPr="00AB5DE6">
        <w:rPr>
          <w:sz w:val="20"/>
          <w:szCs w:val="20"/>
        </w:rPr>
        <w:t xml:space="preserve"> </w:t>
      </w:r>
      <w:r>
        <w:rPr>
          <w:sz w:val="20"/>
          <w:szCs w:val="20"/>
        </w:rPr>
        <w:t>This probability, h</w:t>
      </w:r>
      <w:r w:rsidRPr="00D85A0A">
        <w:rPr>
          <w:sz w:val="20"/>
          <w:szCs w:val="20"/>
        </w:rPr>
        <w:t>owever,</w:t>
      </w:r>
      <w:r>
        <w:rPr>
          <w:sz w:val="20"/>
          <w:szCs w:val="20"/>
        </w:rPr>
        <w:t xml:space="preserve"> cannot be too small as </w:t>
      </w:r>
      <w:r w:rsidRPr="00D85A0A">
        <w:rPr>
          <w:sz w:val="20"/>
          <w:szCs w:val="20"/>
        </w:rPr>
        <w:t>there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cannot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be</w:t>
      </w:r>
      <w:r>
        <w:rPr>
          <w:sz w:val="20"/>
          <w:szCs w:val="20"/>
        </w:rPr>
        <w:t xml:space="preserve"> DW </w:t>
      </w:r>
      <w:r w:rsidRPr="00D85A0A">
        <w:rPr>
          <w:sz w:val="20"/>
          <w:szCs w:val="20"/>
        </w:rPr>
        <w:t>stigma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when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central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bank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can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screen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solvent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banks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(nearly)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perfectly.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In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that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case,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opposite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of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stigma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would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occur: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banks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would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have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an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incentive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to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borrow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at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DW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and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make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it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public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to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show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market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participants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they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received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“certificate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of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solvency”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from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central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bank.</w:t>
      </w:r>
    </w:p>
  </w:footnote>
  <w:footnote w:id="16">
    <w:p w14:paraId="076973BC" w14:textId="573E7F51" w:rsidR="00CD7662" w:rsidRPr="00D85A0A" w:rsidRDefault="00CD7662" w:rsidP="00E80AC1">
      <w:pPr>
        <w:pStyle w:val="Olivier1"/>
        <w:widowControl w:val="0"/>
        <w:spacing w:after="0" w:line="240" w:lineRule="auto"/>
        <w:rPr>
          <w:sz w:val="20"/>
          <w:szCs w:val="20"/>
        </w:rPr>
      </w:pPr>
      <w:r w:rsidRPr="00D85A0A"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An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equivalent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interpretation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of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model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(adopted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by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Tirole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2012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and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Ennis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2017)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is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that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bank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can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embark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on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risky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project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for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which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it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needs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funding.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If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investor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funds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project,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then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investor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gets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either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0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or</w:t>
      </w:r>
      <w:r>
        <w:rPr>
          <w:sz w:val="20"/>
          <w:szCs w:val="20"/>
        </w:rPr>
        <w:t xml:space="preserve"> </w:t>
      </w:r>
      <m:oMath>
        <m:r>
          <w:rPr>
            <w:rFonts w:ascii="Cambria Math" w:hAnsi="Cambria Math"/>
            <w:sz w:val="20"/>
            <w:szCs w:val="20"/>
          </w:rPr>
          <m:t>V</m:t>
        </m:r>
      </m:oMath>
      <w:r w:rsidRPr="00D85A0A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and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the</w:t>
      </w:r>
      <w:r>
        <w:rPr>
          <w:sz w:val="20"/>
          <w:szCs w:val="20"/>
        </w:rPr>
        <w:t xml:space="preserve"> bank </w:t>
      </w:r>
      <w:r w:rsidRPr="00D85A0A">
        <w:rPr>
          <w:sz w:val="20"/>
          <w:szCs w:val="20"/>
        </w:rPr>
        <w:t>gets</w:t>
      </w:r>
      <w:r>
        <w:rPr>
          <w:sz w:val="20"/>
          <w:szCs w:val="20"/>
        </w:rPr>
        <w:t xml:space="preserve"> </w:t>
      </w:r>
      <m:oMath>
        <m:r>
          <w:rPr>
            <w:rFonts w:ascii="Cambria Math" w:hAnsi="Cambria Math"/>
            <w:sz w:val="20"/>
            <w:szCs w:val="20"/>
          </w:rPr>
          <m:t>k</m:t>
        </m:r>
      </m:oMath>
      <w:r w:rsidRPr="00D85A0A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Otherwise,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investor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gets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an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outside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option</w:t>
      </w:r>
      <w:r>
        <w:rPr>
          <w:sz w:val="20"/>
          <w:szCs w:val="20"/>
        </w:rPr>
        <w:t xml:space="preserve"> </w:t>
      </w:r>
      <m:oMath>
        <m:r>
          <w:rPr>
            <w:rFonts w:ascii="Cambria Math" w:hAnsi="Cambria Math"/>
            <w:sz w:val="20"/>
            <w:szCs w:val="20"/>
          </w:rPr>
          <m:t>v&lt;V</m:t>
        </m:r>
      </m:oMath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and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the</w:t>
      </w:r>
      <w:r>
        <w:rPr>
          <w:sz w:val="20"/>
          <w:szCs w:val="20"/>
        </w:rPr>
        <w:t xml:space="preserve"> bank </w:t>
      </w:r>
      <w:r w:rsidRPr="00D85A0A">
        <w:rPr>
          <w:sz w:val="20"/>
          <w:szCs w:val="20"/>
        </w:rPr>
        <w:t>gets</w:t>
      </w:r>
      <w:r>
        <w:rPr>
          <w:sz w:val="20"/>
          <w:szCs w:val="20"/>
        </w:rPr>
        <w:t xml:space="preserve"> </w:t>
      </w:r>
      <m:oMath>
        <m:r>
          <w:rPr>
            <w:rFonts w:ascii="Cambria Math" w:hAnsi="Cambria Math"/>
            <w:sz w:val="20"/>
            <w:szCs w:val="20"/>
          </w:rPr>
          <m:t>0</m:t>
        </m:r>
      </m:oMath>
      <w:r w:rsidRPr="00D85A0A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Note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also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that,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to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simplify,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we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assume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that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illiquid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banks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have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same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payoff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function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when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solvent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and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insolvent.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model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can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be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generalized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by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assuming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that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funded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bank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has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some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“skin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in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game”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and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benefits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from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success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of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risky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project.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In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that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case,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it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is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easy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to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show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that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equilibria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discussed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next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are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unaffected,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but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that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separating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equilibrium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under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which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only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insolvent-illiquid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banks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borrow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at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DW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may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emerge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under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specific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parameter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values.</w:t>
      </w:r>
    </w:p>
  </w:footnote>
  <w:footnote w:id="17">
    <w:p w14:paraId="296C6F87" w14:textId="0D1AA78D" w:rsidR="00CD7662" w:rsidRPr="00D85A0A" w:rsidRDefault="00CD7662" w:rsidP="00E80AC1">
      <w:pPr>
        <w:pStyle w:val="Olivier1"/>
        <w:widowControl w:val="0"/>
        <w:spacing w:after="0" w:line="240" w:lineRule="auto"/>
        <w:rPr>
          <w:color w:val="FF0000"/>
          <w:sz w:val="20"/>
          <w:szCs w:val="20"/>
        </w:rPr>
      </w:pPr>
      <w:r w:rsidRPr="00D85A0A"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As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explained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in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Appendix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1,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the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DW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was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fully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anonymous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between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1913-2010.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Further,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the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banks’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clearinghouse</w:t>
      </w:r>
      <w:r>
        <w:rPr>
          <w:color w:val="000000" w:themeColor="text1"/>
          <w:sz w:val="20"/>
          <w:szCs w:val="20"/>
        </w:rPr>
        <w:t xml:space="preserve"> that </w:t>
      </w:r>
      <w:r w:rsidRPr="00D85A0A">
        <w:rPr>
          <w:color w:val="000000" w:themeColor="text1"/>
          <w:sz w:val="20"/>
          <w:szCs w:val="20"/>
        </w:rPr>
        <w:t>preceded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the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Fed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as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a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(private)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LoLR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also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operated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under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secrecy</w:t>
      </w:r>
      <w:r w:rsidRPr="00D85A0A">
        <w:rPr>
          <w:rFonts w:eastAsiaTheme="minorEastAsia"/>
          <w:color w:val="000000" w:themeColor="text1"/>
          <w:sz w:val="20"/>
          <w:szCs w:val="20"/>
        </w:rPr>
        <w:t>.</w:t>
      </w:r>
    </w:p>
  </w:footnote>
  <w:footnote w:id="18">
    <w:p w14:paraId="481EE540" w14:textId="197268DC" w:rsidR="00CD7662" w:rsidRPr="00D85A0A" w:rsidRDefault="00CD7662" w:rsidP="00E80AC1">
      <w:pPr>
        <w:pStyle w:val="Olivier1"/>
        <w:widowControl w:val="0"/>
        <w:spacing w:after="0" w:line="240" w:lineRule="auto"/>
        <w:rPr>
          <w:sz w:val="20"/>
          <w:szCs w:val="20"/>
        </w:rPr>
      </w:pPr>
      <w:r w:rsidRPr="00D85A0A"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During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the</w:t>
      </w:r>
      <w:r>
        <w:rPr>
          <w:sz w:val="20"/>
          <w:szCs w:val="20"/>
        </w:rPr>
        <w:t xml:space="preserve"> 2007 </w:t>
      </w:r>
      <w:r w:rsidRPr="00D85A0A">
        <w:rPr>
          <w:sz w:val="20"/>
          <w:szCs w:val="20"/>
        </w:rPr>
        <w:t>financial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crisis,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press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reported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that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Deutsche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Bank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had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accessed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DW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(“Fed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fails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to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calm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money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markets,”</w:t>
      </w:r>
      <w:r>
        <w:rPr>
          <w:sz w:val="20"/>
          <w:szCs w:val="20"/>
        </w:rPr>
        <w:t xml:space="preserve"> </w:t>
      </w:r>
      <w:r w:rsidRPr="00D85A0A">
        <w:rPr>
          <w:i/>
          <w:sz w:val="20"/>
          <w:szCs w:val="20"/>
        </w:rPr>
        <w:t>The</w:t>
      </w:r>
      <w:r>
        <w:rPr>
          <w:i/>
          <w:sz w:val="20"/>
          <w:szCs w:val="20"/>
        </w:rPr>
        <w:t xml:space="preserve"> </w:t>
      </w:r>
      <w:r w:rsidRPr="00D85A0A">
        <w:rPr>
          <w:i/>
          <w:sz w:val="20"/>
          <w:szCs w:val="20"/>
        </w:rPr>
        <w:t>Financial</w:t>
      </w:r>
      <w:r>
        <w:rPr>
          <w:i/>
          <w:sz w:val="20"/>
          <w:szCs w:val="20"/>
        </w:rPr>
        <w:t xml:space="preserve"> </w:t>
      </w:r>
      <w:r w:rsidRPr="00D85A0A">
        <w:rPr>
          <w:i/>
          <w:sz w:val="20"/>
          <w:szCs w:val="20"/>
        </w:rPr>
        <w:t>Times</w:t>
      </w:r>
      <w:r w:rsidRPr="00D85A0A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August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20,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2007).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Similarly,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Barclays’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use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of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BoE’s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DW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was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immediately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reported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(“Barclays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admits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borrowing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hundreds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of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millions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at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Bank’s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emergency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rate,”</w:t>
      </w:r>
      <w:r>
        <w:rPr>
          <w:sz w:val="20"/>
          <w:szCs w:val="20"/>
        </w:rPr>
        <w:t xml:space="preserve"> </w:t>
      </w:r>
      <w:r w:rsidRPr="00D85A0A">
        <w:rPr>
          <w:i/>
          <w:sz w:val="20"/>
          <w:szCs w:val="20"/>
        </w:rPr>
        <w:t>The</w:t>
      </w:r>
      <w:r>
        <w:rPr>
          <w:i/>
          <w:sz w:val="20"/>
          <w:szCs w:val="20"/>
        </w:rPr>
        <w:t xml:space="preserve"> </w:t>
      </w:r>
      <w:r w:rsidRPr="00D85A0A">
        <w:rPr>
          <w:i/>
          <w:sz w:val="20"/>
          <w:szCs w:val="20"/>
        </w:rPr>
        <w:t>Guardian</w:t>
      </w:r>
      <w:r w:rsidRPr="00D85A0A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August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30,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2007).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Finally,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BBC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leak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that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Northern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Rock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borrowed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from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BoE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was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instrumental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in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bank’s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demise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(Shin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2009).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Beyond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media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coverage,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two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identification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channels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are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often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mentioned.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First,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DW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borrowers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may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be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identified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from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Fed’s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weekly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public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report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of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aggregate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DW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borrowings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by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district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(Duke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2010).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Second,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analysts,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bankers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and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investors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may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be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able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to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make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educated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guesses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about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possible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DW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borrowers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based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on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market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activity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(“Banks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Face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Borrowing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Stigma,”</w:t>
      </w:r>
      <w:r>
        <w:rPr>
          <w:sz w:val="20"/>
          <w:szCs w:val="20"/>
        </w:rPr>
        <w:t xml:space="preserve"> </w:t>
      </w:r>
      <w:r w:rsidRPr="00D85A0A">
        <w:rPr>
          <w:i/>
          <w:sz w:val="20"/>
          <w:szCs w:val="20"/>
        </w:rPr>
        <w:t>The</w:t>
      </w:r>
      <w:r>
        <w:rPr>
          <w:i/>
          <w:sz w:val="20"/>
          <w:szCs w:val="20"/>
        </w:rPr>
        <w:t xml:space="preserve"> </w:t>
      </w:r>
      <w:r w:rsidRPr="00D85A0A">
        <w:rPr>
          <w:i/>
          <w:sz w:val="20"/>
          <w:szCs w:val="20"/>
        </w:rPr>
        <w:t>Wall</w:t>
      </w:r>
      <w:r>
        <w:rPr>
          <w:i/>
          <w:sz w:val="20"/>
          <w:szCs w:val="20"/>
        </w:rPr>
        <w:t xml:space="preserve"> </w:t>
      </w:r>
      <w:r w:rsidRPr="00D85A0A">
        <w:rPr>
          <w:i/>
          <w:sz w:val="20"/>
          <w:szCs w:val="20"/>
        </w:rPr>
        <w:t>Street</w:t>
      </w:r>
      <w:r>
        <w:rPr>
          <w:i/>
          <w:sz w:val="20"/>
          <w:szCs w:val="20"/>
        </w:rPr>
        <w:t xml:space="preserve"> </w:t>
      </w:r>
      <w:r w:rsidRPr="00D85A0A">
        <w:rPr>
          <w:i/>
          <w:sz w:val="20"/>
          <w:szCs w:val="20"/>
        </w:rPr>
        <w:t>Journal</w:t>
      </w:r>
      <w:r w:rsidRPr="00D85A0A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April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1</w:t>
      </w:r>
      <w:r>
        <w:rPr>
          <w:sz w:val="20"/>
          <w:szCs w:val="20"/>
        </w:rPr>
        <w:t>, 2011</w:t>
      </w:r>
      <w:r w:rsidRPr="00D85A0A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</w:footnote>
  <w:footnote w:id="19">
    <w:p w14:paraId="36EEAB79" w14:textId="78B61B1B" w:rsidR="00CD7662" w:rsidRPr="00D85A0A" w:rsidRDefault="00CD7662" w:rsidP="00E80AC1">
      <w:pPr>
        <w:pStyle w:val="Olivier1"/>
        <w:widowControl w:val="0"/>
        <w:spacing w:after="0" w:line="240" w:lineRule="auto"/>
        <w:rPr>
          <w:sz w:val="20"/>
          <w:szCs w:val="20"/>
        </w:rPr>
      </w:pPr>
      <w:r w:rsidRPr="00D85A0A"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Under</w:t>
      </w:r>
      <w:r>
        <w:rPr>
          <w:sz w:val="20"/>
          <w:szCs w:val="20"/>
        </w:rPr>
        <w:t xml:space="preserve"> </w:t>
      </w:r>
      <w:r w:rsidRPr="00D85A0A">
        <w:rPr>
          <w:i/>
          <w:sz w:val="20"/>
          <w:szCs w:val="20"/>
        </w:rPr>
        <w:t>R1</w:t>
      </w:r>
      <w:r w:rsidRPr="00D85A0A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total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surplus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when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an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insolvent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bank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is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not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funded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(in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which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case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bank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gets</w:t>
      </w:r>
      <w:r>
        <w:rPr>
          <w:sz w:val="20"/>
          <w:szCs w:val="20"/>
        </w:rPr>
        <w:t xml:space="preserve"> </w:t>
      </w:r>
      <m:oMath>
        <m:r>
          <w:rPr>
            <w:rFonts w:ascii="Cambria Math" w:hAnsi="Cambria Math"/>
            <w:sz w:val="20"/>
            <w:szCs w:val="20"/>
          </w:rPr>
          <m:t>0</m:t>
        </m:r>
      </m:oMath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and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investor</w:t>
      </w:r>
      <w:r>
        <w:rPr>
          <w:sz w:val="20"/>
          <w:szCs w:val="20"/>
        </w:rPr>
        <w:t xml:space="preserve"> </w:t>
      </w:r>
      <m:oMath>
        <m:r>
          <w:rPr>
            <w:rFonts w:ascii="Cambria Math" w:hAnsi="Cambria Math"/>
            <w:sz w:val="20"/>
            <w:szCs w:val="20"/>
          </w:rPr>
          <m:t>v</m:t>
        </m:r>
      </m:oMath>
      <w:r w:rsidRPr="00D85A0A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is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larger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than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total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surplus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when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an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insolvent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bank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is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funded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(in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which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case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bank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gets</w:t>
      </w:r>
      <w:r>
        <w:rPr>
          <w:sz w:val="20"/>
          <w:szCs w:val="20"/>
        </w:rPr>
        <w:t xml:space="preserve"> </w:t>
      </w:r>
      <m:oMath>
        <m:r>
          <w:rPr>
            <w:rFonts w:ascii="Cambria Math" w:hAnsi="Cambria Math"/>
            <w:sz w:val="20"/>
            <w:szCs w:val="20"/>
          </w:rPr>
          <m:t>k</m:t>
        </m:r>
      </m:oMath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and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investor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0)</w:t>
      </w:r>
      <m:oMath>
        <m:r>
          <m:rPr>
            <m:sty m:val="p"/>
          </m:rPr>
          <w:rPr>
            <w:rFonts w:ascii="Cambria Math" w:hAnsi="Cambria Math"/>
            <w:sz w:val="20"/>
            <w:szCs w:val="20"/>
          </w:rPr>
          <m:t>.</m:t>
        </m:r>
      </m:oMath>
    </w:p>
  </w:footnote>
  <w:footnote w:id="20">
    <w:p w14:paraId="6C7BF4E8" w14:textId="45F4CD20" w:rsidR="00CD7662" w:rsidRPr="00D85A0A" w:rsidRDefault="00CD7662" w:rsidP="00E80AC1">
      <w:pPr>
        <w:pStyle w:val="Olivier1"/>
        <w:widowControl w:val="0"/>
        <w:spacing w:after="0" w:line="240" w:lineRule="auto"/>
        <w:rPr>
          <w:sz w:val="20"/>
          <w:szCs w:val="20"/>
        </w:rPr>
      </w:pPr>
      <w:r w:rsidRPr="00D85A0A"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second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inequality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in</w:t>
      </w:r>
      <w:r>
        <w:rPr>
          <w:sz w:val="20"/>
          <w:szCs w:val="20"/>
        </w:rPr>
        <w:t xml:space="preserve"> </w:t>
      </w:r>
      <w:r w:rsidRPr="00D85A0A">
        <w:rPr>
          <w:i/>
          <w:sz w:val="20"/>
          <w:szCs w:val="20"/>
        </w:rPr>
        <w:t>R2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also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implies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that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market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is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not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frozen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in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period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2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in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absence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of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DW,</w:t>
      </w:r>
      <w:r>
        <w:rPr>
          <w:sz w:val="20"/>
          <w:szCs w:val="20"/>
        </w:rPr>
        <w:t xml:space="preserve"> because </w:t>
      </w:r>
      <w:r w:rsidRPr="00D85A0A">
        <w:rPr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investor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is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willing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to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fund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random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bank.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This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is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in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contrast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with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Tirole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(2012)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and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Che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et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al.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(2018)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who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government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intervention</w:t>
      </w:r>
      <w:r>
        <w:rPr>
          <w:sz w:val="20"/>
          <w:szCs w:val="20"/>
        </w:rPr>
        <w:t xml:space="preserve"> aimed at </w:t>
      </w:r>
      <w:r w:rsidRPr="00D85A0A">
        <w:rPr>
          <w:sz w:val="20"/>
          <w:szCs w:val="20"/>
        </w:rPr>
        <w:t>jumpstart</w:t>
      </w:r>
      <w:r>
        <w:rPr>
          <w:sz w:val="20"/>
          <w:szCs w:val="20"/>
        </w:rPr>
        <w:t xml:space="preserve">ing </w:t>
      </w:r>
      <w:r w:rsidRPr="00D85A0A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market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that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is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otherwise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frozen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(i.e.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no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bank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gets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funded).</w:t>
      </w:r>
      <w:r>
        <w:rPr>
          <w:sz w:val="20"/>
          <w:szCs w:val="20"/>
        </w:rPr>
        <w:t xml:space="preserve"> T</w:t>
      </w:r>
      <w:r w:rsidRPr="00D85A0A">
        <w:rPr>
          <w:sz w:val="20"/>
          <w:szCs w:val="20"/>
        </w:rPr>
        <w:t>he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DW</w:t>
      </w:r>
      <w:r>
        <w:rPr>
          <w:sz w:val="20"/>
          <w:szCs w:val="20"/>
        </w:rPr>
        <w:t xml:space="preserve">, however, </w:t>
      </w:r>
      <w:r w:rsidRPr="00D85A0A">
        <w:rPr>
          <w:sz w:val="20"/>
          <w:szCs w:val="20"/>
        </w:rPr>
        <w:t>is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D85A0A">
        <w:rPr>
          <w:i/>
          <w:sz w:val="20"/>
          <w:szCs w:val="20"/>
        </w:rPr>
        <w:t>permanent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facility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and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its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primary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role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is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not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to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jumpstart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markets.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Finally,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it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is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easy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to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show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that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there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cannot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be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stigma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in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equilibrium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if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we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relax</w:t>
      </w:r>
      <w:r>
        <w:rPr>
          <w:sz w:val="20"/>
          <w:szCs w:val="20"/>
        </w:rPr>
        <w:t xml:space="preserve"> </w:t>
      </w:r>
      <w:r w:rsidRPr="00D85A0A">
        <w:rPr>
          <w:i/>
          <w:sz w:val="20"/>
          <w:szCs w:val="20"/>
        </w:rPr>
        <w:t>R2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and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assume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that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absent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DW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market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is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frozen.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Indeed,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if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there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is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stigma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and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no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one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borrows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at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DW</w:t>
      </w:r>
      <w:r>
        <w:rPr>
          <w:sz w:val="20"/>
          <w:szCs w:val="20"/>
        </w:rPr>
        <w:t xml:space="preserve"> in period 1</w:t>
      </w:r>
      <w:r w:rsidRPr="00D85A0A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then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market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remains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frozen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and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no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bank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gets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funded</w:t>
      </w:r>
      <w:r>
        <w:rPr>
          <w:sz w:val="20"/>
          <w:szCs w:val="20"/>
        </w:rPr>
        <w:t xml:space="preserve"> in period 2</w:t>
      </w:r>
      <w:r w:rsidRPr="00D85A0A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in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which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case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illiquid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banks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have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an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incentive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to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deviate</w:t>
      </w:r>
      <w:r>
        <w:rPr>
          <w:sz w:val="20"/>
          <w:szCs w:val="20"/>
        </w:rPr>
        <w:t xml:space="preserve"> in period 1 </w:t>
      </w:r>
      <w:r w:rsidRPr="00D85A0A">
        <w:rPr>
          <w:sz w:val="20"/>
          <w:szCs w:val="20"/>
        </w:rPr>
        <w:t>and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pay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lower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cost</w:t>
      </w:r>
      <w:r>
        <w:rPr>
          <w:sz w:val="20"/>
          <w:szCs w:val="20"/>
        </w:rPr>
        <w:t xml:space="preserve"> </w:t>
      </w:r>
      <m:oMath>
        <m:r>
          <w:rPr>
            <w:rFonts w:ascii="Cambria Math" w:hAnsi="Cambria Math"/>
            <w:sz w:val="20"/>
            <w:szCs w:val="20"/>
          </w:rPr>
          <m:t>dw</m:t>
        </m:r>
      </m:oMath>
      <w:r w:rsidRPr="00D85A0A">
        <w:rPr>
          <w:sz w:val="20"/>
          <w:szCs w:val="20"/>
        </w:rPr>
        <w:t>.</w:t>
      </w:r>
    </w:p>
  </w:footnote>
  <w:footnote w:id="21">
    <w:p w14:paraId="4EF4DB5C" w14:textId="5F7860AC" w:rsidR="00CD7662" w:rsidRPr="00D85A0A" w:rsidRDefault="00CD7662" w:rsidP="00E80AC1">
      <w:pPr>
        <w:pStyle w:val="Olivier1"/>
        <w:widowControl w:val="0"/>
        <w:spacing w:after="0" w:line="240" w:lineRule="auto"/>
        <w:rPr>
          <w:sz w:val="20"/>
          <w:szCs w:val="20"/>
        </w:rPr>
      </w:pPr>
      <w:r w:rsidRPr="00D85A0A"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In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the</w:t>
      </w:r>
      <w:r>
        <w:rPr>
          <w:sz w:val="20"/>
          <w:szCs w:val="20"/>
        </w:rPr>
        <w:t xml:space="preserve"> 2009 </w:t>
      </w:r>
      <w:r w:rsidRPr="00D85A0A">
        <w:rPr>
          <w:sz w:val="20"/>
          <w:szCs w:val="20"/>
        </w:rPr>
        <w:t>lawsuit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filed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by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Bloomberg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News</w:t>
      </w:r>
      <w:r>
        <w:rPr>
          <w:sz w:val="20"/>
          <w:szCs w:val="20"/>
        </w:rPr>
        <w:t xml:space="preserve"> to obtain DW data</w:t>
      </w:r>
      <w:r w:rsidRPr="00D85A0A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Fed’s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officials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argued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that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revealing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identity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of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DW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borrowers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would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stigmatize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banks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and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impede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Fed’s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ability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to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respond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to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future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crises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(Madigan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2009).</w:t>
      </w:r>
    </w:p>
  </w:footnote>
  <w:footnote w:id="22">
    <w:p w14:paraId="7C06C510" w14:textId="71D63A36" w:rsidR="00CD7662" w:rsidRPr="00D85A0A" w:rsidRDefault="00CD7662" w:rsidP="00E80AC1">
      <w:pPr>
        <w:pStyle w:val="Olivier1"/>
        <w:widowControl w:val="0"/>
        <w:spacing w:after="0" w:line="240" w:lineRule="auto"/>
        <w:rPr>
          <w:sz w:val="20"/>
          <w:szCs w:val="20"/>
        </w:rPr>
      </w:pPr>
      <w:r w:rsidRPr="00D85A0A"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comprehensive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welfare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analysis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is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more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difficult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as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it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requires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defining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social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costs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of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DW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lending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(which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uses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public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funds),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of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its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alternatives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(e.g.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fire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sales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create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negative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externalities),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and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of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DW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stigma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(which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prevents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central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bank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from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effectively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acting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as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LoLR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and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implementing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monetary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policy).</w:t>
      </w:r>
      <w:r>
        <w:rPr>
          <w:sz w:val="20"/>
          <w:szCs w:val="20"/>
        </w:rPr>
        <w:t xml:space="preserve"> </w:t>
      </w:r>
    </w:p>
  </w:footnote>
  <w:footnote w:id="23">
    <w:p w14:paraId="1AC35B45" w14:textId="601543B1" w:rsidR="00CD7662" w:rsidRPr="00D85A0A" w:rsidRDefault="00CD7662" w:rsidP="00E80AC1">
      <w:pPr>
        <w:pStyle w:val="Olivier1"/>
        <w:widowControl w:val="0"/>
        <w:spacing w:after="0" w:line="240" w:lineRule="auto"/>
        <w:rPr>
          <w:sz w:val="20"/>
          <w:szCs w:val="20"/>
        </w:rPr>
      </w:pPr>
      <w:r w:rsidRPr="00D85A0A"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Alternatively,</w:t>
      </w:r>
      <w:r>
        <w:rPr>
          <w:color w:val="000000" w:themeColor="text1"/>
          <w:sz w:val="20"/>
          <w:szCs w:val="20"/>
        </w:rPr>
        <w:t xml:space="preserve"> we </w:t>
      </w:r>
      <w:r w:rsidRPr="00D85A0A">
        <w:rPr>
          <w:color w:val="000000" w:themeColor="text1"/>
          <w:sz w:val="20"/>
          <w:szCs w:val="20"/>
        </w:rPr>
        <w:t>could</w:t>
      </w:r>
      <w:r>
        <w:rPr>
          <w:color w:val="000000" w:themeColor="text1"/>
          <w:sz w:val="20"/>
          <w:szCs w:val="20"/>
        </w:rPr>
        <w:t xml:space="preserve"> consider </w:t>
      </w:r>
      <w:r w:rsidRPr="00D85A0A">
        <w:rPr>
          <w:color w:val="000000" w:themeColor="text1"/>
          <w:sz w:val="20"/>
          <w:szCs w:val="20"/>
        </w:rPr>
        <w:t>that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DW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loans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are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extended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only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to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solvent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banks.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Note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however,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that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DW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loans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are</w:t>
      </w:r>
      <w:r>
        <w:rPr>
          <w:color w:val="000000" w:themeColor="text1"/>
          <w:sz w:val="20"/>
          <w:szCs w:val="20"/>
        </w:rPr>
        <w:t xml:space="preserve"> fully </w:t>
      </w:r>
      <w:r w:rsidRPr="00D85A0A">
        <w:rPr>
          <w:color w:val="000000" w:themeColor="text1"/>
          <w:sz w:val="20"/>
          <w:szCs w:val="20"/>
        </w:rPr>
        <w:t>collateralized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with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a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haircut.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Thus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failure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to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repay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a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DW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loan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should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have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limited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to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no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cost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to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the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public.</w:t>
      </w:r>
    </w:p>
  </w:footnote>
  <w:footnote w:id="24">
    <w:p w14:paraId="2AA79773" w14:textId="73025271" w:rsidR="00CD7662" w:rsidRPr="00D85A0A" w:rsidRDefault="00CD7662" w:rsidP="00E80AC1">
      <w:pPr>
        <w:pStyle w:val="Olivier1"/>
        <w:widowControl w:val="0"/>
        <w:spacing w:after="0" w:line="240" w:lineRule="auto"/>
        <w:rPr>
          <w:sz w:val="20"/>
          <w:szCs w:val="20"/>
        </w:rPr>
      </w:pPr>
      <w:r w:rsidRPr="00D85A0A"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assumption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that,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when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detected,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voluntary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and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involuntary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DW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borrowers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are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indistinguishable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is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not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necessary.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investor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could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distinguish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voluntary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and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involuntary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borrowers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with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small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probability.</w:t>
      </w:r>
      <w:r>
        <w:rPr>
          <w:sz w:val="20"/>
          <w:szCs w:val="20"/>
        </w:rPr>
        <w:t xml:space="preserve"> </w:t>
      </w:r>
    </w:p>
  </w:footnote>
  <w:footnote w:id="25">
    <w:p w14:paraId="1F860684" w14:textId="04012ED8" w:rsidR="00CD7662" w:rsidRPr="00D85A0A" w:rsidRDefault="00CD7662" w:rsidP="00E80AC1">
      <w:pPr>
        <w:pStyle w:val="Olivier1"/>
        <w:widowControl w:val="0"/>
        <w:spacing w:after="0" w:line="240" w:lineRule="auto"/>
        <w:rPr>
          <w:sz w:val="20"/>
          <w:szCs w:val="20"/>
        </w:rPr>
      </w:pPr>
      <w:r w:rsidRPr="00D85A0A"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There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is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one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difference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between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experiment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and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game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described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in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Section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2.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To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avoid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banks’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losses,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and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to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make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payoffs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comparable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across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subjects,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every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bank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receives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lump-sum</w:t>
      </w:r>
      <w:r>
        <w:rPr>
          <w:sz w:val="20"/>
          <w:szCs w:val="20"/>
        </w:rPr>
        <w:t xml:space="preserve"> </w:t>
      </w:r>
      <w:r w:rsidRPr="00D85A0A">
        <w:rPr>
          <w:i/>
          <w:sz w:val="20"/>
          <w:szCs w:val="20"/>
        </w:rPr>
        <w:t>k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in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each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round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described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to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subjects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as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bank’s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profit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from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operating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in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period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1.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lump-sum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is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irrelevant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in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model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and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does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not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affect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equilibrium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calculations.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experimental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results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presented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in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remainder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do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not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take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lump-sum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into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consideration.</w:t>
      </w:r>
    </w:p>
  </w:footnote>
  <w:footnote w:id="26">
    <w:p w14:paraId="4C140F69" w14:textId="45855084" w:rsidR="00CD7662" w:rsidRPr="00D85A0A" w:rsidRDefault="00CD7662" w:rsidP="00E80AC1">
      <w:pPr>
        <w:pStyle w:val="Olivier1"/>
        <w:widowControl w:val="0"/>
        <w:spacing w:after="0" w:line="240" w:lineRule="auto"/>
        <w:rPr>
          <w:sz w:val="20"/>
          <w:szCs w:val="20"/>
        </w:rPr>
      </w:pPr>
      <w:r w:rsidRPr="00D85A0A"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We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recognize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that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there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are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pros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and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cons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in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using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strategy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method,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providing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feed-back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and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introducing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context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in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experiment.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Note,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however,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that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these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design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features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are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common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to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all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treatments.</w:t>
      </w:r>
    </w:p>
  </w:footnote>
  <w:footnote w:id="27">
    <w:p w14:paraId="0C8938E9" w14:textId="3702F21A" w:rsidR="00CD7662" w:rsidRPr="00D85A0A" w:rsidRDefault="00CD7662" w:rsidP="00E80AC1">
      <w:pPr>
        <w:pStyle w:val="Olivier1"/>
        <w:widowControl w:val="0"/>
        <w:spacing w:after="0" w:line="240" w:lineRule="auto"/>
        <w:rPr>
          <w:sz w:val="20"/>
          <w:szCs w:val="20"/>
        </w:rPr>
      </w:pPr>
      <w:r w:rsidRPr="00D85A0A"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 w:rsidRPr="00D85A0A">
        <w:rPr>
          <w:color w:val="000000"/>
          <w:sz w:val="20"/>
          <w:szCs w:val="20"/>
        </w:rPr>
        <w:t>Treatment</w:t>
      </w:r>
      <w:r>
        <w:rPr>
          <w:color w:val="000000"/>
          <w:sz w:val="20"/>
          <w:szCs w:val="20"/>
        </w:rPr>
        <w:t xml:space="preserve"> </w:t>
      </w:r>
      <w:r w:rsidRPr="00D85A0A">
        <w:rPr>
          <w:color w:val="000000"/>
          <w:sz w:val="20"/>
          <w:szCs w:val="20"/>
        </w:rPr>
        <w:t>effects</w:t>
      </w:r>
      <w:r>
        <w:rPr>
          <w:color w:val="000000"/>
          <w:sz w:val="20"/>
          <w:szCs w:val="20"/>
        </w:rPr>
        <w:t xml:space="preserve"> </w:t>
      </w:r>
      <w:r w:rsidRPr="00D85A0A">
        <w:rPr>
          <w:color w:val="000000"/>
          <w:sz w:val="20"/>
          <w:szCs w:val="20"/>
        </w:rPr>
        <w:t>are</w:t>
      </w:r>
      <w:r>
        <w:rPr>
          <w:color w:val="000000"/>
          <w:sz w:val="20"/>
          <w:szCs w:val="20"/>
        </w:rPr>
        <w:t xml:space="preserve"> </w:t>
      </w:r>
      <w:r w:rsidRPr="00D85A0A">
        <w:rPr>
          <w:color w:val="000000"/>
          <w:sz w:val="20"/>
          <w:szCs w:val="20"/>
        </w:rPr>
        <w:t>determined</w:t>
      </w:r>
      <w:r>
        <w:rPr>
          <w:color w:val="000000"/>
          <w:sz w:val="20"/>
          <w:szCs w:val="20"/>
        </w:rPr>
        <w:t xml:space="preserve"> </w:t>
      </w:r>
      <w:r w:rsidRPr="00D85A0A">
        <w:rPr>
          <w:color w:val="000000"/>
          <w:sz w:val="20"/>
          <w:szCs w:val="20"/>
        </w:rPr>
        <w:t>by</w:t>
      </w:r>
      <w:r>
        <w:rPr>
          <w:color w:val="000000"/>
          <w:sz w:val="20"/>
          <w:szCs w:val="20"/>
        </w:rPr>
        <w:t xml:space="preserve"> </w:t>
      </w:r>
      <w:r w:rsidRPr="00D85A0A">
        <w:rPr>
          <w:color w:val="000000"/>
          <w:sz w:val="20"/>
          <w:szCs w:val="20"/>
        </w:rPr>
        <w:t>running</w:t>
      </w:r>
      <w:r>
        <w:rPr>
          <w:color w:val="000000"/>
          <w:sz w:val="20"/>
          <w:szCs w:val="20"/>
        </w:rPr>
        <w:t xml:space="preserve"> </w:t>
      </w:r>
      <w:r w:rsidRPr="00D85A0A">
        <w:rPr>
          <w:color w:val="000000"/>
          <w:sz w:val="20"/>
          <w:szCs w:val="20"/>
        </w:rPr>
        <w:t>2-tail</w:t>
      </w:r>
      <w:r>
        <w:rPr>
          <w:color w:val="000000"/>
          <w:sz w:val="20"/>
          <w:szCs w:val="20"/>
        </w:rPr>
        <w:t xml:space="preserve"> </w:t>
      </w:r>
      <w:r w:rsidRPr="00D85A0A">
        <w:rPr>
          <w:color w:val="000000"/>
          <w:sz w:val="20"/>
          <w:szCs w:val="20"/>
        </w:rPr>
        <w:t>permutation</w:t>
      </w:r>
      <w:r>
        <w:rPr>
          <w:color w:val="000000"/>
          <w:sz w:val="20"/>
          <w:szCs w:val="20"/>
        </w:rPr>
        <w:t xml:space="preserve"> </w:t>
      </w:r>
      <w:r w:rsidRPr="00D85A0A">
        <w:rPr>
          <w:color w:val="000000"/>
          <w:sz w:val="20"/>
          <w:szCs w:val="20"/>
        </w:rPr>
        <w:t>tests</w:t>
      </w:r>
      <w:r>
        <w:rPr>
          <w:color w:val="000000"/>
          <w:sz w:val="20"/>
          <w:szCs w:val="20"/>
        </w:rPr>
        <w:t xml:space="preserve"> </w:t>
      </w:r>
      <w:r w:rsidRPr="00D85A0A">
        <w:rPr>
          <w:color w:val="000000"/>
          <w:sz w:val="20"/>
          <w:szCs w:val="20"/>
        </w:rPr>
        <w:t>of</w:t>
      </w:r>
      <w:r>
        <w:rPr>
          <w:color w:val="000000"/>
          <w:sz w:val="20"/>
          <w:szCs w:val="20"/>
        </w:rPr>
        <w:t xml:space="preserve"> </w:t>
      </w:r>
      <w:r w:rsidRPr="00D85A0A">
        <w:rPr>
          <w:color w:val="000000"/>
          <w:sz w:val="20"/>
          <w:szCs w:val="20"/>
        </w:rPr>
        <w:t>differences</w:t>
      </w:r>
      <w:r>
        <w:rPr>
          <w:color w:val="000000"/>
          <w:sz w:val="20"/>
          <w:szCs w:val="20"/>
        </w:rPr>
        <w:t xml:space="preserve"> </w:t>
      </w:r>
      <w:r w:rsidRPr="00D85A0A">
        <w:rPr>
          <w:color w:val="000000"/>
          <w:sz w:val="20"/>
          <w:szCs w:val="20"/>
        </w:rPr>
        <w:t>in</w:t>
      </w:r>
      <w:r>
        <w:rPr>
          <w:color w:val="000000"/>
          <w:sz w:val="20"/>
          <w:szCs w:val="20"/>
        </w:rPr>
        <w:t xml:space="preserve"> </w:t>
      </w:r>
      <w:r w:rsidRPr="00D85A0A">
        <w:rPr>
          <w:color w:val="000000"/>
          <w:sz w:val="20"/>
          <w:szCs w:val="20"/>
        </w:rPr>
        <w:t>medians</w:t>
      </w:r>
      <w:r>
        <w:rPr>
          <w:color w:val="000000"/>
          <w:sz w:val="20"/>
          <w:szCs w:val="20"/>
        </w:rPr>
        <w:t xml:space="preserve"> </w:t>
      </w:r>
      <w:r w:rsidRPr="00D85A0A">
        <w:rPr>
          <w:color w:val="000000"/>
          <w:sz w:val="20"/>
          <w:szCs w:val="20"/>
        </w:rPr>
        <w:t>using</w:t>
      </w:r>
      <w:r>
        <w:rPr>
          <w:color w:val="000000"/>
          <w:sz w:val="20"/>
          <w:szCs w:val="20"/>
        </w:rPr>
        <w:t xml:space="preserve"> </w:t>
      </w:r>
      <w:r w:rsidRPr="00D85A0A">
        <w:rPr>
          <w:color w:val="000000"/>
          <w:sz w:val="20"/>
          <w:szCs w:val="20"/>
        </w:rPr>
        <w:t>the</w:t>
      </w:r>
      <w:r>
        <w:rPr>
          <w:color w:val="000000"/>
          <w:sz w:val="20"/>
          <w:szCs w:val="20"/>
        </w:rPr>
        <w:t xml:space="preserve"> </w:t>
      </w:r>
      <w:r w:rsidRPr="00D85A0A">
        <w:rPr>
          <w:color w:val="000000"/>
          <w:sz w:val="20"/>
          <w:szCs w:val="20"/>
        </w:rPr>
        <w:t>session</w:t>
      </w:r>
      <w:r>
        <w:rPr>
          <w:color w:val="000000"/>
          <w:sz w:val="20"/>
          <w:szCs w:val="20"/>
        </w:rPr>
        <w:t xml:space="preserve"> </w:t>
      </w:r>
      <w:r w:rsidRPr="00D85A0A">
        <w:rPr>
          <w:color w:val="000000"/>
          <w:sz w:val="20"/>
          <w:szCs w:val="20"/>
        </w:rPr>
        <w:t>averages</w:t>
      </w:r>
      <w:r>
        <w:rPr>
          <w:color w:val="000000"/>
          <w:sz w:val="20"/>
          <w:szCs w:val="20"/>
        </w:rPr>
        <w:t xml:space="preserve"> </w:t>
      </w:r>
      <w:r w:rsidRPr="00D85A0A">
        <w:rPr>
          <w:color w:val="000000"/>
          <w:sz w:val="20"/>
          <w:szCs w:val="20"/>
        </w:rPr>
        <w:t>over</w:t>
      </w:r>
      <w:r>
        <w:rPr>
          <w:color w:val="000000"/>
          <w:sz w:val="20"/>
          <w:szCs w:val="20"/>
        </w:rPr>
        <w:t xml:space="preserve"> </w:t>
      </w:r>
      <w:r w:rsidRPr="00D85A0A">
        <w:rPr>
          <w:color w:val="000000"/>
          <w:sz w:val="20"/>
          <w:szCs w:val="20"/>
        </w:rPr>
        <w:t>the</w:t>
      </w:r>
      <w:r>
        <w:rPr>
          <w:color w:val="000000"/>
          <w:sz w:val="20"/>
          <w:szCs w:val="20"/>
        </w:rPr>
        <w:t xml:space="preserve"> </w:t>
      </w:r>
      <w:r w:rsidRPr="00D85A0A">
        <w:rPr>
          <w:color w:val="000000"/>
          <w:sz w:val="20"/>
          <w:szCs w:val="20"/>
        </w:rPr>
        <w:t>last</w:t>
      </w:r>
      <w:r>
        <w:rPr>
          <w:color w:val="000000"/>
          <w:sz w:val="20"/>
          <w:szCs w:val="20"/>
        </w:rPr>
        <w:t xml:space="preserve"> </w:t>
      </w:r>
      <w:r w:rsidRPr="00D85A0A">
        <w:rPr>
          <w:color w:val="000000"/>
          <w:sz w:val="20"/>
          <w:szCs w:val="20"/>
        </w:rPr>
        <w:t>10</w:t>
      </w:r>
      <w:r>
        <w:rPr>
          <w:color w:val="000000"/>
          <w:sz w:val="20"/>
          <w:szCs w:val="20"/>
        </w:rPr>
        <w:t xml:space="preserve"> </w:t>
      </w:r>
      <w:r w:rsidRPr="00D85A0A">
        <w:rPr>
          <w:color w:val="000000"/>
          <w:sz w:val="20"/>
          <w:szCs w:val="20"/>
        </w:rPr>
        <w:t>rounds</w:t>
      </w:r>
      <w:r>
        <w:rPr>
          <w:color w:val="000000"/>
          <w:sz w:val="20"/>
          <w:szCs w:val="20"/>
        </w:rPr>
        <w:t xml:space="preserve"> </w:t>
      </w:r>
      <w:r w:rsidRPr="00D85A0A">
        <w:rPr>
          <w:color w:val="000000"/>
          <w:sz w:val="20"/>
          <w:szCs w:val="20"/>
        </w:rPr>
        <w:t>of</w:t>
      </w:r>
      <w:r>
        <w:rPr>
          <w:color w:val="000000"/>
          <w:sz w:val="20"/>
          <w:szCs w:val="20"/>
        </w:rPr>
        <w:t xml:space="preserve"> </w:t>
      </w:r>
      <w:r w:rsidRPr="00D85A0A">
        <w:rPr>
          <w:color w:val="000000"/>
          <w:sz w:val="20"/>
          <w:szCs w:val="20"/>
        </w:rPr>
        <w:t>the</w:t>
      </w:r>
      <w:r>
        <w:rPr>
          <w:color w:val="000000"/>
          <w:sz w:val="20"/>
          <w:szCs w:val="20"/>
        </w:rPr>
        <w:t xml:space="preserve"> </w:t>
      </w:r>
      <w:r w:rsidRPr="00D85A0A">
        <w:rPr>
          <w:color w:val="000000"/>
          <w:sz w:val="20"/>
          <w:szCs w:val="20"/>
        </w:rPr>
        <w:t>relevant</w:t>
      </w:r>
      <w:r>
        <w:rPr>
          <w:color w:val="000000"/>
          <w:sz w:val="20"/>
          <w:szCs w:val="20"/>
        </w:rPr>
        <w:t xml:space="preserve"> </w:t>
      </w:r>
      <w:r w:rsidRPr="00D85A0A">
        <w:rPr>
          <w:color w:val="000000"/>
          <w:sz w:val="20"/>
          <w:szCs w:val="20"/>
        </w:rPr>
        <w:t>treatments.</w:t>
      </w:r>
    </w:p>
  </w:footnote>
  <w:footnote w:id="28">
    <w:p w14:paraId="238577E0" w14:textId="5CA738F1" w:rsidR="00CD7662" w:rsidRPr="00D85A0A" w:rsidRDefault="00CD7662" w:rsidP="00E80AC1">
      <w:pPr>
        <w:pStyle w:val="Olivier1"/>
        <w:widowControl w:val="0"/>
        <w:spacing w:after="0" w:line="240" w:lineRule="auto"/>
        <w:rPr>
          <w:sz w:val="20"/>
          <w:szCs w:val="20"/>
        </w:rPr>
      </w:pPr>
      <w:r w:rsidRPr="00D85A0A"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Recall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that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because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we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use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strategy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method,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we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observe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bank’s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decisions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to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borrow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at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DW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both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if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insolvent-illiquid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and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if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solvent-illiquid.</w:t>
      </w:r>
      <w:r>
        <w:rPr>
          <w:sz w:val="20"/>
          <w:szCs w:val="20"/>
        </w:rPr>
        <w:t xml:space="preserve"> </w:t>
      </w:r>
    </w:p>
  </w:footnote>
  <w:footnote w:id="29">
    <w:p w14:paraId="187B41D5" w14:textId="113E1E7B" w:rsidR="00CD7662" w:rsidRPr="00D85A0A" w:rsidRDefault="00CD7662" w:rsidP="00E80AC1">
      <w:pPr>
        <w:pStyle w:val="Olivier1"/>
        <w:widowControl w:val="0"/>
        <w:spacing w:after="0" w:line="240" w:lineRule="auto"/>
        <w:rPr>
          <w:sz w:val="20"/>
          <w:szCs w:val="20"/>
        </w:rPr>
      </w:pPr>
      <w:r w:rsidRPr="00D85A0A"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fields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of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studies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are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economics,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social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science,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hard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science,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literature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and</w:t>
      </w:r>
      <w:r>
        <w:rPr>
          <w:sz w:val="20"/>
          <w:szCs w:val="20"/>
        </w:rPr>
        <w:t xml:space="preserve"> other</w:t>
      </w:r>
      <w:r w:rsidRPr="00D85A0A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To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save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space,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estimates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(which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are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all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insignificant)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are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not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reported.</w:t>
      </w:r>
    </w:p>
  </w:footnote>
  <w:footnote w:id="30">
    <w:p w14:paraId="11C780B0" w14:textId="25ADDB15" w:rsidR="00CD7662" w:rsidRPr="0025036C" w:rsidRDefault="00CD7662" w:rsidP="00E80AC1">
      <w:pPr>
        <w:pStyle w:val="FootnoteText"/>
        <w:widowControl w:val="0"/>
        <w:rPr>
          <w:sz w:val="20"/>
          <w:szCs w:val="20"/>
        </w:rPr>
      </w:pPr>
      <w:r w:rsidRPr="0025036C">
        <w:rPr>
          <w:rStyle w:val="FootnoteReference"/>
          <w:sz w:val="20"/>
          <w:szCs w:val="20"/>
        </w:rPr>
        <w:footnoteRef/>
      </w:r>
      <w:r w:rsidRPr="0025036C">
        <w:rPr>
          <w:sz w:val="20"/>
          <w:szCs w:val="20"/>
        </w:rPr>
        <w:t xml:space="preserve"> </w:t>
      </w:r>
      <w:r>
        <w:rPr>
          <w:sz w:val="20"/>
          <w:szCs w:val="20"/>
        </w:rPr>
        <w:t>Fo</w:t>
      </w:r>
      <w:r w:rsidRPr="0025036C">
        <w:rPr>
          <w:sz w:val="20"/>
          <w:szCs w:val="20"/>
        </w:rPr>
        <w:t>r instance</w:t>
      </w:r>
      <w:r>
        <w:rPr>
          <w:sz w:val="20"/>
          <w:szCs w:val="20"/>
        </w:rPr>
        <w:t>,</w:t>
      </w:r>
      <w:r w:rsidRPr="0025036C">
        <w:rPr>
          <w:sz w:val="20"/>
          <w:szCs w:val="20"/>
        </w:rPr>
        <w:t xml:space="preserve"> </w:t>
      </w:r>
      <w:r>
        <w:rPr>
          <w:sz w:val="20"/>
          <w:szCs w:val="20"/>
        </w:rPr>
        <w:t>i</w:t>
      </w:r>
      <w:r w:rsidRPr="0025036C">
        <w:rPr>
          <w:sz w:val="20"/>
          <w:szCs w:val="20"/>
        </w:rPr>
        <w:t xml:space="preserve">n the control treatment, the probability of being solvent is </w:t>
      </w:r>
      <w:r>
        <w:rPr>
          <w:sz w:val="20"/>
          <w:szCs w:val="20"/>
        </w:rPr>
        <w:t>66</w:t>
      </w:r>
      <w:r w:rsidRPr="0025036C">
        <w:rPr>
          <w:sz w:val="20"/>
          <w:szCs w:val="20"/>
        </w:rPr>
        <w:t xml:space="preserve">% (close to the 2/3 theoretical probability), while the probability of being solvent conditional on being detected is only </w:t>
      </w:r>
      <w:r>
        <w:rPr>
          <w:sz w:val="20"/>
          <w:szCs w:val="20"/>
        </w:rPr>
        <w:t>30</w:t>
      </w:r>
      <w:r w:rsidRPr="0025036C">
        <w:rPr>
          <w:sz w:val="20"/>
          <w:szCs w:val="20"/>
        </w:rPr>
        <w:t>%.</w:t>
      </w:r>
    </w:p>
  </w:footnote>
  <w:footnote w:id="31">
    <w:p w14:paraId="0214FC13" w14:textId="581D245F" w:rsidR="00CD7662" w:rsidRPr="00667D08" w:rsidRDefault="00CD7662" w:rsidP="00E80AC1">
      <w:pPr>
        <w:pStyle w:val="FootnoteText"/>
        <w:widowControl w:val="0"/>
        <w:jc w:val="both"/>
        <w:rPr>
          <w:color w:val="000000" w:themeColor="text1"/>
          <w:sz w:val="20"/>
          <w:szCs w:val="20"/>
        </w:rPr>
      </w:pPr>
      <w:r w:rsidRPr="00D85A0A"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 w:rsidRPr="00667D08">
        <w:rPr>
          <w:color w:val="000000" w:themeColor="text1"/>
          <w:sz w:val="20"/>
          <w:szCs w:val="20"/>
        </w:rPr>
        <w:t>As</w:t>
      </w:r>
      <w:r>
        <w:rPr>
          <w:color w:val="000000" w:themeColor="text1"/>
          <w:sz w:val="20"/>
          <w:szCs w:val="20"/>
        </w:rPr>
        <w:t xml:space="preserve"> </w:t>
      </w:r>
      <w:r w:rsidRPr="00667D08">
        <w:rPr>
          <w:color w:val="000000" w:themeColor="text1"/>
          <w:sz w:val="20"/>
          <w:szCs w:val="20"/>
        </w:rPr>
        <w:t>explained</w:t>
      </w:r>
      <w:r>
        <w:rPr>
          <w:color w:val="000000" w:themeColor="text1"/>
          <w:sz w:val="20"/>
          <w:szCs w:val="20"/>
        </w:rPr>
        <w:t xml:space="preserve"> </w:t>
      </w:r>
      <w:r w:rsidRPr="00667D08">
        <w:rPr>
          <w:color w:val="000000" w:themeColor="text1"/>
          <w:sz w:val="20"/>
          <w:szCs w:val="20"/>
        </w:rPr>
        <w:t>in</w:t>
      </w:r>
      <w:r>
        <w:rPr>
          <w:color w:val="000000" w:themeColor="text1"/>
          <w:sz w:val="20"/>
          <w:szCs w:val="20"/>
        </w:rPr>
        <w:t xml:space="preserve"> </w:t>
      </w:r>
      <w:r w:rsidRPr="00667D08">
        <w:rPr>
          <w:color w:val="000000" w:themeColor="text1"/>
          <w:sz w:val="20"/>
          <w:szCs w:val="20"/>
        </w:rPr>
        <w:t>Appendix</w:t>
      </w:r>
      <w:r>
        <w:rPr>
          <w:color w:val="000000" w:themeColor="text1"/>
          <w:sz w:val="20"/>
          <w:szCs w:val="20"/>
        </w:rPr>
        <w:t xml:space="preserve"> 1</w:t>
      </w:r>
      <w:r w:rsidRPr="00667D08">
        <w:rPr>
          <w:color w:val="000000" w:themeColor="text1"/>
          <w:sz w:val="20"/>
          <w:szCs w:val="20"/>
        </w:rPr>
        <w:t>,</w:t>
      </w:r>
      <w:r>
        <w:rPr>
          <w:color w:val="000000" w:themeColor="text1"/>
          <w:sz w:val="20"/>
          <w:szCs w:val="20"/>
        </w:rPr>
        <w:t xml:space="preserve"> </w:t>
      </w:r>
      <w:r w:rsidRPr="00667D08">
        <w:rPr>
          <w:color w:val="000000" w:themeColor="text1"/>
          <w:sz w:val="20"/>
          <w:szCs w:val="20"/>
        </w:rPr>
        <w:t>a</w:t>
      </w:r>
      <w:r>
        <w:rPr>
          <w:color w:val="000000" w:themeColor="text1"/>
          <w:sz w:val="20"/>
          <w:szCs w:val="20"/>
        </w:rPr>
        <w:t xml:space="preserve"> </w:t>
      </w:r>
      <w:r w:rsidRPr="00667D08">
        <w:rPr>
          <w:color w:val="000000" w:themeColor="text1"/>
          <w:sz w:val="20"/>
          <w:szCs w:val="20"/>
        </w:rPr>
        <w:t>bank’s</w:t>
      </w:r>
      <w:r>
        <w:rPr>
          <w:color w:val="000000" w:themeColor="text1"/>
          <w:sz w:val="20"/>
          <w:szCs w:val="20"/>
        </w:rPr>
        <w:t xml:space="preserve"> </w:t>
      </w:r>
      <w:r w:rsidRPr="00667D08">
        <w:rPr>
          <w:color w:val="000000" w:themeColor="text1"/>
          <w:sz w:val="20"/>
          <w:szCs w:val="20"/>
        </w:rPr>
        <w:t>eligibility</w:t>
      </w:r>
      <w:r>
        <w:rPr>
          <w:color w:val="000000" w:themeColor="text1"/>
          <w:sz w:val="20"/>
          <w:szCs w:val="20"/>
        </w:rPr>
        <w:t xml:space="preserve"> </w:t>
      </w:r>
      <w:r w:rsidRPr="00667D08">
        <w:rPr>
          <w:color w:val="000000" w:themeColor="text1"/>
          <w:sz w:val="20"/>
          <w:szCs w:val="20"/>
        </w:rPr>
        <w:t>for</w:t>
      </w:r>
      <w:r>
        <w:rPr>
          <w:color w:val="000000" w:themeColor="text1"/>
          <w:sz w:val="20"/>
          <w:szCs w:val="20"/>
        </w:rPr>
        <w:t xml:space="preserve"> </w:t>
      </w:r>
      <w:r w:rsidRPr="00667D08">
        <w:rPr>
          <w:color w:val="000000" w:themeColor="text1"/>
          <w:sz w:val="20"/>
          <w:szCs w:val="20"/>
        </w:rPr>
        <w:t>primary</w:t>
      </w:r>
      <w:r>
        <w:rPr>
          <w:color w:val="000000" w:themeColor="text1"/>
          <w:sz w:val="20"/>
          <w:szCs w:val="20"/>
        </w:rPr>
        <w:t xml:space="preserve"> </w:t>
      </w:r>
      <w:r w:rsidRPr="00667D08">
        <w:rPr>
          <w:color w:val="000000" w:themeColor="text1"/>
          <w:sz w:val="20"/>
          <w:szCs w:val="20"/>
        </w:rPr>
        <w:t>credit</w:t>
      </w:r>
      <w:r>
        <w:rPr>
          <w:color w:val="000000" w:themeColor="text1"/>
          <w:sz w:val="20"/>
          <w:szCs w:val="20"/>
        </w:rPr>
        <w:t xml:space="preserve"> </w:t>
      </w:r>
      <w:r w:rsidRPr="00667D08">
        <w:rPr>
          <w:color w:val="000000" w:themeColor="text1"/>
          <w:sz w:val="20"/>
          <w:szCs w:val="20"/>
        </w:rPr>
        <w:t>at</w:t>
      </w:r>
      <w:r>
        <w:rPr>
          <w:color w:val="000000" w:themeColor="text1"/>
          <w:sz w:val="20"/>
          <w:szCs w:val="20"/>
        </w:rPr>
        <w:t xml:space="preserve"> </w:t>
      </w:r>
      <w:r w:rsidRPr="00667D08">
        <w:rPr>
          <w:color w:val="000000" w:themeColor="text1"/>
          <w:sz w:val="20"/>
          <w:szCs w:val="20"/>
        </w:rPr>
        <w:t>the</w:t>
      </w:r>
      <w:r>
        <w:rPr>
          <w:color w:val="000000" w:themeColor="text1"/>
          <w:sz w:val="20"/>
          <w:szCs w:val="20"/>
        </w:rPr>
        <w:t xml:space="preserve"> </w:t>
      </w:r>
      <w:r w:rsidRPr="00667D08">
        <w:rPr>
          <w:color w:val="000000" w:themeColor="text1"/>
          <w:sz w:val="20"/>
          <w:szCs w:val="20"/>
        </w:rPr>
        <w:t>DW</w:t>
      </w:r>
      <w:r>
        <w:rPr>
          <w:color w:val="000000" w:themeColor="text1"/>
          <w:sz w:val="20"/>
          <w:szCs w:val="20"/>
        </w:rPr>
        <w:t xml:space="preserve"> </w:t>
      </w:r>
      <w:r w:rsidRPr="00667D08">
        <w:rPr>
          <w:color w:val="000000" w:themeColor="text1"/>
          <w:sz w:val="20"/>
          <w:szCs w:val="20"/>
        </w:rPr>
        <w:t>is</w:t>
      </w:r>
      <w:r>
        <w:rPr>
          <w:color w:val="000000" w:themeColor="text1"/>
          <w:sz w:val="20"/>
          <w:szCs w:val="20"/>
        </w:rPr>
        <w:t xml:space="preserve"> already </w:t>
      </w:r>
      <w:r w:rsidRPr="00667D08">
        <w:rPr>
          <w:color w:val="000000" w:themeColor="text1"/>
          <w:sz w:val="20"/>
          <w:szCs w:val="20"/>
        </w:rPr>
        <w:t>contingent</w:t>
      </w:r>
      <w:r>
        <w:rPr>
          <w:color w:val="000000" w:themeColor="text1"/>
          <w:sz w:val="20"/>
          <w:szCs w:val="20"/>
        </w:rPr>
        <w:t xml:space="preserve"> </w:t>
      </w:r>
      <w:r w:rsidRPr="00667D08">
        <w:rPr>
          <w:color w:val="000000" w:themeColor="text1"/>
          <w:sz w:val="20"/>
          <w:szCs w:val="20"/>
        </w:rPr>
        <w:t>on</w:t>
      </w:r>
      <w:r>
        <w:rPr>
          <w:color w:val="000000" w:themeColor="text1"/>
          <w:sz w:val="20"/>
          <w:szCs w:val="20"/>
        </w:rPr>
        <w:t xml:space="preserve"> </w:t>
      </w:r>
      <w:r w:rsidRPr="00667D08">
        <w:rPr>
          <w:color w:val="000000" w:themeColor="text1"/>
          <w:sz w:val="20"/>
          <w:szCs w:val="20"/>
        </w:rPr>
        <w:t>a</w:t>
      </w:r>
      <w:r>
        <w:rPr>
          <w:color w:val="000000" w:themeColor="text1"/>
          <w:sz w:val="20"/>
          <w:szCs w:val="20"/>
        </w:rPr>
        <w:t xml:space="preserve"> </w:t>
      </w:r>
      <w:r w:rsidRPr="00667D08">
        <w:rPr>
          <w:color w:val="000000" w:themeColor="text1"/>
          <w:sz w:val="20"/>
          <w:szCs w:val="20"/>
        </w:rPr>
        <w:t>number</w:t>
      </w:r>
      <w:r>
        <w:rPr>
          <w:color w:val="000000" w:themeColor="text1"/>
          <w:sz w:val="20"/>
          <w:szCs w:val="20"/>
        </w:rPr>
        <w:t xml:space="preserve"> </w:t>
      </w:r>
      <w:r w:rsidRPr="00667D08">
        <w:rPr>
          <w:color w:val="000000" w:themeColor="text1"/>
          <w:sz w:val="20"/>
          <w:szCs w:val="20"/>
        </w:rPr>
        <w:t>of</w:t>
      </w:r>
      <w:r>
        <w:rPr>
          <w:color w:val="000000" w:themeColor="text1"/>
          <w:sz w:val="20"/>
          <w:szCs w:val="20"/>
        </w:rPr>
        <w:t xml:space="preserve"> factors </w:t>
      </w:r>
      <w:r w:rsidRPr="00667D08">
        <w:rPr>
          <w:color w:val="000000" w:themeColor="text1"/>
          <w:sz w:val="20"/>
          <w:szCs w:val="20"/>
        </w:rPr>
        <w:t>(about</w:t>
      </w:r>
      <w:r>
        <w:rPr>
          <w:color w:val="000000" w:themeColor="text1"/>
          <w:sz w:val="20"/>
          <w:szCs w:val="20"/>
        </w:rPr>
        <w:t xml:space="preserve"> </w:t>
      </w:r>
      <w:r w:rsidRPr="00667D08">
        <w:rPr>
          <w:color w:val="000000" w:themeColor="text1"/>
          <w:sz w:val="20"/>
          <w:szCs w:val="20"/>
        </w:rPr>
        <w:t>e.g.</w:t>
      </w:r>
      <w:r>
        <w:rPr>
          <w:color w:val="000000" w:themeColor="text1"/>
          <w:sz w:val="20"/>
          <w:szCs w:val="20"/>
        </w:rPr>
        <w:t xml:space="preserve"> </w:t>
      </w:r>
      <w:r w:rsidRPr="00667D08">
        <w:rPr>
          <w:color w:val="000000" w:themeColor="text1"/>
          <w:sz w:val="20"/>
          <w:szCs w:val="20"/>
        </w:rPr>
        <w:t>financial</w:t>
      </w:r>
      <w:r>
        <w:rPr>
          <w:color w:val="000000" w:themeColor="text1"/>
          <w:sz w:val="20"/>
          <w:szCs w:val="20"/>
        </w:rPr>
        <w:t xml:space="preserve"> </w:t>
      </w:r>
      <w:r w:rsidRPr="00667D08">
        <w:rPr>
          <w:color w:val="000000" w:themeColor="text1"/>
          <w:sz w:val="20"/>
          <w:szCs w:val="20"/>
        </w:rPr>
        <w:t>health,</w:t>
      </w:r>
      <w:r>
        <w:rPr>
          <w:color w:val="000000" w:themeColor="text1"/>
          <w:sz w:val="20"/>
          <w:szCs w:val="20"/>
        </w:rPr>
        <w:t xml:space="preserve"> </w:t>
      </w:r>
      <w:r w:rsidRPr="00667D08">
        <w:rPr>
          <w:color w:val="000000" w:themeColor="text1"/>
          <w:sz w:val="20"/>
          <w:szCs w:val="20"/>
        </w:rPr>
        <w:t>collateral).</w:t>
      </w:r>
      <w:r>
        <w:rPr>
          <w:color w:val="000000" w:themeColor="text1"/>
          <w:sz w:val="20"/>
          <w:szCs w:val="20"/>
        </w:rPr>
        <w:t xml:space="preserve"> </w:t>
      </w:r>
      <w:r w:rsidRPr="00667D08">
        <w:rPr>
          <w:color w:val="000000" w:themeColor="text1"/>
          <w:sz w:val="20"/>
          <w:szCs w:val="20"/>
        </w:rPr>
        <w:t>The</w:t>
      </w:r>
      <w:r>
        <w:rPr>
          <w:color w:val="000000" w:themeColor="text1"/>
          <w:sz w:val="20"/>
          <w:szCs w:val="20"/>
        </w:rPr>
        <w:t xml:space="preserve"> </w:t>
      </w:r>
      <w:r w:rsidRPr="00667D08">
        <w:rPr>
          <w:color w:val="000000" w:themeColor="text1"/>
          <w:sz w:val="20"/>
          <w:szCs w:val="20"/>
        </w:rPr>
        <w:t>Fed</w:t>
      </w:r>
      <w:r>
        <w:rPr>
          <w:color w:val="000000" w:themeColor="text1"/>
          <w:sz w:val="20"/>
          <w:szCs w:val="20"/>
        </w:rPr>
        <w:t xml:space="preserve"> </w:t>
      </w:r>
      <w:r w:rsidRPr="00667D08">
        <w:rPr>
          <w:color w:val="000000" w:themeColor="text1"/>
          <w:sz w:val="20"/>
          <w:szCs w:val="20"/>
        </w:rPr>
        <w:t>could</w:t>
      </w:r>
      <w:r>
        <w:rPr>
          <w:color w:val="000000" w:themeColor="text1"/>
          <w:sz w:val="20"/>
          <w:szCs w:val="20"/>
        </w:rPr>
        <w:t xml:space="preserve"> </w:t>
      </w:r>
      <w:r w:rsidRPr="00667D08">
        <w:rPr>
          <w:color w:val="000000" w:themeColor="text1"/>
          <w:sz w:val="20"/>
          <w:szCs w:val="20"/>
        </w:rPr>
        <w:t>modify</w:t>
      </w:r>
      <w:r>
        <w:rPr>
          <w:color w:val="000000" w:themeColor="text1"/>
          <w:sz w:val="20"/>
          <w:szCs w:val="20"/>
        </w:rPr>
        <w:t xml:space="preserve"> </w:t>
      </w:r>
      <w:r w:rsidRPr="00667D08">
        <w:rPr>
          <w:color w:val="000000" w:themeColor="text1"/>
          <w:sz w:val="20"/>
          <w:szCs w:val="20"/>
        </w:rPr>
        <w:t>Regulation</w:t>
      </w:r>
      <w:r>
        <w:rPr>
          <w:color w:val="000000" w:themeColor="text1"/>
          <w:sz w:val="20"/>
          <w:szCs w:val="20"/>
        </w:rPr>
        <w:t xml:space="preserve"> </w:t>
      </w:r>
      <w:r w:rsidRPr="00667D08">
        <w:rPr>
          <w:color w:val="000000" w:themeColor="text1"/>
          <w:sz w:val="20"/>
          <w:szCs w:val="20"/>
        </w:rPr>
        <w:t>A</w:t>
      </w:r>
      <w:r>
        <w:rPr>
          <w:color w:val="000000" w:themeColor="text1"/>
          <w:sz w:val="20"/>
          <w:szCs w:val="20"/>
        </w:rPr>
        <w:t xml:space="preserve"> </w:t>
      </w:r>
      <w:r w:rsidRPr="00667D08">
        <w:rPr>
          <w:color w:val="000000" w:themeColor="text1"/>
          <w:sz w:val="20"/>
          <w:szCs w:val="20"/>
        </w:rPr>
        <w:t>to</w:t>
      </w:r>
      <w:r>
        <w:rPr>
          <w:color w:val="000000" w:themeColor="text1"/>
          <w:sz w:val="20"/>
          <w:szCs w:val="20"/>
        </w:rPr>
        <w:t xml:space="preserve"> </w:t>
      </w:r>
      <w:r w:rsidRPr="00667D08">
        <w:rPr>
          <w:color w:val="000000" w:themeColor="text1"/>
          <w:sz w:val="20"/>
          <w:szCs w:val="20"/>
        </w:rPr>
        <w:t>add</w:t>
      </w:r>
      <w:r>
        <w:rPr>
          <w:color w:val="000000" w:themeColor="text1"/>
          <w:sz w:val="20"/>
          <w:szCs w:val="20"/>
        </w:rPr>
        <w:t xml:space="preserve"> </w:t>
      </w:r>
      <w:r w:rsidRPr="00667D08">
        <w:rPr>
          <w:color w:val="000000" w:themeColor="text1"/>
          <w:sz w:val="20"/>
          <w:szCs w:val="20"/>
        </w:rPr>
        <w:t>a</w:t>
      </w:r>
      <w:r>
        <w:rPr>
          <w:color w:val="000000" w:themeColor="text1"/>
          <w:sz w:val="20"/>
          <w:szCs w:val="20"/>
        </w:rPr>
        <w:t xml:space="preserve"> </w:t>
      </w:r>
      <w:r w:rsidRPr="00667D08">
        <w:rPr>
          <w:color w:val="000000" w:themeColor="text1"/>
          <w:sz w:val="20"/>
          <w:szCs w:val="20"/>
        </w:rPr>
        <w:t>new</w:t>
      </w:r>
      <w:r>
        <w:rPr>
          <w:color w:val="000000" w:themeColor="text1"/>
          <w:sz w:val="20"/>
          <w:szCs w:val="20"/>
        </w:rPr>
        <w:t xml:space="preserve"> </w:t>
      </w:r>
      <w:r w:rsidRPr="00667D08">
        <w:rPr>
          <w:color w:val="000000" w:themeColor="text1"/>
          <w:sz w:val="20"/>
          <w:szCs w:val="20"/>
        </w:rPr>
        <w:t>rule:</w:t>
      </w:r>
      <w:r>
        <w:rPr>
          <w:color w:val="000000" w:themeColor="text1"/>
          <w:sz w:val="20"/>
          <w:szCs w:val="20"/>
        </w:rPr>
        <w:t xml:space="preserve"> To </w:t>
      </w:r>
      <w:r w:rsidRPr="00667D08">
        <w:rPr>
          <w:color w:val="000000" w:themeColor="text1"/>
          <w:sz w:val="20"/>
          <w:szCs w:val="20"/>
        </w:rPr>
        <w:t>be</w:t>
      </w:r>
      <w:r>
        <w:rPr>
          <w:color w:val="000000" w:themeColor="text1"/>
          <w:sz w:val="20"/>
          <w:szCs w:val="20"/>
        </w:rPr>
        <w:t xml:space="preserve"> </w:t>
      </w:r>
      <w:r w:rsidRPr="00667D08">
        <w:rPr>
          <w:color w:val="000000" w:themeColor="text1"/>
          <w:sz w:val="20"/>
          <w:szCs w:val="20"/>
        </w:rPr>
        <w:t>eligible</w:t>
      </w:r>
      <w:r>
        <w:rPr>
          <w:color w:val="000000" w:themeColor="text1"/>
          <w:sz w:val="20"/>
          <w:szCs w:val="20"/>
        </w:rPr>
        <w:t xml:space="preserve"> </w:t>
      </w:r>
      <w:r w:rsidRPr="00667D08">
        <w:rPr>
          <w:color w:val="000000" w:themeColor="text1"/>
          <w:sz w:val="20"/>
          <w:szCs w:val="20"/>
        </w:rPr>
        <w:t>for</w:t>
      </w:r>
      <w:r>
        <w:rPr>
          <w:color w:val="000000" w:themeColor="text1"/>
          <w:sz w:val="20"/>
          <w:szCs w:val="20"/>
        </w:rPr>
        <w:t xml:space="preserve"> </w:t>
      </w:r>
      <w:r w:rsidRPr="00667D08">
        <w:rPr>
          <w:color w:val="000000" w:themeColor="text1"/>
          <w:sz w:val="20"/>
          <w:szCs w:val="20"/>
        </w:rPr>
        <w:t>primary</w:t>
      </w:r>
      <w:r>
        <w:rPr>
          <w:color w:val="000000" w:themeColor="text1"/>
          <w:sz w:val="20"/>
          <w:szCs w:val="20"/>
        </w:rPr>
        <w:t xml:space="preserve"> </w:t>
      </w:r>
      <w:r w:rsidRPr="00667D08">
        <w:rPr>
          <w:color w:val="000000" w:themeColor="text1"/>
          <w:sz w:val="20"/>
          <w:szCs w:val="20"/>
        </w:rPr>
        <w:t>credit</w:t>
      </w:r>
      <w:r>
        <w:rPr>
          <w:color w:val="000000" w:themeColor="text1"/>
          <w:sz w:val="20"/>
          <w:szCs w:val="20"/>
        </w:rPr>
        <w:t xml:space="preserve">, a bank </w:t>
      </w:r>
      <w:r w:rsidRPr="00667D08">
        <w:rPr>
          <w:color w:val="000000" w:themeColor="text1"/>
          <w:sz w:val="20"/>
          <w:szCs w:val="20"/>
        </w:rPr>
        <w:t>would</w:t>
      </w:r>
      <w:r>
        <w:rPr>
          <w:color w:val="000000" w:themeColor="text1"/>
          <w:sz w:val="20"/>
          <w:szCs w:val="20"/>
        </w:rPr>
        <w:t xml:space="preserve"> </w:t>
      </w:r>
      <w:r w:rsidRPr="00667D08">
        <w:rPr>
          <w:color w:val="000000" w:themeColor="text1"/>
          <w:sz w:val="20"/>
          <w:szCs w:val="20"/>
        </w:rPr>
        <w:t>have</w:t>
      </w:r>
      <w:r>
        <w:rPr>
          <w:color w:val="000000" w:themeColor="text1"/>
          <w:sz w:val="20"/>
          <w:szCs w:val="20"/>
        </w:rPr>
        <w:t xml:space="preserve"> </w:t>
      </w:r>
      <w:r w:rsidRPr="00667D08">
        <w:rPr>
          <w:color w:val="000000" w:themeColor="text1"/>
          <w:sz w:val="20"/>
          <w:szCs w:val="20"/>
        </w:rPr>
        <w:t>to</w:t>
      </w:r>
      <w:r>
        <w:rPr>
          <w:color w:val="000000" w:themeColor="text1"/>
          <w:sz w:val="20"/>
          <w:szCs w:val="20"/>
        </w:rPr>
        <w:t xml:space="preserve"> </w:t>
      </w:r>
      <w:r w:rsidRPr="00667D08">
        <w:rPr>
          <w:color w:val="000000" w:themeColor="text1"/>
          <w:sz w:val="20"/>
          <w:szCs w:val="20"/>
        </w:rPr>
        <w:t>commit</w:t>
      </w:r>
      <w:r>
        <w:rPr>
          <w:color w:val="000000" w:themeColor="text1"/>
          <w:sz w:val="20"/>
          <w:szCs w:val="20"/>
        </w:rPr>
        <w:t xml:space="preserve"> </w:t>
      </w:r>
      <w:r w:rsidRPr="00667D08">
        <w:rPr>
          <w:color w:val="000000" w:themeColor="text1"/>
          <w:sz w:val="20"/>
          <w:szCs w:val="20"/>
        </w:rPr>
        <w:t>to</w:t>
      </w:r>
      <w:r>
        <w:rPr>
          <w:color w:val="000000" w:themeColor="text1"/>
          <w:sz w:val="20"/>
          <w:szCs w:val="20"/>
        </w:rPr>
        <w:t xml:space="preserve"> </w:t>
      </w:r>
      <w:r w:rsidRPr="00667D08">
        <w:rPr>
          <w:color w:val="000000" w:themeColor="text1"/>
          <w:sz w:val="20"/>
          <w:szCs w:val="20"/>
        </w:rPr>
        <w:t>borrow</w:t>
      </w:r>
      <w:r>
        <w:rPr>
          <w:color w:val="000000" w:themeColor="text1"/>
          <w:sz w:val="20"/>
          <w:szCs w:val="20"/>
        </w:rPr>
        <w:t xml:space="preserve">ing </w:t>
      </w:r>
      <w:r w:rsidRPr="00667D08">
        <w:rPr>
          <w:color w:val="000000" w:themeColor="text1"/>
          <w:sz w:val="20"/>
          <w:szCs w:val="20"/>
        </w:rPr>
        <w:t>a</w:t>
      </w:r>
      <w:r>
        <w:rPr>
          <w:color w:val="000000" w:themeColor="text1"/>
          <w:sz w:val="20"/>
          <w:szCs w:val="20"/>
        </w:rPr>
        <w:t xml:space="preserve"> </w:t>
      </w:r>
      <w:r w:rsidRPr="00667D08">
        <w:rPr>
          <w:color w:val="000000" w:themeColor="text1"/>
          <w:sz w:val="20"/>
          <w:szCs w:val="20"/>
        </w:rPr>
        <w:t>certain</w:t>
      </w:r>
      <w:r>
        <w:rPr>
          <w:color w:val="000000" w:themeColor="text1"/>
          <w:sz w:val="20"/>
          <w:szCs w:val="20"/>
        </w:rPr>
        <w:t xml:space="preserve"> </w:t>
      </w:r>
      <w:r w:rsidRPr="00667D08">
        <w:rPr>
          <w:color w:val="000000" w:themeColor="text1"/>
          <w:sz w:val="20"/>
          <w:szCs w:val="20"/>
        </w:rPr>
        <w:t>amount</w:t>
      </w:r>
      <w:r>
        <w:rPr>
          <w:color w:val="000000" w:themeColor="text1"/>
          <w:sz w:val="20"/>
          <w:szCs w:val="20"/>
        </w:rPr>
        <w:t xml:space="preserve"> </w:t>
      </w:r>
      <w:r w:rsidRPr="00667D08">
        <w:rPr>
          <w:color w:val="000000" w:themeColor="text1"/>
          <w:sz w:val="20"/>
          <w:szCs w:val="20"/>
        </w:rPr>
        <w:t>during</w:t>
      </w:r>
      <w:r>
        <w:rPr>
          <w:color w:val="000000" w:themeColor="text1"/>
          <w:sz w:val="20"/>
          <w:szCs w:val="20"/>
        </w:rPr>
        <w:t xml:space="preserve"> </w:t>
      </w:r>
      <w:r w:rsidRPr="00667D08">
        <w:rPr>
          <w:color w:val="000000" w:themeColor="text1"/>
          <w:sz w:val="20"/>
          <w:szCs w:val="20"/>
        </w:rPr>
        <w:t>the</w:t>
      </w:r>
      <w:r>
        <w:rPr>
          <w:color w:val="000000" w:themeColor="text1"/>
          <w:sz w:val="20"/>
          <w:szCs w:val="20"/>
        </w:rPr>
        <w:t xml:space="preserve"> </w:t>
      </w:r>
      <w:r w:rsidRPr="00667D08">
        <w:rPr>
          <w:color w:val="000000" w:themeColor="text1"/>
          <w:sz w:val="20"/>
          <w:szCs w:val="20"/>
        </w:rPr>
        <w:t>year.</w:t>
      </w:r>
    </w:p>
  </w:footnote>
  <w:footnote w:id="32">
    <w:p w14:paraId="7A1703D8" w14:textId="07F28424" w:rsidR="00CD7662" w:rsidRPr="00667D08" w:rsidRDefault="00CD7662" w:rsidP="00E80AC1">
      <w:pPr>
        <w:pStyle w:val="Default"/>
        <w:jc w:val="both"/>
        <w:rPr>
          <w:color w:val="000000" w:themeColor="text1"/>
          <w:sz w:val="20"/>
          <w:szCs w:val="20"/>
        </w:rPr>
      </w:pPr>
      <w:r w:rsidRPr="00667D08">
        <w:rPr>
          <w:rStyle w:val="FootnoteReference"/>
          <w:color w:val="000000" w:themeColor="text1"/>
          <w:sz w:val="20"/>
          <w:szCs w:val="20"/>
        </w:rPr>
        <w:footnoteRef/>
      </w:r>
      <w:r>
        <w:rPr>
          <w:color w:val="000000" w:themeColor="text1"/>
          <w:sz w:val="20"/>
          <w:szCs w:val="20"/>
        </w:rPr>
        <w:t xml:space="preserve"> </w:t>
      </w:r>
      <w:r w:rsidRPr="00667D08">
        <w:rPr>
          <w:color w:val="000000" w:themeColor="text1"/>
          <w:sz w:val="20"/>
          <w:szCs w:val="20"/>
        </w:rPr>
        <w:t>Only</w:t>
      </w:r>
      <w:r>
        <w:rPr>
          <w:color w:val="000000" w:themeColor="text1"/>
          <w:sz w:val="20"/>
          <w:szCs w:val="20"/>
        </w:rPr>
        <w:t xml:space="preserve"> </w:t>
      </w:r>
      <w:r w:rsidRPr="00667D08">
        <w:rPr>
          <w:color w:val="000000" w:themeColor="text1"/>
          <w:sz w:val="20"/>
          <w:szCs w:val="20"/>
        </w:rPr>
        <w:t>0.1%</w:t>
      </w:r>
      <w:r>
        <w:rPr>
          <w:color w:val="000000" w:themeColor="text1"/>
          <w:sz w:val="20"/>
          <w:szCs w:val="20"/>
        </w:rPr>
        <w:t xml:space="preserve"> </w:t>
      </w:r>
      <w:r w:rsidRPr="00667D08">
        <w:rPr>
          <w:color w:val="000000" w:themeColor="text1"/>
          <w:sz w:val="20"/>
          <w:szCs w:val="20"/>
        </w:rPr>
        <w:t>of</w:t>
      </w:r>
      <w:r>
        <w:rPr>
          <w:color w:val="000000" w:themeColor="text1"/>
          <w:sz w:val="20"/>
          <w:szCs w:val="20"/>
        </w:rPr>
        <w:t xml:space="preserve"> </w:t>
      </w:r>
      <w:r w:rsidRPr="00667D08">
        <w:rPr>
          <w:color w:val="000000" w:themeColor="text1"/>
          <w:sz w:val="20"/>
          <w:szCs w:val="20"/>
        </w:rPr>
        <w:t>the</w:t>
      </w:r>
      <w:r>
        <w:rPr>
          <w:color w:val="000000" w:themeColor="text1"/>
          <w:sz w:val="20"/>
          <w:szCs w:val="20"/>
        </w:rPr>
        <w:t xml:space="preserve"> </w:t>
      </w:r>
      <w:r w:rsidRPr="00667D08">
        <w:rPr>
          <w:color w:val="000000" w:themeColor="text1"/>
          <w:sz w:val="20"/>
          <w:szCs w:val="20"/>
        </w:rPr>
        <w:t>DW</w:t>
      </w:r>
      <w:r>
        <w:rPr>
          <w:color w:val="000000" w:themeColor="text1"/>
          <w:sz w:val="20"/>
          <w:szCs w:val="20"/>
        </w:rPr>
        <w:t xml:space="preserve"> </w:t>
      </w:r>
      <w:r w:rsidRPr="00667D08">
        <w:rPr>
          <w:color w:val="000000" w:themeColor="text1"/>
          <w:sz w:val="20"/>
          <w:szCs w:val="20"/>
        </w:rPr>
        <w:t>loans</w:t>
      </w:r>
      <w:r>
        <w:rPr>
          <w:color w:val="000000" w:themeColor="text1"/>
          <w:sz w:val="20"/>
          <w:szCs w:val="20"/>
        </w:rPr>
        <w:t xml:space="preserve"> </w:t>
      </w:r>
      <w:r w:rsidRPr="00667D08">
        <w:rPr>
          <w:color w:val="000000" w:themeColor="text1"/>
          <w:sz w:val="20"/>
          <w:szCs w:val="20"/>
        </w:rPr>
        <w:t>extended</w:t>
      </w:r>
      <w:r>
        <w:rPr>
          <w:color w:val="000000" w:themeColor="text1"/>
          <w:sz w:val="20"/>
          <w:szCs w:val="20"/>
        </w:rPr>
        <w:t xml:space="preserve"> </w:t>
      </w:r>
      <w:r w:rsidRPr="00667D08">
        <w:rPr>
          <w:color w:val="000000" w:themeColor="text1"/>
          <w:sz w:val="20"/>
          <w:szCs w:val="20"/>
        </w:rPr>
        <w:t>between</w:t>
      </w:r>
      <w:r>
        <w:rPr>
          <w:color w:val="000000" w:themeColor="text1"/>
          <w:sz w:val="20"/>
          <w:szCs w:val="20"/>
        </w:rPr>
        <w:t xml:space="preserve"> </w:t>
      </w:r>
      <w:r w:rsidRPr="00667D08">
        <w:rPr>
          <w:color w:val="000000" w:themeColor="text1"/>
          <w:sz w:val="20"/>
          <w:szCs w:val="20"/>
        </w:rPr>
        <w:t>2010</w:t>
      </w:r>
      <w:r>
        <w:rPr>
          <w:color w:val="000000" w:themeColor="text1"/>
          <w:sz w:val="20"/>
          <w:szCs w:val="20"/>
        </w:rPr>
        <w:t xml:space="preserve"> </w:t>
      </w:r>
      <w:r w:rsidRPr="00667D08">
        <w:rPr>
          <w:color w:val="000000" w:themeColor="text1"/>
          <w:sz w:val="20"/>
          <w:szCs w:val="20"/>
        </w:rPr>
        <w:t>and</w:t>
      </w:r>
      <w:r>
        <w:rPr>
          <w:color w:val="000000" w:themeColor="text1"/>
          <w:sz w:val="20"/>
          <w:szCs w:val="20"/>
        </w:rPr>
        <w:t xml:space="preserve"> </w:t>
      </w:r>
      <w:r w:rsidRPr="00667D08">
        <w:rPr>
          <w:color w:val="000000" w:themeColor="text1"/>
          <w:sz w:val="20"/>
          <w:szCs w:val="20"/>
        </w:rPr>
        <w:t>2015</w:t>
      </w:r>
      <w:r>
        <w:rPr>
          <w:color w:val="000000" w:themeColor="text1"/>
          <w:sz w:val="20"/>
          <w:szCs w:val="20"/>
        </w:rPr>
        <w:t xml:space="preserve"> </w:t>
      </w:r>
      <w:r w:rsidRPr="00667D08">
        <w:rPr>
          <w:color w:val="000000" w:themeColor="text1"/>
          <w:sz w:val="20"/>
          <w:szCs w:val="20"/>
        </w:rPr>
        <w:t>exceeded</w:t>
      </w:r>
      <w:r>
        <w:rPr>
          <w:color w:val="000000" w:themeColor="text1"/>
          <w:sz w:val="20"/>
          <w:szCs w:val="20"/>
        </w:rPr>
        <w:t xml:space="preserve"> </w:t>
      </w:r>
      <w:r w:rsidRPr="00667D08">
        <w:rPr>
          <w:color w:val="000000" w:themeColor="text1"/>
          <w:sz w:val="20"/>
          <w:szCs w:val="20"/>
        </w:rPr>
        <w:t>$100</w:t>
      </w:r>
      <w:r>
        <w:rPr>
          <w:color w:val="000000" w:themeColor="text1"/>
          <w:sz w:val="20"/>
          <w:szCs w:val="20"/>
        </w:rPr>
        <w:t xml:space="preserve"> </w:t>
      </w:r>
      <w:r w:rsidRPr="00667D08">
        <w:rPr>
          <w:color w:val="000000" w:themeColor="text1"/>
          <w:sz w:val="20"/>
          <w:szCs w:val="20"/>
        </w:rPr>
        <w:t>million</w:t>
      </w:r>
      <w:r>
        <w:rPr>
          <w:color w:val="000000" w:themeColor="text1"/>
          <w:sz w:val="20"/>
          <w:szCs w:val="20"/>
        </w:rPr>
        <w:t xml:space="preserve"> </w:t>
      </w:r>
      <w:r w:rsidRPr="00667D08">
        <w:rPr>
          <w:color w:val="000000" w:themeColor="text1"/>
          <w:sz w:val="20"/>
          <w:szCs w:val="20"/>
        </w:rPr>
        <w:t>(Ackon</w:t>
      </w:r>
      <w:r>
        <w:rPr>
          <w:color w:val="000000" w:themeColor="text1"/>
          <w:sz w:val="20"/>
          <w:szCs w:val="20"/>
        </w:rPr>
        <w:t xml:space="preserve"> </w:t>
      </w:r>
      <w:r w:rsidRPr="00667D08">
        <w:rPr>
          <w:color w:val="000000" w:themeColor="text1"/>
          <w:sz w:val="20"/>
          <w:szCs w:val="20"/>
        </w:rPr>
        <w:t>and</w:t>
      </w:r>
      <w:r>
        <w:rPr>
          <w:color w:val="000000" w:themeColor="text1"/>
          <w:sz w:val="20"/>
          <w:szCs w:val="20"/>
        </w:rPr>
        <w:t xml:space="preserve"> </w:t>
      </w:r>
      <w:r w:rsidRPr="00667D08">
        <w:rPr>
          <w:color w:val="000000" w:themeColor="text1"/>
          <w:sz w:val="20"/>
          <w:szCs w:val="20"/>
        </w:rPr>
        <w:t>Ennis</w:t>
      </w:r>
      <w:r>
        <w:rPr>
          <w:color w:val="000000" w:themeColor="text1"/>
          <w:sz w:val="20"/>
          <w:szCs w:val="20"/>
        </w:rPr>
        <w:t xml:space="preserve"> </w:t>
      </w:r>
      <w:r w:rsidRPr="00667D08">
        <w:rPr>
          <w:color w:val="000000" w:themeColor="text1"/>
          <w:sz w:val="20"/>
          <w:szCs w:val="20"/>
        </w:rPr>
        <w:t>2018).</w:t>
      </w:r>
      <w:r>
        <w:rPr>
          <w:color w:val="000000" w:themeColor="text1"/>
          <w:sz w:val="20"/>
          <w:szCs w:val="20"/>
        </w:rPr>
        <w:t xml:space="preserve"> </w:t>
      </w:r>
      <w:r w:rsidRPr="00667D08">
        <w:rPr>
          <w:color w:val="000000" w:themeColor="text1"/>
          <w:sz w:val="20"/>
          <w:szCs w:val="20"/>
        </w:rPr>
        <w:t>Since</w:t>
      </w:r>
      <w:r>
        <w:rPr>
          <w:color w:val="000000" w:themeColor="text1"/>
          <w:sz w:val="20"/>
          <w:szCs w:val="20"/>
        </w:rPr>
        <w:t xml:space="preserve"> 2007 </w:t>
      </w:r>
      <w:r w:rsidRPr="00667D08">
        <w:rPr>
          <w:color w:val="000000" w:themeColor="text1"/>
          <w:sz w:val="20"/>
          <w:szCs w:val="20"/>
        </w:rPr>
        <w:t>the</w:t>
      </w:r>
      <w:r>
        <w:rPr>
          <w:color w:val="000000" w:themeColor="text1"/>
          <w:sz w:val="20"/>
          <w:szCs w:val="20"/>
        </w:rPr>
        <w:t xml:space="preserve"> </w:t>
      </w:r>
      <w:r w:rsidRPr="00667D08">
        <w:rPr>
          <w:color w:val="000000" w:themeColor="text1"/>
          <w:sz w:val="20"/>
          <w:szCs w:val="20"/>
        </w:rPr>
        <w:t>spread</w:t>
      </w:r>
      <w:r>
        <w:rPr>
          <w:color w:val="000000" w:themeColor="text1"/>
          <w:sz w:val="20"/>
          <w:szCs w:val="20"/>
        </w:rPr>
        <w:t xml:space="preserve"> </w:t>
      </w:r>
      <w:r w:rsidRPr="00667D08">
        <w:rPr>
          <w:color w:val="000000" w:themeColor="text1"/>
          <w:sz w:val="20"/>
          <w:szCs w:val="20"/>
        </w:rPr>
        <w:t>between</w:t>
      </w:r>
      <w:r>
        <w:rPr>
          <w:color w:val="000000" w:themeColor="text1"/>
          <w:sz w:val="20"/>
          <w:szCs w:val="20"/>
        </w:rPr>
        <w:t xml:space="preserve"> </w:t>
      </w:r>
      <w:r w:rsidRPr="00667D08">
        <w:rPr>
          <w:color w:val="000000" w:themeColor="text1"/>
          <w:sz w:val="20"/>
          <w:szCs w:val="20"/>
        </w:rPr>
        <w:t>the</w:t>
      </w:r>
      <w:r>
        <w:rPr>
          <w:color w:val="000000" w:themeColor="text1"/>
          <w:sz w:val="20"/>
          <w:szCs w:val="20"/>
        </w:rPr>
        <w:t xml:space="preserve"> </w:t>
      </w:r>
      <w:r w:rsidRPr="00667D08">
        <w:rPr>
          <w:color w:val="000000" w:themeColor="text1"/>
          <w:sz w:val="20"/>
          <w:szCs w:val="20"/>
        </w:rPr>
        <w:t>DW</w:t>
      </w:r>
      <w:r>
        <w:rPr>
          <w:color w:val="000000" w:themeColor="text1"/>
          <w:sz w:val="20"/>
          <w:szCs w:val="20"/>
        </w:rPr>
        <w:t xml:space="preserve"> </w:t>
      </w:r>
      <w:r w:rsidRPr="00667D08">
        <w:rPr>
          <w:color w:val="000000" w:themeColor="text1"/>
          <w:sz w:val="20"/>
          <w:szCs w:val="20"/>
        </w:rPr>
        <w:t>and</w:t>
      </w:r>
      <w:r>
        <w:rPr>
          <w:color w:val="000000" w:themeColor="text1"/>
          <w:sz w:val="20"/>
          <w:szCs w:val="20"/>
        </w:rPr>
        <w:t xml:space="preserve"> </w:t>
      </w:r>
      <w:r w:rsidRPr="00667D08">
        <w:rPr>
          <w:color w:val="000000" w:themeColor="text1"/>
          <w:sz w:val="20"/>
          <w:szCs w:val="20"/>
        </w:rPr>
        <w:t>the</w:t>
      </w:r>
      <w:r>
        <w:rPr>
          <w:color w:val="000000" w:themeColor="text1"/>
          <w:sz w:val="20"/>
          <w:szCs w:val="20"/>
        </w:rPr>
        <w:t xml:space="preserve"> </w:t>
      </w:r>
      <w:r w:rsidRPr="00667D08">
        <w:rPr>
          <w:color w:val="000000" w:themeColor="text1"/>
          <w:sz w:val="20"/>
          <w:szCs w:val="20"/>
        </w:rPr>
        <w:t>interest</w:t>
      </w:r>
      <w:r>
        <w:rPr>
          <w:color w:val="000000" w:themeColor="text1"/>
          <w:sz w:val="20"/>
          <w:szCs w:val="20"/>
        </w:rPr>
        <w:t xml:space="preserve"> </w:t>
      </w:r>
      <w:r w:rsidRPr="00667D08">
        <w:rPr>
          <w:color w:val="000000" w:themeColor="text1"/>
          <w:sz w:val="20"/>
          <w:szCs w:val="20"/>
        </w:rPr>
        <w:t>rate</w:t>
      </w:r>
      <w:r>
        <w:rPr>
          <w:color w:val="000000" w:themeColor="text1"/>
          <w:sz w:val="20"/>
          <w:szCs w:val="20"/>
        </w:rPr>
        <w:t xml:space="preserve"> </w:t>
      </w:r>
      <w:r w:rsidRPr="00667D08">
        <w:rPr>
          <w:color w:val="000000" w:themeColor="text1"/>
          <w:sz w:val="20"/>
          <w:szCs w:val="20"/>
        </w:rPr>
        <w:t>paid</w:t>
      </w:r>
      <w:r>
        <w:rPr>
          <w:color w:val="000000" w:themeColor="text1"/>
          <w:sz w:val="20"/>
          <w:szCs w:val="20"/>
        </w:rPr>
        <w:t xml:space="preserve"> </w:t>
      </w:r>
      <w:r w:rsidRPr="00667D08">
        <w:rPr>
          <w:color w:val="000000" w:themeColor="text1"/>
          <w:sz w:val="20"/>
          <w:szCs w:val="20"/>
        </w:rPr>
        <w:t>on</w:t>
      </w:r>
      <w:r>
        <w:rPr>
          <w:color w:val="000000" w:themeColor="text1"/>
          <w:sz w:val="20"/>
          <w:szCs w:val="20"/>
        </w:rPr>
        <w:t xml:space="preserve"> </w:t>
      </w:r>
      <w:r w:rsidRPr="00667D08">
        <w:rPr>
          <w:color w:val="000000" w:themeColor="text1"/>
          <w:sz w:val="20"/>
          <w:szCs w:val="20"/>
        </w:rPr>
        <w:t>reserve</w:t>
      </w:r>
      <w:r>
        <w:rPr>
          <w:color w:val="000000" w:themeColor="text1"/>
          <w:sz w:val="20"/>
          <w:szCs w:val="20"/>
        </w:rPr>
        <w:t xml:space="preserve">s </w:t>
      </w:r>
      <w:r w:rsidRPr="00667D08">
        <w:rPr>
          <w:color w:val="000000" w:themeColor="text1"/>
          <w:sz w:val="20"/>
          <w:szCs w:val="20"/>
        </w:rPr>
        <w:t>by</w:t>
      </w:r>
      <w:r>
        <w:rPr>
          <w:color w:val="000000" w:themeColor="text1"/>
          <w:sz w:val="20"/>
          <w:szCs w:val="20"/>
        </w:rPr>
        <w:t xml:space="preserve"> </w:t>
      </w:r>
      <w:r w:rsidRPr="00667D08">
        <w:rPr>
          <w:color w:val="000000" w:themeColor="text1"/>
          <w:sz w:val="20"/>
          <w:szCs w:val="20"/>
        </w:rPr>
        <w:t>the</w:t>
      </w:r>
      <w:r>
        <w:rPr>
          <w:color w:val="000000" w:themeColor="text1"/>
          <w:sz w:val="20"/>
          <w:szCs w:val="20"/>
        </w:rPr>
        <w:t xml:space="preserve"> </w:t>
      </w:r>
      <w:r w:rsidRPr="00667D08">
        <w:rPr>
          <w:color w:val="000000" w:themeColor="text1"/>
          <w:sz w:val="20"/>
          <w:szCs w:val="20"/>
        </w:rPr>
        <w:t>Fed</w:t>
      </w:r>
      <w:r>
        <w:rPr>
          <w:color w:val="000000" w:themeColor="text1"/>
          <w:sz w:val="20"/>
          <w:szCs w:val="20"/>
        </w:rPr>
        <w:t xml:space="preserve"> </w:t>
      </w:r>
      <w:r w:rsidRPr="00667D08">
        <w:rPr>
          <w:color w:val="000000" w:themeColor="text1"/>
          <w:sz w:val="20"/>
          <w:szCs w:val="20"/>
        </w:rPr>
        <w:t>has</w:t>
      </w:r>
      <w:r>
        <w:rPr>
          <w:color w:val="000000" w:themeColor="text1"/>
          <w:sz w:val="20"/>
          <w:szCs w:val="20"/>
        </w:rPr>
        <w:t xml:space="preserve"> </w:t>
      </w:r>
      <w:r w:rsidRPr="00667D08">
        <w:rPr>
          <w:color w:val="000000" w:themeColor="text1"/>
          <w:sz w:val="20"/>
          <w:szCs w:val="20"/>
        </w:rPr>
        <w:t>been</w:t>
      </w:r>
      <w:r>
        <w:rPr>
          <w:color w:val="000000" w:themeColor="text1"/>
          <w:sz w:val="20"/>
          <w:szCs w:val="20"/>
        </w:rPr>
        <w:t xml:space="preserve"> 50 basis points</w:t>
      </w:r>
      <w:r w:rsidRPr="00667D08">
        <w:rPr>
          <w:color w:val="000000" w:themeColor="text1"/>
          <w:sz w:val="20"/>
          <w:szCs w:val="20"/>
        </w:rPr>
        <w:t>.</w:t>
      </w:r>
    </w:p>
  </w:footnote>
  <w:footnote w:id="33">
    <w:p w14:paraId="4CF80F12" w14:textId="0359B861" w:rsidR="00CD7662" w:rsidRPr="00667D08" w:rsidRDefault="00CD7662" w:rsidP="00E80AC1">
      <w:pPr>
        <w:pStyle w:val="Olivier1"/>
        <w:widowControl w:val="0"/>
        <w:spacing w:after="0" w:line="240" w:lineRule="auto"/>
        <w:rPr>
          <w:color w:val="000000" w:themeColor="text1"/>
          <w:sz w:val="20"/>
          <w:szCs w:val="20"/>
        </w:rPr>
      </w:pPr>
      <w:r w:rsidRPr="00667D08">
        <w:rPr>
          <w:rStyle w:val="FootnoteReference"/>
          <w:color w:val="000000" w:themeColor="text1"/>
          <w:sz w:val="20"/>
          <w:szCs w:val="20"/>
        </w:rPr>
        <w:footnoteRef/>
      </w:r>
      <w:r>
        <w:rPr>
          <w:color w:val="000000" w:themeColor="text1"/>
          <w:sz w:val="20"/>
          <w:szCs w:val="20"/>
        </w:rPr>
        <w:t xml:space="preserve"> </w:t>
      </w:r>
      <w:r w:rsidRPr="00667D08">
        <w:rPr>
          <w:color w:val="000000" w:themeColor="text1"/>
          <w:sz w:val="20"/>
          <w:szCs w:val="20"/>
        </w:rPr>
        <w:t>Since</w:t>
      </w:r>
      <w:r>
        <w:rPr>
          <w:color w:val="000000" w:themeColor="text1"/>
          <w:sz w:val="20"/>
          <w:szCs w:val="20"/>
        </w:rPr>
        <w:t xml:space="preserve"> </w:t>
      </w:r>
      <w:r w:rsidRPr="00667D08">
        <w:rPr>
          <w:color w:val="000000" w:themeColor="text1"/>
          <w:sz w:val="20"/>
          <w:szCs w:val="20"/>
        </w:rPr>
        <w:t>the</w:t>
      </w:r>
      <w:r>
        <w:rPr>
          <w:color w:val="000000" w:themeColor="text1"/>
          <w:sz w:val="20"/>
          <w:szCs w:val="20"/>
        </w:rPr>
        <w:t xml:space="preserve"> </w:t>
      </w:r>
      <w:r w:rsidRPr="00667D08">
        <w:rPr>
          <w:color w:val="000000" w:themeColor="text1"/>
          <w:sz w:val="20"/>
          <w:szCs w:val="20"/>
        </w:rPr>
        <w:t>2003</w:t>
      </w:r>
      <w:r>
        <w:rPr>
          <w:color w:val="000000" w:themeColor="text1"/>
          <w:sz w:val="20"/>
          <w:szCs w:val="20"/>
        </w:rPr>
        <w:t xml:space="preserve"> </w:t>
      </w:r>
      <w:r w:rsidRPr="00667D08">
        <w:rPr>
          <w:color w:val="000000" w:themeColor="text1"/>
          <w:sz w:val="20"/>
          <w:szCs w:val="20"/>
        </w:rPr>
        <w:t>DW</w:t>
      </w:r>
      <w:r>
        <w:rPr>
          <w:color w:val="000000" w:themeColor="text1"/>
          <w:sz w:val="20"/>
          <w:szCs w:val="20"/>
        </w:rPr>
        <w:t xml:space="preserve"> </w:t>
      </w:r>
      <w:r w:rsidRPr="00667D08">
        <w:rPr>
          <w:color w:val="000000" w:themeColor="text1"/>
          <w:sz w:val="20"/>
          <w:szCs w:val="20"/>
        </w:rPr>
        <w:t>reform,</w:t>
      </w:r>
      <w:r>
        <w:rPr>
          <w:color w:val="000000" w:themeColor="text1"/>
          <w:sz w:val="20"/>
          <w:szCs w:val="20"/>
        </w:rPr>
        <w:t xml:space="preserve"> </w:t>
      </w:r>
      <w:r w:rsidRPr="00667D08">
        <w:rPr>
          <w:color w:val="000000" w:themeColor="text1"/>
          <w:sz w:val="20"/>
          <w:szCs w:val="20"/>
        </w:rPr>
        <w:t>funds</w:t>
      </w:r>
      <w:r>
        <w:rPr>
          <w:color w:val="000000" w:themeColor="text1"/>
          <w:sz w:val="20"/>
          <w:szCs w:val="20"/>
        </w:rPr>
        <w:t xml:space="preserve"> </w:t>
      </w:r>
      <w:r w:rsidRPr="00667D08">
        <w:rPr>
          <w:color w:val="000000" w:themeColor="text1"/>
          <w:sz w:val="20"/>
          <w:szCs w:val="20"/>
        </w:rPr>
        <w:t>borrowed</w:t>
      </w:r>
      <w:r>
        <w:rPr>
          <w:color w:val="000000" w:themeColor="text1"/>
          <w:sz w:val="20"/>
          <w:szCs w:val="20"/>
        </w:rPr>
        <w:t xml:space="preserve"> </w:t>
      </w:r>
      <w:r w:rsidRPr="00667D08">
        <w:rPr>
          <w:color w:val="000000" w:themeColor="text1"/>
          <w:sz w:val="20"/>
          <w:szCs w:val="20"/>
        </w:rPr>
        <w:t>at</w:t>
      </w:r>
      <w:r>
        <w:rPr>
          <w:color w:val="000000" w:themeColor="text1"/>
          <w:sz w:val="20"/>
          <w:szCs w:val="20"/>
        </w:rPr>
        <w:t xml:space="preserve"> </w:t>
      </w:r>
      <w:r w:rsidRPr="00667D08">
        <w:rPr>
          <w:color w:val="000000" w:themeColor="text1"/>
          <w:sz w:val="20"/>
          <w:szCs w:val="20"/>
        </w:rPr>
        <w:t>the</w:t>
      </w:r>
      <w:r>
        <w:rPr>
          <w:color w:val="000000" w:themeColor="text1"/>
          <w:sz w:val="20"/>
          <w:szCs w:val="20"/>
        </w:rPr>
        <w:t xml:space="preserve"> </w:t>
      </w:r>
      <w:r w:rsidRPr="00667D08">
        <w:rPr>
          <w:color w:val="000000" w:themeColor="text1"/>
          <w:sz w:val="20"/>
          <w:szCs w:val="20"/>
        </w:rPr>
        <w:t>DW</w:t>
      </w:r>
      <w:r>
        <w:rPr>
          <w:color w:val="000000" w:themeColor="text1"/>
          <w:sz w:val="20"/>
          <w:szCs w:val="20"/>
        </w:rPr>
        <w:t xml:space="preserve"> </w:t>
      </w:r>
      <w:r w:rsidRPr="00667D08">
        <w:rPr>
          <w:color w:val="000000" w:themeColor="text1"/>
          <w:sz w:val="20"/>
          <w:szCs w:val="20"/>
        </w:rPr>
        <w:t>can</w:t>
      </w:r>
      <w:r>
        <w:rPr>
          <w:color w:val="000000" w:themeColor="text1"/>
          <w:sz w:val="20"/>
          <w:szCs w:val="20"/>
        </w:rPr>
        <w:t xml:space="preserve"> </w:t>
      </w:r>
      <w:r w:rsidRPr="00667D08">
        <w:rPr>
          <w:color w:val="000000" w:themeColor="text1"/>
          <w:sz w:val="20"/>
          <w:szCs w:val="20"/>
        </w:rPr>
        <w:t>be</w:t>
      </w:r>
      <w:r>
        <w:rPr>
          <w:color w:val="000000" w:themeColor="text1"/>
          <w:sz w:val="20"/>
          <w:szCs w:val="20"/>
        </w:rPr>
        <w:t xml:space="preserve"> </w:t>
      </w:r>
      <w:r w:rsidRPr="00667D08">
        <w:rPr>
          <w:color w:val="000000" w:themeColor="text1"/>
          <w:sz w:val="20"/>
          <w:szCs w:val="20"/>
        </w:rPr>
        <w:t>lent</w:t>
      </w:r>
      <w:r>
        <w:rPr>
          <w:color w:val="000000" w:themeColor="text1"/>
          <w:sz w:val="20"/>
          <w:szCs w:val="20"/>
        </w:rPr>
        <w:t xml:space="preserve"> </w:t>
      </w:r>
      <w:r w:rsidRPr="00667D08">
        <w:rPr>
          <w:color w:val="000000" w:themeColor="text1"/>
          <w:sz w:val="20"/>
          <w:szCs w:val="20"/>
        </w:rPr>
        <w:t>on</w:t>
      </w:r>
      <w:r>
        <w:rPr>
          <w:color w:val="000000" w:themeColor="text1"/>
          <w:sz w:val="20"/>
          <w:szCs w:val="20"/>
        </w:rPr>
        <w:t xml:space="preserve"> </w:t>
      </w:r>
      <w:r w:rsidRPr="00667D08">
        <w:rPr>
          <w:color w:val="000000" w:themeColor="text1"/>
          <w:sz w:val="20"/>
          <w:szCs w:val="20"/>
        </w:rPr>
        <w:t>the</w:t>
      </w:r>
      <w:r>
        <w:rPr>
          <w:color w:val="000000" w:themeColor="text1"/>
          <w:sz w:val="20"/>
          <w:szCs w:val="20"/>
        </w:rPr>
        <w:t xml:space="preserve"> </w:t>
      </w:r>
      <w:r w:rsidRPr="00667D08">
        <w:rPr>
          <w:color w:val="000000" w:themeColor="text1"/>
          <w:sz w:val="20"/>
          <w:szCs w:val="20"/>
        </w:rPr>
        <w:t>interbank</w:t>
      </w:r>
      <w:r>
        <w:rPr>
          <w:color w:val="000000" w:themeColor="text1"/>
          <w:sz w:val="20"/>
          <w:szCs w:val="20"/>
        </w:rPr>
        <w:t xml:space="preserve"> </w:t>
      </w:r>
      <w:r w:rsidRPr="00667D08">
        <w:rPr>
          <w:color w:val="000000" w:themeColor="text1"/>
          <w:sz w:val="20"/>
          <w:szCs w:val="20"/>
        </w:rPr>
        <w:t>market.</w:t>
      </w:r>
      <w:r>
        <w:rPr>
          <w:color w:val="000000" w:themeColor="text1"/>
          <w:sz w:val="20"/>
          <w:szCs w:val="20"/>
        </w:rPr>
        <w:t xml:space="preserve"> </w:t>
      </w:r>
      <w:r w:rsidRPr="00667D08">
        <w:rPr>
          <w:color w:val="000000" w:themeColor="text1"/>
          <w:sz w:val="20"/>
          <w:szCs w:val="20"/>
        </w:rPr>
        <w:t>Thus,</w:t>
      </w:r>
      <w:r>
        <w:rPr>
          <w:color w:val="000000" w:themeColor="text1"/>
          <w:sz w:val="20"/>
          <w:szCs w:val="20"/>
        </w:rPr>
        <w:t xml:space="preserve"> </w:t>
      </w:r>
      <w:r w:rsidRPr="00667D08">
        <w:rPr>
          <w:color w:val="000000" w:themeColor="text1"/>
          <w:sz w:val="20"/>
          <w:szCs w:val="20"/>
        </w:rPr>
        <w:t>even</w:t>
      </w:r>
      <w:r>
        <w:rPr>
          <w:color w:val="000000" w:themeColor="text1"/>
          <w:sz w:val="20"/>
          <w:szCs w:val="20"/>
        </w:rPr>
        <w:t xml:space="preserve"> </w:t>
      </w:r>
      <w:r w:rsidRPr="00667D08">
        <w:rPr>
          <w:color w:val="000000" w:themeColor="text1"/>
          <w:sz w:val="20"/>
          <w:szCs w:val="20"/>
        </w:rPr>
        <w:t>if</w:t>
      </w:r>
      <w:r>
        <w:rPr>
          <w:color w:val="000000" w:themeColor="text1"/>
          <w:sz w:val="20"/>
          <w:szCs w:val="20"/>
        </w:rPr>
        <w:t xml:space="preserve"> </w:t>
      </w:r>
      <w:r w:rsidRPr="00667D08">
        <w:rPr>
          <w:color w:val="000000" w:themeColor="text1"/>
          <w:sz w:val="20"/>
          <w:szCs w:val="20"/>
        </w:rPr>
        <w:t>banks</w:t>
      </w:r>
      <w:r>
        <w:rPr>
          <w:color w:val="000000" w:themeColor="text1"/>
          <w:sz w:val="20"/>
          <w:szCs w:val="20"/>
        </w:rPr>
        <w:t xml:space="preserve"> </w:t>
      </w:r>
      <w:r w:rsidRPr="00667D08">
        <w:rPr>
          <w:color w:val="000000" w:themeColor="text1"/>
          <w:sz w:val="20"/>
          <w:szCs w:val="20"/>
        </w:rPr>
        <w:t>do</w:t>
      </w:r>
      <w:r>
        <w:rPr>
          <w:color w:val="000000" w:themeColor="text1"/>
          <w:sz w:val="20"/>
          <w:szCs w:val="20"/>
        </w:rPr>
        <w:t xml:space="preserve"> </w:t>
      </w:r>
      <w:r w:rsidRPr="00667D08">
        <w:rPr>
          <w:color w:val="000000" w:themeColor="text1"/>
          <w:sz w:val="20"/>
          <w:szCs w:val="20"/>
        </w:rPr>
        <w:t>not</w:t>
      </w:r>
      <w:r>
        <w:rPr>
          <w:color w:val="000000" w:themeColor="text1"/>
          <w:sz w:val="20"/>
          <w:szCs w:val="20"/>
        </w:rPr>
        <w:t xml:space="preserve"> </w:t>
      </w:r>
      <w:r w:rsidRPr="00667D08">
        <w:rPr>
          <w:color w:val="000000" w:themeColor="text1"/>
          <w:sz w:val="20"/>
          <w:szCs w:val="20"/>
        </w:rPr>
        <w:t>need</w:t>
      </w:r>
      <w:r>
        <w:rPr>
          <w:color w:val="000000" w:themeColor="text1"/>
          <w:sz w:val="20"/>
          <w:szCs w:val="20"/>
        </w:rPr>
        <w:t xml:space="preserve"> </w:t>
      </w:r>
      <w:r w:rsidRPr="00667D08">
        <w:rPr>
          <w:color w:val="000000" w:themeColor="text1"/>
          <w:sz w:val="20"/>
          <w:szCs w:val="20"/>
        </w:rPr>
        <w:t>l</w:t>
      </w:r>
      <w:r>
        <w:rPr>
          <w:color w:val="000000" w:themeColor="text1"/>
          <w:sz w:val="20"/>
          <w:szCs w:val="20"/>
        </w:rPr>
        <w:t xml:space="preserve">iquidity when they are asked to </w:t>
      </w:r>
      <w:r w:rsidRPr="00667D08">
        <w:rPr>
          <w:color w:val="000000" w:themeColor="text1"/>
          <w:sz w:val="20"/>
          <w:szCs w:val="20"/>
        </w:rPr>
        <w:t>borrow</w:t>
      </w:r>
      <w:r>
        <w:rPr>
          <w:color w:val="000000" w:themeColor="text1"/>
          <w:sz w:val="20"/>
          <w:szCs w:val="20"/>
        </w:rPr>
        <w:t xml:space="preserve"> </w:t>
      </w:r>
      <w:r w:rsidRPr="00667D08">
        <w:rPr>
          <w:color w:val="000000" w:themeColor="text1"/>
          <w:sz w:val="20"/>
          <w:szCs w:val="20"/>
        </w:rPr>
        <w:t>at</w:t>
      </w:r>
      <w:r>
        <w:rPr>
          <w:color w:val="000000" w:themeColor="text1"/>
          <w:sz w:val="20"/>
          <w:szCs w:val="20"/>
        </w:rPr>
        <w:t xml:space="preserve"> </w:t>
      </w:r>
      <w:r w:rsidRPr="00667D08">
        <w:rPr>
          <w:color w:val="000000" w:themeColor="text1"/>
          <w:sz w:val="20"/>
          <w:szCs w:val="20"/>
        </w:rPr>
        <w:t>the</w:t>
      </w:r>
      <w:r>
        <w:rPr>
          <w:color w:val="000000" w:themeColor="text1"/>
          <w:sz w:val="20"/>
          <w:szCs w:val="20"/>
        </w:rPr>
        <w:t xml:space="preserve"> </w:t>
      </w:r>
      <w:r w:rsidRPr="00667D08">
        <w:rPr>
          <w:color w:val="000000" w:themeColor="text1"/>
          <w:sz w:val="20"/>
          <w:szCs w:val="20"/>
        </w:rPr>
        <w:t>DW,</w:t>
      </w:r>
      <w:r>
        <w:rPr>
          <w:color w:val="000000" w:themeColor="text1"/>
          <w:sz w:val="20"/>
          <w:szCs w:val="20"/>
        </w:rPr>
        <w:t xml:space="preserve"> </w:t>
      </w:r>
      <w:r w:rsidRPr="00667D08">
        <w:rPr>
          <w:color w:val="000000" w:themeColor="text1"/>
          <w:sz w:val="20"/>
          <w:szCs w:val="20"/>
        </w:rPr>
        <w:t>they</w:t>
      </w:r>
      <w:r>
        <w:rPr>
          <w:color w:val="000000" w:themeColor="text1"/>
          <w:sz w:val="20"/>
          <w:szCs w:val="20"/>
        </w:rPr>
        <w:t xml:space="preserve"> could </w:t>
      </w:r>
      <w:r w:rsidRPr="00667D08">
        <w:rPr>
          <w:color w:val="000000" w:themeColor="text1"/>
          <w:sz w:val="20"/>
          <w:szCs w:val="20"/>
        </w:rPr>
        <w:t>always</w:t>
      </w:r>
      <w:r>
        <w:rPr>
          <w:color w:val="000000" w:themeColor="text1"/>
          <w:sz w:val="20"/>
          <w:szCs w:val="20"/>
        </w:rPr>
        <w:t xml:space="preserve"> </w:t>
      </w:r>
      <w:r w:rsidRPr="00667D08">
        <w:rPr>
          <w:color w:val="000000" w:themeColor="text1"/>
          <w:sz w:val="20"/>
          <w:szCs w:val="20"/>
        </w:rPr>
        <w:t>lend</w:t>
      </w:r>
      <w:r>
        <w:rPr>
          <w:color w:val="000000" w:themeColor="text1"/>
          <w:sz w:val="20"/>
          <w:szCs w:val="20"/>
        </w:rPr>
        <w:t xml:space="preserve"> </w:t>
      </w:r>
      <w:r w:rsidRPr="00667D08">
        <w:rPr>
          <w:color w:val="000000" w:themeColor="text1"/>
          <w:sz w:val="20"/>
          <w:szCs w:val="20"/>
        </w:rPr>
        <w:t>it</w:t>
      </w:r>
      <w:r>
        <w:rPr>
          <w:color w:val="000000" w:themeColor="text1"/>
          <w:sz w:val="20"/>
          <w:szCs w:val="20"/>
        </w:rPr>
        <w:t xml:space="preserve"> on th</w:t>
      </w:r>
      <w:r w:rsidRPr="00667D08">
        <w:rPr>
          <w:color w:val="000000" w:themeColor="text1"/>
          <w:sz w:val="20"/>
          <w:szCs w:val="20"/>
        </w:rPr>
        <w:t>e</w:t>
      </w:r>
      <w:r>
        <w:rPr>
          <w:color w:val="000000" w:themeColor="text1"/>
          <w:sz w:val="20"/>
          <w:szCs w:val="20"/>
        </w:rPr>
        <w:t xml:space="preserve"> </w:t>
      </w:r>
      <w:r w:rsidRPr="00667D08">
        <w:rPr>
          <w:color w:val="000000" w:themeColor="text1"/>
          <w:sz w:val="20"/>
          <w:szCs w:val="20"/>
        </w:rPr>
        <w:t>interbank</w:t>
      </w:r>
      <w:r>
        <w:rPr>
          <w:color w:val="000000" w:themeColor="text1"/>
          <w:sz w:val="20"/>
          <w:szCs w:val="20"/>
        </w:rPr>
        <w:t xml:space="preserve"> </w:t>
      </w:r>
      <w:r w:rsidRPr="00667D08">
        <w:rPr>
          <w:color w:val="000000" w:themeColor="text1"/>
          <w:sz w:val="20"/>
          <w:szCs w:val="20"/>
        </w:rPr>
        <w:t>market.</w:t>
      </w:r>
      <w:r>
        <w:rPr>
          <w:color w:val="000000" w:themeColor="text1"/>
          <w:sz w:val="20"/>
          <w:szCs w:val="20"/>
        </w:rPr>
        <w:t xml:space="preserve"> Alternatively, the funds could be safely stored at the Fed to earn interest on reserves. </w:t>
      </w:r>
    </w:p>
  </w:footnote>
  <w:footnote w:id="34">
    <w:p w14:paraId="5CD886BD" w14:textId="17B0856A" w:rsidR="00CD7662" w:rsidRPr="00D85A0A" w:rsidRDefault="00CD7662" w:rsidP="00E80AC1">
      <w:pPr>
        <w:pStyle w:val="Olivier1"/>
        <w:widowControl w:val="0"/>
        <w:spacing w:after="0" w:line="240" w:lineRule="auto"/>
        <w:rPr>
          <w:sz w:val="20"/>
          <w:szCs w:val="20"/>
        </w:rPr>
      </w:pPr>
      <w:r w:rsidRPr="00D85A0A"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As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explained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by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Tucker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(2009),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recognizing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that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liquidity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shocks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can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occur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between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auctions,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BOE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decided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to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combine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periodic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liquidity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auctions</w:t>
      </w:r>
      <w:r>
        <w:rPr>
          <w:sz w:val="20"/>
          <w:szCs w:val="20"/>
        </w:rPr>
        <w:t xml:space="preserve"> with </w:t>
      </w:r>
      <w:r w:rsidRPr="00D85A0A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DW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facility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available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on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continuous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basis.</w:t>
      </w:r>
      <w:r>
        <w:rPr>
          <w:sz w:val="20"/>
          <w:szCs w:val="20"/>
        </w:rPr>
        <w:t xml:space="preserve"> </w:t>
      </w:r>
    </w:p>
  </w:footnote>
  <w:footnote w:id="35">
    <w:p w14:paraId="70AC0D25" w14:textId="1751CE54" w:rsidR="00CD7662" w:rsidRPr="00D85A0A" w:rsidRDefault="00CD7662" w:rsidP="00E80AC1">
      <w:pPr>
        <w:pStyle w:val="Olivier1"/>
        <w:widowControl w:val="0"/>
        <w:spacing w:after="0" w:line="240" w:lineRule="auto"/>
        <w:rPr>
          <w:sz w:val="20"/>
          <w:szCs w:val="20"/>
        </w:rPr>
      </w:pPr>
      <w:r w:rsidRPr="00D85A0A"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In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2017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IMF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stated: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“</w:t>
      </w:r>
      <w:r w:rsidRPr="00D85A0A">
        <w:rPr>
          <w:sz w:val="20"/>
          <w:szCs w:val="20"/>
          <w:shd w:val="clear" w:color="auto" w:fill="FFFFFF"/>
        </w:rPr>
        <w:t>A</w:t>
      </w:r>
      <w:r>
        <w:rPr>
          <w:sz w:val="20"/>
          <w:szCs w:val="20"/>
          <w:shd w:val="clear" w:color="auto" w:fill="FFFFFF"/>
        </w:rPr>
        <w:t xml:space="preserve"> </w:t>
      </w:r>
      <w:r w:rsidRPr="00D85A0A">
        <w:rPr>
          <w:sz w:val="20"/>
          <w:szCs w:val="20"/>
          <w:shd w:val="clear" w:color="auto" w:fill="FFFFFF"/>
        </w:rPr>
        <w:t>key</w:t>
      </w:r>
      <w:r>
        <w:rPr>
          <w:sz w:val="20"/>
          <w:szCs w:val="20"/>
          <w:shd w:val="clear" w:color="auto" w:fill="FFFFFF"/>
        </w:rPr>
        <w:t xml:space="preserve"> </w:t>
      </w:r>
      <w:r w:rsidRPr="00D85A0A">
        <w:rPr>
          <w:sz w:val="20"/>
          <w:szCs w:val="20"/>
          <w:shd w:val="clear" w:color="auto" w:fill="FFFFFF"/>
        </w:rPr>
        <w:t>objective</w:t>
      </w:r>
      <w:r>
        <w:rPr>
          <w:sz w:val="20"/>
          <w:szCs w:val="20"/>
          <w:shd w:val="clear" w:color="auto" w:fill="FFFFFF"/>
        </w:rPr>
        <w:t xml:space="preserve"> </w:t>
      </w:r>
      <w:r w:rsidRPr="00D85A0A">
        <w:rPr>
          <w:sz w:val="20"/>
          <w:szCs w:val="20"/>
          <w:shd w:val="clear" w:color="auto" w:fill="FFFFFF"/>
        </w:rPr>
        <w:t>of</w:t>
      </w:r>
      <w:r>
        <w:rPr>
          <w:sz w:val="20"/>
          <w:szCs w:val="20"/>
          <w:shd w:val="clear" w:color="auto" w:fill="FFFFFF"/>
        </w:rPr>
        <w:t xml:space="preserve"> </w:t>
      </w:r>
      <w:r w:rsidRPr="00D85A0A">
        <w:rPr>
          <w:sz w:val="20"/>
          <w:szCs w:val="20"/>
          <w:shd w:val="clear" w:color="auto" w:fill="FFFFFF"/>
        </w:rPr>
        <w:t>the</w:t>
      </w:r>
      <w:r>
        <w:rPr>
          <w:sz w:val="20"/>
          <w:szCs w:val="20"/>
          <w:shd w:val="clear" w:color="auto" w:fill="FFFFFF"/>
        </w:rPr>
        <w:t xml:space="preserve"> </w:t>
      </w:r>
      <w:r w:rsidRPr="00D85A0A">
        <w:rPr>
          <w:sz w:val="20"/>
          <w:szCs w:val="20"/>
          <w:shd w:val="clear" w:color="auto" w:fill="FFFFFF"/>
        </w:rPr>
        <w:t>lending</w:t>
      </w:r>
      <w:r>
        <w:rPr>
          <w:sz w:val="20"/>
          <w:szCs w:val="20"/>
          <w:shd w:val="clear" w:color="auto" w:fill="FFFFFF"/>
        </w:rPr>
        <w:t xml:space="preserve"> </w:t>
      </w:r>
      <w:r w:rsidRPr="00D85A0A">
        <w:rPr>
          <w:sz w:val="20"/>
          <w:szCs w:val="20"/>
          <w:shd w:val="clear" w:color="auto" w:fill="FFFFFF"/>
        </w:rPr>
        <w:t>reform</w:t>
      </w:r>
      <w:r>
        <w:rPr>
          <w:sz w:val="20"/>
          <w:szCs w:val="20"/>
          <w:shd w:val="clear" w:color="auto" w:fill="FFFFFF"/>
        </w:rPr>
        <w:t xml:space="preserve"> </w:t>
      </w:r>
      <w:r w:rsidRPr="00D85A0A">
        <w:rPr>
          <w:sz w:val="20"/>
          <w:szCs w:val="20"/>
          <w:shd w:val="clear" w:color="auto" w:fill="FFFFFF"/>
        </w:rPr>
        <w:t>is</w:t>
      </w:r>
      <w:r>
        <w:rPr>
          <w:sz w:val="20"/>
          <w:szCs w:val="20"/>
          <w:shd w:val="clear" w:color="auto" w:fill="FFFFFF"/>
        </w:rPr>
        <w:t xml:space="preserve"> </w:t>
      </w:r>
      <w:r w:rsidRPr="00D85A0A">
        <w:rPr>
          <w:sz w:val="20"/>
          <w:szCs w:val="20"/>
          <w:shd w:val="clear" w:color="auto" w:fill="FFFFFF"/>
        </w:rPr>
        <w:t>to</w:t>
      </w:r>
      <w:r>
        <w:rPr>
          <w:sz w:val="20"/>
          <w:szCs w:val="20"/>
          <w:shd w:val="clear" w:color="auto" w:fill="FFFFFF"/>
        </w:rPr>
        <w:t xml:space="preserve"> </w:t>
      </w:r>
      <w:r w:rsidRPr="00D85A0A">
        <w:rPr>
          <w:sz w:val="20"/>
          <w:szCs w:val="20"/>
          <w:shd w:val="clear" w:color="auto" w:fill="FFFFFF"/>
        </w:rPr>
        <w:t>reduce</w:t>
      </w:r>
      <w:r>
        <w:rPr>
          <w:sz w:val="20"/>
          <w:szCs w:val="20"/>
          <w:shd w:val="clear" w:color="auto" w:fill="FFFFFF"/>
        </w:rPr>
        <w:t xml:space="preserve"> </w:t>
      </w:r>
      <w:r w:rsidRPr="00D85A0A">
        <w:rPr>
          <w:sz w:val="20"/>
          <w:szCs w:val="20"/>
          <w:shd w:val="clear" w:color="auto" w:fill="FFFFFF"/>
        </w:rPr>
        <w:t>the</w:t>
      </w:r>
      <w:r>
        <w:rPr>
          <w:sz w:val="20"/>
          <w:szCs w:val="20"/>
          <w:shd w:val="clear" w:color="auto" w:fill="FFFFFF"/>
        </w:rPr>
        <w:t xml:space="preserve"> </w:t>
      </w:r>
      <w:r w:rsidRPr="00D85A0A">
        <w:rPr>
          <w:sz w:val="20"/>
          <w:szCs w:val="20"/>
          <w:shd w:val="clear" w:color="auto" w:fill="FFFFFF"/>
        </w:rPr>
        <w:t>perceived</w:t>
      </w:r>
      <w:r>
        <w:rPr>
          <w:sz w:val="20"/>
          <w:szCs w:val="20"/>
          <w:shd w:val="clear" w:color="auto" w:fill="FFFFFF"/>
        </w:rPr>
        <w:t xml:space="preserve"> </w:t>
      </w:r>
      <w:r w:rsidRPr="00D85A0A">
        <w:rPr>
          <w:sz w:val="20"/>
          <w:szCs w:val="20"/>
          <w:shd w:val="clear" w:color="auto" w:fill="FFFFFF"/>
        </w:rPr>
        <w:t>stigma</w:t>
      </w:r>
      <w:r>
        <w:rPr>
          <w:sz w:val="20"/>
          <w:szCs w:val="20"/>
          <w:shd w:val="clear" w:color="auto" w:fill="FFFFFF"/>
        </w:rPr>
        <w:t xml:space="preserve"> </w:t>
      </w:r>
      <w:r w:rsidRPr="00D85A0A">
        <w:rPr>
          <w:sz w:val="20"/>
          <w:szCs w:val="20"/>
          <w:shd w:val="clear" w:color="auto" w:fill="FFFFFF"/>
        </w:rPr>
        <w:t>of</w:t>
      </w:r>
      <w:r>
        <w:rPr>
          <w:sz w:val="20"/>
          <w:szCs w:val="20"/>
          <w:shd w:val="clear" w:color="auto" w:fill="FFFFFF"/>
        </w:rPr>
        <w:t xml:space="preserve"> </w:t>
      </w:r>
      <w:r w:rsidRPr="00D85A0A">
        <w:rPr>
          <w:sz w:val="20"/>
          <w:szCs w:val="20"/>
          <w:shd w:val="clear" w:color="auto" w:fill="FFFFFF"/>
        </w:rPr>
        <w:t>borrowing</w:t>
      </w:r>
      <w:r>
        <w:rPr>
          <w:sz w:val="20"/>
          <w:szCs w:val="20"/>
          <w:shd w:val="clear" w:color="auto" w:fill="FFFFFF"/>
        </w:rPr>
        <w:t xml:space="preserve"> </w:t>
      </w:r>
      <w:r w:rsidRPr="00D85A0A">
        <w:rPr>
          <w:sz w:val="20"/>
          <w:szCs w:val="20"/>
          <w:shd w:val="clear" w:color="auto" w:fill="FFFFFF"/>
        </w:rPr>
        <w:t>from</w:t>
      </w:r>
      <w:r>
        <w:rPr>
          <w:sz w:val="20"/>
          <w:szCs w:val="20"/>
          <w:shd w:val="clear" w:color="auto" w:fill="FFFFFF"/>
        </w:rPr>
        <w:t xml:space="preserve"> </w:t>
      </w:r>
      <w:r w:rsidRPr="00D85A0A">
        <w:rPr>
          <w:sz w:val="20"/>
          <w:szCs w:val="20"/>
          <w:shd w:val="clear" w:color="auto" w:fill="FFFFFF"/>
        </w:rPr>
        <w:t>the</w:t>
      </w:r>
      <w:r>
        <w:rPr>
          <w:sz w:val="20"/>
          <w:szCs w:val="20"/>
          <w:shd w:val="clear" w:color="auto" w:fill="FFFFFF"/>
        </w:rPr>
        <w:t xml:space="preserve"> </w:t>
      </w:r>
      <w:r w:rsidRPr="00D85A0A">
        <w:rPr>
          <w:sz w:val="20"/>
          <w:szCs w:val="20"/>
          <w:shd w:val="clear" w:color="auto" w:fill="FFFFFF"/>
        </w:rPr>
        <w:t>IMF”</w:t>
      </w:r>
      <w:r>
        <w:rPr>
          <w:sz w:val="20"/>
          <w:szCs w:val="20"/>
          <w:shd w:val="clear" w:color="auto" w:fill="FFFFFF"/>
        </w:rPr>
        <w:t xml:space="preserve"> </w:t>
      </w:r>
      <w:r w:rsidRPr="00D85A0A">
        <w:rPr>
          <w:sz w:val="20"/>
          <w:szCs w:val="20"/>
          <w:shd w:val="clear" w:color="auto" w:fill="FFFFFF"/>
        </w:rPr>
        <w:t>(</w:t>
      </w:r>
      <w:hyperlink r:id="rId1" w:anchor="q11" w:history="1">
        <w:r w:rsidRPr="00D85A0A">
          <w:rPr>
            <w:rStyle w:val="Hyperlink"/>
            <w:sz w:val="20"/>
            <w:szCs w:val="20"/>
          </w:rPr>
          <w:t>https://www.imf.org/external/np/exr/faq/facfaqs.htm#q11</w:t>
        </w:r>
      </w:hyperlink>
      <w:r w:rsidRPr="00D85A0A">
        <w:rPr>
          <w:sz w:val="20"/>
          <w:szCs w:val="20"/>
        </w:rPr>
        <w:t>)</w:t>
      </w:r>
      <w:r>
        <w:rPr>
          <w:sz w:val="20"/>
          <w:szCs w:val="20"/>
        </w:rPr>
        <w:t xml:space="preserve">. </w:t>
      </w:r>
      <w:r w:rsidRPr="00D85A0A">
        <w:rPr>
          <w:sz w:val="20"/>
          <w:szCs w:val="20"/>
        </w:rPr>
        <w:t>See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also</w:t>
      </w:r>
      <w:r>
        <w:rPr>
          <w:rFonts w:eastAsiaTheme="minorEastAsia"/>
          <w:sz w:val="20"/>
          <w:szCs w:val="20"/>
        </w:rPr>
        <w:t xml:space="preserve"> </w:t>
      </w:r>
      <w:r w:rsidRPr="00D85A0A">
        <w:rPr>
          <w:rFonts w:eastAsiaTheme="minorEastAsia"/>
          <w:sz w:val="20"/>
          <w:szCs w:val="20"/>
        </w:rPr>
        <w:t>“Move</w:t>
      </w:r>
      <w:r>
        <w:rPr>
          <w:rFonts w:eastAsiaTheme="minorEastAsia"/>
          <w:sz w:val="20"/>
          <w:szCs w:val="20"/>
        </w:rPr>
        <w:t xml:space="preserve"> </w:t>
      </w:r>
      <w:r w:rsidRPr="00D85A0A">
        <w:rPr>
          <w:rFonts w:eastAsiaTheme="minorEastAsia"/>
          <w:sz w:val="20"/>
          <w:szCs w:val="20"/>
        </w:rPr>
        <w:t>to</w:t>
      </w:r>
      <w:r>
        <w:rPr>
          <w:rFonts w:eastAsiaTheme="minorEastAsia"/>
          <w:sz w:val="20"/>
          <w:szCs w:val="20"/>
        </w:rPr>
        <w:t xml:space="preserve"> </w:t>
      </w:r>
      <w:r w:rsidRPr="00D85A0A">
        <w:rPr>
          <w:rFonts w:eastAsiaTheme="minorEastAsia"/>
          <w:sz w:val="20"/>
          <w:szCs w:val="20"/>
        </w:rPr>
        <w:t>Repay</w:t>
      </w:r>
      <w:r>
        <w:rPr>
          <w:rFonts w:eastAsiaTheme="minorEastAsia"/>
          <w:sz w:val="20"/>
          <w:szCs w:val="20"/>
        </w:rPr>
        <w:t xml:space="preserve"> </w:t>
      </w:r>
      <w:r w:rsidRPr="00D85A0A">
        <w:rPr>
          <w:rFonts w:eastAsiaTheme="minorEastAsia"/>
          <w:sz w:val="20"/>
          <w:szCs w:val="20"/>
        </w:rPr>
        <w:t>Aid</w:t>
      </w:r>
      <w:r>
        <w:rPr>
          <w:rFonts w:eastAsiaTheme="minorEastAsia"/>
          <w:sz w:val="20"/>
          <w:szCs w:val="20"/>
        </w:rPr>
        <w:t xml:space="preserve"> </w:t>
      </w:r>
      <w:r w:rsidRPr="00D85A0A">
        <w:rPr>
          <w:rFonts w:eastAsiaTheme="minorEastAsia"/>
          <w:sz w:val="20"/>
          <w:szCs w:val="20"/>
        </w:rPr>
        <w:t>Helps</w:t>
      </w:r>
      <w:r>
        <w:rPr>
          <w:rFonts w:eastAsiaTheme="minorEastAsia"/>
          <w:sz w:val="20"/>
          <w:szCs w:val="20"/>
        </w:rPr>
        <w:t xml:space="preserve"> </w:t>
      </w:r>
      <w:r w:rsidRPr="00D85A0A">
        <w:rPr>
          <w:rFonts w:eastAsiaTheme="minorEastAsia"/>
          <w:sz w:val="20"/>
          <w:szCs w:val="20"/>
        </w:rPr>
        <w:t>Bank</w:t>
      </w:r>
      <w:r>
        <w:rPr>
          <w:rFonts w:eastAsiaTheme="minorEastAsia"/>
          <w:sz w:val="20"/>
          <w:szCs w:val="20"/>
        </w:rPr>
        <w:t xml:space="preserve"> </w:t>
      </w:r>
      <w:r w:rsidRPr="00D85A0A">
        <w:rPr>
          <w:rFonts w:eastAsiaTheme="minorEastAsia"/>
          <w:sz w:val="20"/>
          <w:szCs w:val="20"/>
        </w:rPr>
        <w:t>of</w:t>
      </w:r>
      <w:r>
        <w:rPr>
          <w:rFonts w:eastAsiaTheme="minorEastAsia"/>
          <w:sz w:val="20"/>
          <w:szCs w:val="20"/>
        </w:rPr>
        <w:t xml:space="preserve"> </w:t>
      </w:r>
      <w:r w:rsidRPr="00D85A0A">
        <w:rPr>
          <w:rFonts w:eastAsiaTheme="minorEastAsia"/>
          <w:sz w:val="20"/>
          <w:szCs w:val="20"/>
        </w:rPr>
        <w:t>America</w:t>
      </w:r>
      <w:r>
        <w:rPr>
          <w:rFonts w:eastAsiaTheme="minorEastAsia"/>
          <w:sz w:val="20"/>
          <w:szCs w:val="20"/>
        </w:rPr>
        <w:t xml:space="preserve"> </w:t>
      </w:r>
      <w:r w:rsidRPr="00D85A0A">
        <w:rPr>
          <w:rFonts w:eastAsiaTheme="minorEastAsia"/>
          <w:sz w:val="20"/>
          <w:szCs w:val="20"/>
        </w:rPr>
        <w:t>Shed</w:t>
      </w:r>
      <w:r>
        <w:rPr>
          <w:rFonts w:eastAsiaTheme="minorEastAsia"/>
          <w:sz w:val="20"/>
          <w:szCs w:val="20"/>
        </w:rPr>
        <w:t xml:space="preserve"> </w:t>
      </w:r>
      <w:r w:rsidRPr="00D85A0A">
        <w:rPr>
          <w:rFonts w:eastAsiaTheme="minorEastAsia"/>
          <w:sz w:val="20"/>
          <w:szCs w:val="20"/>
        </w:rPr>
        <w:t>Stigma,”</w:t>
      </w:r>
      <w:r>
        <w:rPr>
          <w:rFonts w:eastAsiaTheme="minorEastAsia"/>
          <w:sz w:val="20"/>
          <w:szCs w:val="20"/>
        </w:rPr>
        <w:t xml:space="preserve"> </w:t>
      </w:r>
      <w:r w:rsidRPr="00D85A0A">
        <w:rPr>
          <w:rFonts w:eastAsiaTheme="minorEastAsia"/>
          <w:sz w:val="20"/>
          <w:szCs w:val="20"/>
        </w:rPr>
        <w:t>The</w:t>
      </w:r>
      <w:r>
        <w:rPr>
          <w:rFonts w:eastAsiaTheme="minorEastAsia"/>
          <w:sz w:val="20"/>
          <w:szCs w:val="20"/>
        </w:rPr>
        <w:t xml:space="preserve"> </w:t>
      </w:r>
      <w:r w:rsidRPr="00D85A0A">
        <w:rPr>
          <w:rFonts w:eastAsiaTheme="minorEastAsia"/>
          <w:sz w:val="20"/>
          <w:szCs w:val="20"/>
        </w:rPr>
        <w:t>New</w:t>
      </w:r>
      <w:r>
        <w:rPr>
          <w:rFonts w:eastAsiaTheme="minorEastAsia"/>
          <w:sz w:val="20"/>
          <w:szCs w:val="20"/>
        </w:rPr>
        <w:t xml:space="preserve"> </w:t>
      </w:r>
      <w:r w:rsidRPr="00D85A0A">
        <w:rPr>
          <w:rFonts w:eastAsiaTheme="minorEastAsia"/>
          <w:sz w:val="20"/>
          <w:szCs w:val="20"/>
        </w:rPr>
        <w:t>York</w:t>
      </w:r>
      <w:r>
        <w:rPr>
          <w:rFonts w:eastAsiaTheme="minorEastAsia"/>
          <w:sz w:val="20"/>
          <w:szCs w:val="20"/>
        </w:rPr>
        <w:t xml:space="preserve"> </w:t>
      </w:r>
      <w:r w:rsidRPr="00D85A0A">
        <w:rPr>
          <w:rFonts w:eastAsiaTheme="minorEastAsia"/>
          <w:sz w:val="20"/>
          <w:szCs w:val="20"/>
        </w:rPr>
        <w:t>Times,</w:t>
      </w:r>
      <w:r>
        <w:rPr>
          <w:rFonts w:eastAsiaTheme="minorEastAsia"/>
          <w:sz w:val="20"/>
          <w:szCs w:val="20"/>
        </w:rPr>
        <w:t xml:space="preserve"> </w:t>
      </w:r>
      <w:r w:rsidRPr="00D85A0A">
        <w:rPr>
          <w:rFonts w:eastAsiaTheme="minorEastAsia"/>
          <w:sz w:val="20"/>
          <w:szCs w:val="20"/>
        </w:rPr>
        <w:t>December</w:t>
      </w:r>
      <w:r>
        <w:rPr>
          <w:rFonts w:eastAsiaTheme="minorEastAsia"/>
          <w:sz w:val="20"/>
          <w:szCs w:val="20"/>
        </w:rPr>
        <w:t xml:space="preserve"> </w:t>
      </w:r>
      <w:r w:rsidRPr="00D85A0A">
        <w:rPr>
          <w:rFonts w:eastAsiaTheme="minorEastAsia"/>
          <w:sz w:val="20"/>
          <w:szCs w:val="20"/>
        </w:rPr>
        <w:t>3,</w:t>
      </w:r>
      <w:r>
        <w:rPr>
          <w:rFonts w:eastAsiaTheme="minorEastAsia"/>
          <w:sz w:val="20"/>
          <w:szCs w:val="20"/>
        </w:rPr>
        <w:t xml:space="preserve"> </w:t>
      </w:r>
      <w:r w:rsidRPr="00D85A0A">
        <w:rPr>
          <w:rFonts w:eastAsiaTheme="minorEastAsia"/>
          <w:sz w:val="20"/>
          <w:szCs w:val="20"/>
        </w:rPr>
        <w:t>2009</w:t>
      </w:r>
      <w:r>
        <w:rPr>
          <w:rFonts w:eastAsiaTheme="minorEastAsia"/>
          <w:sz w:val="20"/>
          <w:szCs w:val="20"/>
        </w:rPr>
        <w:t xml:space="preserve"> </w:t>
      </w:r>
      <w:r w:rsidRPr="00D85A0A">
        <w:rPr>
          <w:rFonts w:eastAsiaTheme="minorEastAsia"/>
          <w:sz w:val="20"/>
          <w:szCs w:val="20"/>
        </w:rPr>
        <w:t>for</w:t>
      </w:r>
      <w:r>
        <w:rPr>
          <w:rFonts w:eastAsiaTheme="minorEastAsia"/>
          <w:sz w:val="20"/>
          <w:szCs w:val="20"/>
        </w:rPr>
        <w:t xml:space="preserve"> </w:t>
      </w:r>
      <w:r w:rsidRPr="00D85A0A">
        <w:rPr>
          <w:rFonts w:eastAsiaTheme="minorEastAsia"/>
          <w:sz w:val="20"/>
          <w:szCs w:val="20"/>
        </w:rPr>
        <w:t>a</w:t>
      </w:r>
      <w:r>
        <w:rPr>
          <w:rFonts w:eastAsiaTheme="minorEastAsia"/>
          <w:sz w:val="20"/>
          <w:szCs w:val="20"/>
        </w:rPr>
        <w:t xml:space="preserve"> </w:t>
      </w:r>
      <w:r w:rsidRPr="00D85A0A">
        <w:rPr>
          <w:rFonts w:eastAsiaTheme="minorEastAsia"/>
          <w:sz w:val="20"/>
          <w:szCs w:val="20"/>
        </w:rPr>
        <w:t>discussion</w:t>
      </w:r>
      <w:r>
        <w:rPr>
          <w:rFonts w:eastAsiaTheme="minorEastAsia"/>
          <w:sz w:val="20"/>
          <w:szCs w:val="20"/>
        </w:rPr>
        <w:t xml:space="preserve"> </w:t>
      </w:r>
      <w:r w:rsidRPr="00D85A0A">
        <w:rPr>
          <w:rFonts w:eastAsiaTheme="minorEastAsia"/>
          <w:sz w:val="20"/>
          <w:szCs w:val="20"/>
        </w:rPr>
        <w:t>of</w:t>
      </w:r>
      <w:r>
        <w:rPr>
          <w:rFonts w:eastAsiaTheme="minorEastAsia"/>
          <w:sz w:val="20"/>
          <w:szCs w:val="20"/>
        </w:rPr>
        <w:t xml:space="preserve"> </w:t>
      </w:r>
      <w:r w:rsidRPr="00D85A0A">
        <w:rPr>
          <w:rFonts w:eastAsiaTheme="minorEastAsia"/>
          <w:sz w:val="20"/>
          <w:szCs w:val="20"/>
        </w:rPr>
        <w:t>stigma</w:t>
      </w:r>
      <w:r>
        <w:rPr>
          <w:rFonts w:eastAsiaTheme="minorEastAsia"/>
          <w:sz w:val="20"/>
          <w:szCs w:val="20"/>
        </w:rPr>
        <w:t xml:space="preserve"> </w:t>
      </w:r>
      <w:r w:rsidRPr="00D85A0A">
        <w:rPr>
          <w:rFonts w:eastAsiaTheme="minorEastAsia"/>
          <w:sz w:val="20"/>
          <w:szCs w:val="20"/>
        </w:rPr>
        <w:t>attached</w:t>
      </w:r>
      <w:r>
        <w:rPr>
          <w:rFonts w:eastAsiaTheme="minorEastAsia"/>
          <w:sz w:val="20"/>
          <w:szCs w:val="20"/>
        </w:rPr>
        <w:t xml:space="preserve"> </w:t>
      </w:r>
      <w:r w:rsidRPr="00D85A0A">
        <w:rPr>
          <w:rFonts w:eastAsiaTheme="minorEastAsia"/>
          <w:sz w:val="20"/>
          <w:szCs w:val="20"/>
        </w:rPr>
        <w:t>to</w:t>
      </w:r>
      <w:r>
        <w:rPr>
          <w:rFonts w:eastAsiaTheme="minorEastAsia"/>
          <w:sz w:val="20"/>
          <w:szCs w:val="20"/>
        </w:rPr>
        <w:t xml:space="preserve"> </w:t>
      </w:r>
      <w:r w:rsidRPr="00D85A0A">
        <w:rPr>
          <w:rFonts w:eastAsiaTheme="minorEastAsia"/>
          <w:sz w:val="20"/>
          <w:szCs w:val="20"/>
        </w:rPr>
        <w:t>the</w:t>
      </w:r>
      <w:r>
        <w:rPr>
          <w:rFonts w:eastAsiaTheme="minorEastAsia"/>
          <w:sz w:val="20"/>
          <w:szCs w:val="20"/>
        </w:rPr>
        <w:t xml:space="preserve"> </w:t>
      </w:r>
      <w:r w:rsidRPr="00D85A0A">
        <w:rPr>
          <w:rFonts w:eastAsiaTheme="minorEastAsia"/>
          <w:sz w:val="20"/>
          <w:szCs w:val="20"/>
        </w:rPr>
        <w:t>Troubled</w:t>
      </w:r>
      <w:r>
        <w:rPr>
          <w:rFonts w:eastAsiaTheme="minorEastAsia"/>
          <w:sz w:val="20"/>
          <w:szCs w:val="20"/>
        </w:rPr>
        <w:t xml:space="preserve"> </w:t>
      </w:r>
      <w:r w:rsidRPr="00D85A0A">
        <w:rPr>
          <w:rFonts w:eastAsiaTheme="minorEastAsia"/>
          <w:sz w:val="20"/>
          <w:szCs w:val="20"/>
        </w:rPr>
        <w:t>Asset</w:t>
      </w:r>
      <w:r>
        <w:rPr>
          <w:rFonts w:eastAsiaTheme="minorEastAsia"/>
          <w:sz w:val="20"/>
          <w:szCs w:val="20"/>
        </w:rPr>
        <w:t xml:space="preserve"> </w:t>
      </w:r>
      <w:r w:rsidRPr="00D85A0A">
        <w:rPr>
          <w:rFonts w:eastAsiaTheme="minorEastAsia"/>
          <w:sz w:val="20"/>
          <w:szCs w:val="20"/>
        </w:rPr>
        <w:t>Relief</w:t>
      </w:r>
      <w:r>
        <w:rPr>
          <w:rFonts w:eastAsiaTheme="minorEastAsia"/>
          <w:sz w:val="20"/>
          <w:szCs w:val="20"/>
        </w:rPr>
        <w:t xml:space="preserve"> </w:t>
      </w:r>
      <w:r w:rsidRPr="00D85A0A">
        <w:rPr>
          <w:rFonts w:eastAsiaTheme="minorEastAsia"/>
          <w:sz w:val="20"/>
          <w:szCs w:val="20"/>
        </w:rPr>
        <w:t>Program.</w:t>
      </w:r>
    </w:p>
  </w:footnote>
  <w:footnote w:id="36">
    <w:p w14:paraId="13814B17" w14:textId="5025D583" w:rsidR="00CD7662" w:rsidRPr="0001467F" w:rsidRDefault="00CD7662" w:rsidP="00E80AC1">
      <w:pPr>
        <w:pStyle w:val="FootnoteText"/>
        <w:widowControl w:val="0"/>
        <w:jc w:val="both"/>
        <w:rPr>
          <w:sz w:val="20"/>
          <w:szCs w:val="20"/>
        </w:rPr>
      </w:pPr>
      <w:r w:rsidRPr="00D85A0A">
        <w:rPr>
          <w:rStyle w:val="FootnoteReference"/>
          <w:color w:val="000000" w:themeColor="text1"/>
          <w:sz w:val="20"/>
          <w:szCs w:val="20"/>
        </w:rPr>
        <w:footnoteRef/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See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e.</w:t>
      </w:r>
      <w:r>
        <w:rPr>
          <w:color w:val="000000" w:themeColor="text1"/>
          <w:sz w:val="20"/>
          <w:szCs w:val="20"/>
        </w:rPr>
        <w:t xml:space="preserve">g. Vishwanath (1989), Athreya </w:t>
      </w:r>
      <w:r w:rsidRPr="00D85A0A">
        <w:rPr>
          <w:color w:val="000000" w:themeColor="text1"/>
          <w:sz w:val="20"/>
          <w:szCs w:val="20"/>
        </w:rPr>
        <w:t>(2004)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or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Knaak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et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al.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color w:val="000000" w:themeColor="text1"/>
          <w:sz w:val="20"/>
          <w:szCs w:val="20"/>
        </w:rPr>
        <w:t>(2017)</w:t>
      </w:r>
    </w:p>
  </w:footnote>
  <w:footnote w:id="37">
    <w:p w14:paraId="33741843" w14:textId="601FA4E8" w:rsidR="00CD7662" w:rsidRPr="00667D08" w:rsidRDefault="00CD7662" w:rsidP="00E80AC1">
      <w:pPr>
        <w:pStyle w:val="Olivier1"/>
        <w:widowControl w:val="0"/>
        <w:spacing w:after="0" w:line="240" w:lineRule="auto"/>
        <w:rPr>
          <w:color w:val="000000" w:themeColor="text1"/>
          <w:sz w:val="20"/>
          <w:szCs w:val="20"/>
        </w:rPr>
      </w:pPr>
      <w:r w:rsidRPr="00D85A0A"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 w:rsidRPr="00667D08">
        <w:rPr>
          <w:rFonts w:eastAsiaTheme="minorEastAsia"/>
          <w:color w:val="000000" w:themeColor="text1"/>
          <w:sz w:val="20"/>
          <w:szCs w:val="20"/>
        </w:rPr>
        <w:t>Schwartz</w:t>
      </w:r>
      <w:r>
        <w:rPr>
          <w:rFonts w:eastAsiaTheme="minorEastAsia"/>
          <w:color w:val="000000" w:themeColor="text1"/>
          <w:sz w:val="20"/>
          <w:szCs w:val="20"/>
        </w:rPr>
        <w:t xml:space="preserve"> </w:t>
      </w:r>
      <w:r w:rsidRPr="00667D08">
        <w:rPr>
          <w:rFonts w:eastAsiaTheme="minorEastAsia"/>
          <w:color w:val="000000" w:themeColor="text1"/>
          <w:sz w:val="20"/>
          <w:szCs w:val="20"/>
        </w:rPr>
        <w:t>and</w:t>
      </w:r>
      <w:r>
        <w:rPr>
          <w:rFonts w:eastAsiaTheme="minorEastAsia"/>
          <w:color w:val="000000" w:themeColor="text1"/>
          <w:sz w:val="20"/>
          <w:szCs w:val="20"/>
        </w:rPr>
        <w:t xml:space="preserve"> </w:t>
      </w:r>
      <w:r w:rsidRPr="00667D08">
        <w:rPr>
          <w:rFonts w:eastAsiaTheme="minorEastAsia"/>
          <w:color w:val="000000" w:themeColor="text1"/>
          <w:sz w:val="20"/>
          <w:szCs w:val="20"/>
        </w:rPr>
        <w:t>Rothbart</w:t>
      </w:r>
      <w:r>
        <w:rPr>
          <w:rFonts w:eastAsiaTheme="minorEastAsia"/>
          <w:color w:val="000000" w:themeColor="text1"/>
          <w:sz w:val="20"/>
          <w:szCs w:val="20"/>
        </w:rPr>
        <w:t xml:space="preserve"> (2018</w:t>
      </w:r>
      <w:r w:rsidRPr="00667D08">
        <w:rPr>
          <w:rFonts w:eastAsiaTheme="minorEastAsia"/>
          <w:color w:val="000000" w:themeColor="text1"/>
          <w:sz w:val="20"/>
          <w:szCs w:val="20"/>
        </w:rPr>
        <w:t>)</w:t>
      </w:r>
      <w:r>
        <w:rPr>
          <w:rFonts w:eastAsiaTheme="minorEastAsia"/>
          <w:color w:val="000000" w:themeColor="text1"/>
          <w:sz w:val="20"/>
          <w:szCs w:val="20"/>
        </w:rPr>
        <w:t xml:space="preserve"> </w:t>
      </w:r>
      <w:r w:rsidRPr="00667D08">
        <w:rPr>
          <w:rFonts w:eastAsiaTheme="minorEastAsia"/>
          <w:color w:val="000000" w:themeColor="text1"/>
          <w:sz w:val="20"/>
          <w:szCs w:val="20"/>
        </w:rPr>
        <w:t>report</w:t>
      </w:r>
      <w:r>
        <w:rPr>
          <w:rFonts w:eastAsiaTheme="minorEastAsia"/>
          <w:color w:val="000000" w:themeColor="text1"/>
          <w:sz w:val="20"/>
          <w:szCs w:val="20"/>
        </w:rPr>
        <w:t xml:space="preserve"> </w:t>
      </w:r>
      <w:r w:rsidRPr="00667D08">
        <w:rPr>
          <w:rFonts w:eastAsiaTheme="minorEastAsia"/>
          <w:color w:val="000000" w:themeColor="text1"/>
          <w:sz w:val="20"/>
          <w:szCs w:val="20"/>
        </w:rPr>
        <w:t>that</w:t>
      </w:r>
      <w:r>
        <w:rPr>
          <w:rFonts w:eastAsiaTheme="minorEastAsia"/>
          <w:color w:val="000000" w:themeColor="text1"/>
          <w:sz w:val="20"/>
          <w:szCs w:val="20"/>
        </w:rPr>
        <w:t xml:space="preserve"> </w:t>
      </w:r>
      <w:r w:rsidRPr="00667D08">
        <w:rPr>
          <w:color w:val="000000" w:themeColor="text1"/>
          <w:sz w:val="20"/>
          <w:szCs w:val="20"/>
        </w:rPr>
        <w:t>2/3</w:t>
      </w:r>
      <w:r w:rsidRPr="00667D08">
        <w:rPr>
          <w:color w:val="000000" w:themeColor="text1"/>
          <w:sz w:val="20"/>
          <w:szCs w:val="20"/>
          <w:vertAlign w:val="superscript"/>
        </w:rPr>
        <w:t>rd</w:t>
      </w:r>
      <w:r>
        <w:rPr>
          <w:color w:val="000000" w:themeColor="text1"/>
          <w:sz w:val="20"/>
          <w:szCs w:val="20"/>
        </w:rPr>
        <w:t xml:space="preserve"> of the </w:t>
      </w:r>
      <w:r w:rsidRPr="00667D08">
        <w:rPr>
          <w:rFonts w:eastAsiaTheme="minorEastAsia"/>
          <w:color w:val="000000" w:themeColor="text1"/>
          <w:sz w:val="20"/>
          <w:szCs w:val="20"/>
        </w:rPr>
        <w:t>students</w:t>
      </w:r>
      <w:r>
        <w:rPr>
          <w:rFonts w:eastAsiaTheme="minorEastAsia"/>
          <w:color w:val="000000" w:themeColor="text1"/>
          <w:sz w:val="20"/>
          <w:szCs w:val="20"/>
        </w:rPr>
        <w:t xml:space="preserve"> </w:t>
      </w:r>
      <w:r w:rsidRPr="00667D08">
        <w:rPr>
          <w:rFonts w:eastAsiaTheme="minorEastAsia"/>
          <w:color w:val="000000" w:themeColor="text1"/>
          <w:sz w:val="20"/>
          <w:szCs w:val="20"/>
        </w:rPr>
        <w:t>eligible</w:t>
      </w:r>
      <w:r>
        <w:rPr>
          <w:rFonts w:eastAsiaTheme="minorEastAsia"/>
          <w:color w:val="000000" w:themeColor="text1"/>
          <w:sz w:val="20"/>
          <w:szCs w:val="20"/>
        </w:rPr>
        <w:t xml:space="preserve"> </w:t>
      </w:r>
      <w:r w:rsidRPr="00667D08">
        <w:rPr>
          <w:rFonts w:eastAsiaTheme="minorEastAsia"/>
          <w:color w:val="000000" w:themeColor="text1"/>
          <w:sz w:val="20"/>
          <w:szCs w:val="20"/>
        </w:rPr>
        <w:t>for</w:t>
      </w:r>
      <w:r>
        <w:rPr>
          <w:rFonts w:eastAsiaTheme="minorEastAsia"/>
          <w:color w:val="000000" w:themeColor="text1"/>
          <w:sz w:val="20"/>
          <w:szCs w:val="20"/>
        </w:rPr>
        <w:t xml:space="preserve"> </w:t>
      </w:r>
      <w:r w:rsidRPr="00667D08">
        <w:rPr>
          <w:rFonts w:eastAsiaTheme="minorEastAsia"/>
          <w:color w:val="000000" w:themeColor="text1"/>
          <w:sz w:val="20"/>
          <w:szCs w:val="20"/>
        </w:rPr>
        <w:t>free</w:t>
      </w:r>
      <w:r>
        <w:rPr>
          <w:rFonts w:eastAsiaTheme="minorEastAsia"/>
          <w:color w:val="000000" w:themeColor="text1"/>
          <w:sz w:val="20"/>
          <w:szCs w:val="20"/>
        </w:rPr>
        <w:t xml:space="preserve"> </w:t>
      </w:r>
      <w:r w:rsidRPr="00667D08">
        <w:rPr>
          <w:rFonts w:eastAsiaTheme="minorEastAsia"/>
          <w:color w:val="000000" w:themeColor="text1"/>
          <w:sz w:val="20"/>
          <w:szCs w:val="20"/>
        </w:rPr>
        <w:t>lunch</w:t>
      </w:r>
      <w:r>
        <w:rPr>
          <w:rFonts w:eastAsiaTheme="minorEastAsia"/>
          <w:color w:val="000000" w:themeColor="text1"/>
          <w:sz w:val="20"/>
          <w:szCs w:val="20"/>
        </w:rPr>
        <w:t xml:space="preserve"> </w:t>
      </w:r>
      <w:r w:rsidRPr="00667D08">
        <w:rPr>
          <w:rFonts w:eastAsiaTheme="minorEastAsia"/>
          <w:color w:val="000000" w:themeColor="text1"/>
          <w:sz w:val="20"/>
          <w:szCs w:val="20"/>
        </w:rPr>
        <w:t>do</w:t>
      </w:r>
      <w:r>
        <w:rPr>
          <w:rFonts w:eastAsiaTheme="minorEastAsia"/>
          <w:color w:val="000000" w:themeColor="text1"/>
          <w:sz w:val="20"/>
          <w:szCs w:val="20"/>
        </w:rPr>
        <w:t xml:space="preserve"> </w:t>
      </w:r>
      <w:r w:rsidRPr="00667D08">
        <w:rPr>
          <w:rFonts w:eastAsiaTheme="minorEastAsia"/>
          <w:color w:val="000000" w:themeColor="text1"/>
          <w:sz w:val="20"/>
          <w:szCs w:val="20"/>
        </w:rPr>
        <w:t>not</w:t>
      </w:r>
      <w:r>
        <w:rPr>
          <w:rFonts w:eastAsiaTheme="minorEastAsia"/>
          <w:color w:val="000000" w:themeColor="text1"/>
          <w:sz w:val="20"/>
          <w:szCs w:val="20"/>
        </w:rPr>
        <w:t xml:space="preserve"> </w:t>
      </w:r>
      <w:r w:rsidRPr="00667D08">
        <w:rPr>
          <w:rFonts w:eastAsiaTheme="minorEastAsia"/>
          <w:color w:val="000000" w:themeColor="text1"/>
          <w:sz w:val="20"/>
          <w:szCs w:val="20"/>
        </w:rPr>
        <w:t>take</w:t>
      </w:r>
      <w:r>
        <w:rPr>
          <w:rFonts w:eastAsiaTheme="minorEastAsia"/>
          <w:color w:val="000000" w:themeColor="text1"/>
          <w:sz w:val="20"/>
          <w:szCs w:val="20"/>
        </w:rPr>
        <w:t xml:space="preserve"> </w:t>
      </w:r>
      <w:r w:rsidRPr="00667D08">
        <w:rPr>
          <w:rFonts w:eastAsiaTheme="minorEastAsia"/>
          <w:color w:val="000000" w:themeColor="text1"/>
          <w:sz w:val="20"/>
          <w:szCs w:val="20"/>
        </w:rPr>
        <w:t>part</w:t>
      </w:r>
      <w:r>
        <w:rPr>
          <w:rFonts w:eastAsiaTheme="minorEastAsia"/>
          <w:color w:val="000000" w:themeColor="text1"/>
          <w:sz w:val="20"/>
          <w:szCs w:val="20"/>
        </w:rPr>
        <w:t xml:space="preserve"> </w:t>
      </w:r>
      <w:r w:rsidRPr="00667D08">
        <w:rPr>
          <w:rFonts w:eastAsiaTheme="minorEastAsia"/>
          <w:color w:val="000000" w:themeColor="text1"/>
          <w:sz w:val="20"/>
          <w:szCs w:val="20"/>
        </w:rPr>
        <w:t>in</w:t>
      </w:r>
      <w:r>
        <w:rPr>
          <w:rFonts w:eastAsiaTheme="minorEastAsia"/>
          <w:color w:val="000000" w:themeColor="text1"/>
          <w:sz w:val="20"/>
          <w:szCs w:val="20"/>
        </w:rPr>
        <w:t xml:space="preserve"> </w:t>
      </w:r>
      <w:r w:rsidRPr="00667D08">
        <w:rPr>
          <w:rFonts w:eastAsiaTheme="minorEastAsia"/>
          <w:color w:val="000000" w:themeColor="text1"/>
          <w:sz w:val="20"/>
          <w:szCs w:val="20"/>
        </w:rPr>
        <w:t>the</w:t>
      </w:r>
      <w:r>
        <w:rPr>
          <w:rFonts w:eastAsiaTheme="minorEastAsia"/>
          <w:color w:val="000000" w:themeColor="text1"/>
          <w:sz w:val="20"/>
          <w:szCs w:val="20"/>
        </w:rPr>
        <w:t xml:space="preserve"> </w:t>
      </w:r>
      <w:r w:rsidRPr="00667D08">
        <w:rPr>
          <w:rFonts w:eastAsiaTheme="minorEastAsia"/>
          <w:color w:val="000000" w:themeColor="text1"/>
          <w:sz w:val="20"/>
          <w:szCs w:val="20"/>
        </w:rPr>
        <w:t>program.</w:t>
      </w:r>
      <w:r>
        <w:rPr>
          <w:color w:val="000000" w:themeColor="text1"/>
          <w:sz w:val="20"/>
          <w:szCs w:val="20"/>
        </w:rPr>
        <w:t xml:space="preserve"> </w:t>
      </w:r>
    </w:p>
  </w:footnote>
  <w:footnote w:id="38">
    <w:p w14:paraId="622A7490" w14:textId="611BBAEF" w:rsidR="00CD7662" w:rsidRPr="00AE7B61" w:rsidRDefault="00CD7662" w:rsidP="00E80AC1">
      <w:pPr>
        <w:pStyle w:val="Olivier1"/>
        <w:widowControl w:val="0"/>
        <w:spacing w:after="0" w:line="240" w:lineRule="auto"/>
        <w:rPr>
          <w:b/>
        </w:rPr>
      </w:pPr>
      <w:r w:rsidRPr="00667D08">
        <w:rPr>
          <w:rStyle w:val="FootnoteReference"/>
          <w:color w:val="000000" w:themeColor="text1"/>
          <w:sz w:val="20"/>
          <w:szCs w:val="20"/>
        </w:rPr>
        <w:footnoteRef/>
      </w:r>
      <w:r>
        <w:rPr>
          <w:color w:val="000000" w:themeColor="text1"/>
          <w:sz w:val="20"/>
          <w:szCs w:val="20"/>
        </w:rPr>
        <w:t xml:space="preserve"> </w:t>
      </w:r>
      <w:r w:rsidRPr="00667D08">
        <w:rPr>
          <w:color w:val="000000" w:themeColor="text1"/>
          <w:sz w:val="20"/>
          <w:szCs w:val="20"/>
        </w:rPr>
        <w:t>“I</w:t>
      </w:r>
      <w:r>
        <w:rPr>
          <w:color w:val="000000" w:themeColor="text1"/>
          <w:sz w:val="20"/>
          <w:szCs w:val="20"/>
        </w:rPr>
        <w:t xml:space="preserve"> </w:t>
      </w:r>
      <w:r w:rsidRPr="00667D08">
        <w:rPr>
          <w:color w:val="000000" w:themeColor="text1"/>
          <w:sz w:val="20"/>
          <w:szCs w:val="20"/>
        </w:rPr>
        <w:t>warned</w:t>
      </w:r>
      <w:r>
        <w:rPr>
          <w:color w:val="000000" w:themeColor="text1"/>
          <w:sz w:val="20"/>
          <w:szCs w:val="20"/>
        </w:rPr>
        <w:t xml:space="preserve"> </w:t>
      </w:r>
      <w:r w:rsidRPr="00667D08">
        <w:rPr>
          <w:color w:val="000000" w:themeColor="text1"/>
          <w:sz w:val="20"/>
          <w:szCs w:val="20"/>
        </w:rPr>
        <w:t>the</w:t>
      </w:r>
      <w:r>
        <w:rPr>
          <w:color w:val="000000" w:themeColor="text1"/>
          <w:sz w:val="20"/>
          <w:szCs w:val="20"/>
        </w:rPr>
        <w:t xml:space="preserve"> </w:t>
      </w:r>
      <w:r w:rsidRPr="00667D08">
        <w:rPr>
          <w:color w:val="000000" w:themeColor="text1"/>
          <w:sz w:val="20"/>
          <w:szCs w:val="20"/>
        </w:rPr>
        <w:t>bankers</w:t>
      </w:r>
      <w:r>
        <w:rPr>
          <w:color w:val="000000" w:themeColor="text1"/>
          <w:sz w:val="20"/>
          <w:szCs w:val="20"/>
        </w:rPr>
        <w:t xml:space="preserve"> </w:t>
      </w:r>
      <w:r w:rsidRPr="00667D08">
        <w:rPr>
          <w:color w:val="000000" w:themeColor="text1"/>
          <w:sz w:val="20"/>
          <w:szCs w:val="20"/>
        </w:rPr>
        <w:t>that</w:t>
      </w:r>
      <w:r>
        <w:rPr>
          <w:color w:val="000000" w:themeColor="text1"/>
          <w:sz w:val="20"/>
          <w:szCs w:val="20"/>
        </w:rPr>
        <w:t xml:space="preserve"> </w:t>
      </w:r>
      <w:r w:rsidRPr="00667D08">
        <w:rPr>
          <w:color w:val="000000" w:themeColor="text1"/>
          <w:sz w:val="20"/>
          <w:szCs w:val="20"/>
        </w:rPr>
        <w:t>if</w:t>
      </w:r>
      <w:r>
        <w:rPr>
          <w:color w:val="000000" w:themeColor="text1"/>
          <w:sz w:val="20"/>
          <w:szCs w:val="20"/>
        </w:rPr>
        <w:t xml:space="preserve"> </w:t>
      </w:r>
      <w:r w:rsidRPr="00667D08">
        <w:rPr>
          <w:color w:val="000000" w:themeColor="text1"/>
          <w:sz w:val="20"/>
          <w:szCs w:val="20"/>
        </w:rPr>
        <w:t>they</w:t>
      </w:r>
      <w:r>
        <w:rPr>
          <w:color w:val="000000" w:themeColor="text1"/>
          <w:sz w:val="20"/>
          <w:szCs w:val="20"/>
        </w:rPr>
        <w:t xml:space="preserve"> </w:t>
      </w:r>
      <w:r w:rsidRPr="00667D08">
        <w:rPr>
          <w:color w:val="000000" w:themeColor="text1"/>
          <w:sz w:val="20"/>
          <w:szCs w:val="20"/>
        </w:rPr>
        <w:t>all</w:t>
      </w:r>
      <w:r>
        <w:rPr>
          <w:color w:val="000000" w:themeColor="text1"/>
          <w:sz w:val="20"/>
          <w:szCs w:val="20"/>
        </w:rPr>
        <w:t xml:space="preserve"> </w:t>
      </w:r>
      <w:r w:rsidRPr="00D85A0A">
        <w:rPr>
          <w:sz w:val="20"/>
          <w:szCs w:val="20"/>
        </w:rPr>
        <w:t>didn’t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accept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capital,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TARP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would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be</w:t>
      </w:r>
      <w:r>
        <w:rPr>
          <w:sz w:val="20"/>
          <w:szCs w:val="20"/>
        </w:rPr>
        <w:t xml:space="preserve"> </w:t>
      </w:r>
      <w:r w:rsidR="001404F4">
        <w:rPr>
          <w:sz w:val="20"/>
          <w:szCs w:val="20"/>
        </w:rPr>
        <w:t>stigmatized</w:t>
      </w:r>
      <w:r w:rsidRPr="00D85A0A">
        <w:rPr>
          <w:sz w:val="20"/>
          <w:szCs w:val="20"/>
        </w:rPr>
        <w:t>”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Geithner</w:t>
      </w:r>
      <w:r>
        <w:rPr>
          <w:sz w:val="20"/>
          <w:szCs w:val="20"/>
        </w:rPr>
        <w:t xml:space="preserve"> </w:t>
      </w:r>
      <w:r w:rsidRPr="00D85A0A">
        <w:rPr>
          <w:sz w:val="20"/>
          <w:szCs w:val="20"/>
        </w:rPr>
        <w:t>(2014)</w:t>
      </w:r>
      <w:r>
        <w:rPr>
          <w:sz w:val="20"/>
          <w:szCs w:val="20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34005"/>
    <w:multiLevelType w:val="multilevel"/>
    <w:tmpl w:val="5DC83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B60911"/>
    <w:multiLevelType w:val="hybridMultilevel"/>
    <w:tmpl w:val="69763EE8"/>
    <w:lvl w:ilvl="0" w:tplc="620CEC9C">
      <w:numFmt w:val="decimal"/>
      <w:lvlText w:val="%1"/>
      <w:lvlJc w:val="left"/>
      <w:pPr>
        <w:ind w:left="342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11EA7DE0"/>
    <w:multiLevelType w:val="hybridMultilevel"/>
    <w:tmpl w:val="B3DCA06A"/>
    <w:lvl w:ilvl="0" w:tplc="7EFE32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2A40F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E09C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F684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4EAD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6804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74C1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50A1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92CD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06CEB"/>
    <w:multiLevelType w:val="hybridMultilevel"/>
    <w:tmpl w:val="85965428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030AE"/>
    <w:multiLevelType w:val="hybridMultilevel"/>
    <w:tmpl w:val="73EE10D6"/>
    <w:lvl w:ilvl="0" w:tplc="46B4EB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E4CAB6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EE7A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50D1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642F0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A47F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920A5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A03E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A221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A631A"/>
    <w:multiLevelType w:val="hybridMultilevel"/>
    <w:tmpl w:val="4ED84C6E"/>
    <w:lvl w:ilvl="0" w:tplc="9E9AFB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92953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F47C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188F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E47F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621E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D216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DE72F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2E8B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E3773"/>
    <w:multiLevelType w:val="hybridMultilevel"/>
    <w:tmpl w:val="9E0C9C30"/>
    <w:lvl w:ilvl="0" w:tplc="614C08C4">
      <w:numFmt w:val="decimal"/>
      <w:lvlText w:val="%1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 w15:restartNumberingAfterBreak="0">
    <w:nsid w:val="1D2F55F4"/>
    <w:multiLevelType w:val="multilevel"/>
    <w:tmpl w:val="6A187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4D3658"/>
    <w:multiLevelType w:val="hybridMultilevel"/>
    <w:tmpl w:val="3C1C4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8876A9"/>
    <w:multiLevelType w:val="hybridMultilevel"/>
    <w:tmpl w:val="0CA20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C17620"/>
    <w:multiLevelType w:val="multilevel"/>
    <w:tmpl w:val="D4F2E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9511CE"/>
    <w:multiLevelType w:val="hybridMultilevel"/>
    <w:tmpl w:val="7FCE60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A93638"/>
    <w:multiLevelType w:val="hybridMultilevel"/>
    <w:tmpl w:val="8FAC2CEE"/>
    <w:lvl w:ilvl="0" w:tplc="1974EEA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50A45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1893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E2A3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DAEF1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CA5F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0ED9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6AF1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FAC1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776C0C"/>
    <w:multiLevelType w:val="hybridMultilevel"/>
    <w:tmpl w:val="7B7CB7DC"/>
    <w:lvl w:ilvl="0" w:tplc="620CEC9C">
      <w:numFmt w:val="decimal"/>
      <w:lvlText w:val="%1"/>
      <w:lvlJc w:val="left"/>
      <w:pPr>
        <w:ind w:left="252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645DE9"/>
    <w:multiLevelType w:val="multilevel"/>
    <w:tmpl w:val="E60AA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72D6B4F"/>
    <w:multiLevelType w:val="hybridMultilevel"/>
    <w:tmpl w:val="7B50439A"/>
    <w:lvl w:ilvl="0" w:tplc="E7508A1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223287"/>
    <w:multiLevelType w:val="hybridMultilevel"/>
    <w:tmpl w:val="449EB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D35633"/>
    <w:multiLevelType w:val="multilevel"/>
    <w:tmpl w:val="7444C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F37680E"/>
    <w:multiLevelType w:val="multilevel"/>
    <w:tmpl w:val="72964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FAB4EED"/>
    <w:multiLevelType w:val="hybridMultilevel"/>
    <w:tmpl w:val="3DF66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0303DE"/>
    <w:multiLevelType w:val="hybridMultilevel"/>
    <w:tmpl w:val="28AA6F82"/>
    <w:lvl w:ilvl="0" w:tplc="E7508A1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0D292A"/>
    <w:multiLevelType w:val="hybridMultilevel"/>
    <w:tmpl w:val="69763EE8"/>
    <w:lvl w:ilvl="0" w:tplc="620CEC9C">
      <w:numFmt w:val="decimal"/>
      <w:lvlText w:val="%1"/>
      <w:lvlJc w:val="left"/>
      <w:pPr>
        <w:ind w:left="342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2" w15:restartNumberingAfterBreak="0">
    <w:nsid w:val="4C1E5AF2"/>
    <w:multiLevelType w:val="hybridMultilevel"/>
    <w:tmpl w:val="7B50439A"/>
    <w:lvl w:ilvl="0" w:tplc="E7508A1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4B7870"/>
    <w:multiLevelType w:val="hybridMultilevel"/>
    <w:tmpl w:val="69763EE8"/>
    <w:lvl w:ilvl="0" w:tplc="620CEC9C">
      <w:numFmt w:val="decimal"/>
      <w:lvlText w:val="%1"/>
      <w:lvlJc w:val="left"/>
      <w:pPr>
        <w:ind w:left="342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4" w15:restartNumberingAfterBreak="0">
    <w:nsid w:val="5621686A"/>
    <w:multiLevelType w:val="hybridMultilevel"/>
    <w:tmpl w:val="7FCE60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125489"/>
    <w:multiLevelType w:val="hybridMultilevel"/>
    <w:tmpl w:val="69763EE8"/>
    <w:lvl w:ilvl="0" w:tplc="620CEC9C">
      <w:numFmt w:val="decimal"/>
      <w:lvlText w:val="%1"/>
      <w:lvlJc w:val="left"/>
      <w:pPr>
        <w:ind w:left="342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6" w15:restartNumberingAfterBreak="0">
    <w:nsid w:val="5F185D45"/>
    <w:multiLevelType w:val="multilevel"/>
    <w:tmpl w:val="E26A9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06B2D8D"/>
    <w:multiLevelType w:val="hybridMultilevel"/>
    <w:tmpl w:val="5AA4A006"/>
    <w:lvl w:ilvl="0" w:tplc="B492D7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4A83EE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28A9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00BF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5834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BACB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400F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78BB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4E60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B41F02"/>
    <w:multiLevelType w:val="hybridMultilevel"/>
    <w:tmpl w:val="7A42AE86"/>
    <w:lvl w:ilvl="0" w:tplc="E1FAF6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82BCB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88D1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B0A2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5E04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DE6B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0A52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CA44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A4BB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E72C7A"/>
    <w:multiLevelType w:val="hybridMultilevel"/>
    <w:tmpl w:val="F65E0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3B4422"/>
    <w:multiLevelType w:val="hybridMultilevel"/>
    <w:tmpl w:val="25DE2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5239F4"/>
    <w:multiLevelType w:val="hybridMultilevel"/>
    <w:tmpl w:val="F1108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ED4C56"/>
    <w:multiLevelType w:val="hybridMultilevel"/>
    <w:tmpl w:val="69763EE8"/>
    <w:lvl w:ilvl="0" w:tplc="620CEC9C">
      <w:numFmt w:val="decimal"/>
      <w:lvlText w:val="%1"/>
      <w:lvlJc w:val="left"/>
      <w:pPr>
        <w:ind w:left="342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3" w15:restartNumberingAfterBreak="0">
    <w:nsid w:val="670D3381"/>
    <w:multiLevelType w:val="hybridMultilevel"/>
    <w:tmpl w:val="5852C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D00D59"/>
    <w:multiLevelType w:val="multilevel"/>
    <w:tmpl w:val="7610B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CBF2E1B"/>
    <w:multiLevelType w:val="hybridMultilevel"/>
    <w:tmpl w:val="1BA635A6"/>
    <w:lvl w:ilvl="0" w:tplc="7A6CF1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3E0CA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C22B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DA95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060F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C835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4044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3E7F0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A45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3E4FE1"/>
    <w:multiLevelType w:val="hybridMultilevel"/>
    <w:tmpl w:val="8C68EE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DB18EF"/>
    <w:multiLevelType w:val="hybridMultilevel"/>
    <w:tmpl w:val="6EC28FFA"/>
    <w:lvl w:ilvl="0" w:tplc="0A56CA9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E6DAE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1C96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54E81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16CF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90FD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E2D1F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0A6A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DA56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282D66"/>
    <w:multiLevelType w:val="hybridMultilevel"/>
    <w:tmpl w:val="1D663D98"/>
    <w:lvl w:ilvl="0" w:tplc="E7508A1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9E45DD"/>
    <w:multiLevelType w:val="hybridMultilevel"/>
    <w:tmpl w:val="EC422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131EC6"/>
    <w:multiLevelType w:val="hybridMultilevel"/>
    <w:tmpl w:val="76C4CF7C"/>
    <w:lvl w:ilvl="0" w:tplc="6174FA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F0BF9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3086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C824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1C83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9820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0AB88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9C36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C8CD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3E00F2"/>
    <w:multiLevelType w:val="hybridMultilevel"/>
    <w:tmpl w:val="F6F25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C66890"/>
    <w:multiLevelType w:val="hybridMultilevel"/>
    <w:tmpl w:val="937EE2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1"/>
  </w:num>
  <w:num w:numId="3">
    <w:abstractNumId w:val="38"/>
  </w:num>
  <w:num w:numId="4">
    <w:abstractNumId w:val="19"/>
  </w:num>
  <w:num w:numId="5">
    <w:abstractNumId w:val="15"/>
  </w:num>
  <w:num w:numId="6">
    <w:abstractNumId w:val="22"/>
  </w:num>
  <w:num w:numId="7">
    <w:abstractNumId w:val="20"/>
  </w:num>
  <w:num w:numId="8">
    <w:abstractNumId w:val="42"/>
  </w:num>
  <w:num w:numId="9">
    <w:abstractNumId w:val="1"/>
  </w:num>
  <w:num w:numId="10">
    <w:abstractNumId w:val="16"/>
  </w:num>
  <w:num w:numId="11">
    <w:abstractNumId w:val="33"/>
  </w:num>
  <w:num w:numId="12">
    <w:abstractNumId w:val="13"/>
  </w:num>
  <w:num w:numId="13">
    <w:abstractNumId w:val="6"/>
  </w:num>
  <w:num w:numId="14">
    <w:abstractNumId w:val="39"/>
  </w:num>
  <w:num w:numId="15">
    <w:abstractNumId w:val="21"/>
  </w:num>
  <w:num w:numId="16">
    <w:abstractNumId w:val="32"/>
  </w:num>
  <w:num w:numId="17">
    <w:abstractNumId w:val="25"/>
  </w:num>
  <w:num w:numId="18">
    <w:abstractNumId w:val="23"/>
  </w:num>
  <w:num w:numId="19">
    <w:abstractNumId w:val="37"/>
  </w:num>
  <w:num w:numId="20">
    <w:abstractNumId w:val="31"/>
  </w:num>
  <w:num w:numId="21">
    <w:abstractNumId w:val="36"/>
  </w:num>
  <w:num w:numId="22">
    <w:abstractNumId w:val="3"/>
  </w:num>
  <w:num w:numId="23">
    <w:abstractNumId w:val="12"/>
  </w:num>
  <w:num w:numId="24">
    <w:abstractNumId w:val="35"/>
  </w:num>
  <w:num w:numId="25">
    <w:abstractNumId w:val="5"/>
  </w:num>
  <w:num w:numId="26">
    <w:abstractNumId w:val="28"/>
  </w:num>
  <w:num w:numId="27">
    <w:abstractNumId w:val="2"/>
  </w:num>
  <w:num w:numId="28">
    <w:abstractNumId w:val="40"/>
  </w:num>
  <w:num w:numId="29">
    <w:abstractNumId w:val="17"/>
  </w:num>
  <w:num w:numId="30">
    <w:abstractNumId w:val="10"/>
  </w:num>
  <w:num w:numId="31">
    <w:abstractNumId w:val="27"/>
  </w:num>
  <w:num w:numId="32">
    <w:abstractNumId w:val="4"/>
  </w:num>
  <w:num w:numId="33">
    <w:abstractNumId w:val="7"/>
  </w:num>
  <w:num w:numId="34">
    <w:abstractNumId w:val="0"/>
  </w:num>
  <w:num w:numId="35">
    <w:abstractNumId w:val="26"/>
  </w:num>
  <w:num w:numId="36">
    <w:abstractNumId w:val="18"/>
  </w:num>
  <w:num w:numId="37">
    <w:abstractNumId w:val="14"/>
  </w:num>
  <w:num w:numId="38">
    <w:abstractNumId w:val="34"/>
  </w:num>
  <w:num w:numId="39">
    <w:abstractNumId w:val="41"/>
  </w:num>
  <w:num w:numId="40">
    <w:abstractNumId w:val="8"/>
  </w:num>
  <w:num w:numId="41">
    <w:abstractNumId w:val="9"/>
  </w:num>
  <w:num w:numId="42">
    <w:abstractNumId w:val="29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5C6"/>
    <w:rsid w:val="00000357"/>
    <w:rsid w:val="00000AB7"/>
    <w:rsid w:val="00004C0B"/>
    <w:rsid w:val="0000587E"/>
    <w:rsid w:val="00006186"/>
    <w:rsid w:val="00007C37"/>
    <w:rsid w:val="00010106"/>
    <w:rsid w:val="0001211F"/>
    <w:rsid w:val="00012383"/>
    <w:rsid w:val="0001354A"/>
    <w:rsid w:val="00013622"/>
    <w:rsid w:val="0001426B"/>
    <w:rsid w:val="0001467F"/>
    <w:rsid w:val="00014B7C"/>
    <w:rsid w:val="00016B3F"/>
    <w:rsid w:val="000202E8"/>
    <w:rsid w:val="00020376"/>
    <w:rsid w:val="0002544C"/>
    <w:rsid w:val="00025FCC"/>
    <w:rsid w:val="0002666B"/>
    <w:rsid w:val="00027179"/>
    <w:rsid w:val="00032F84"/>
    <w:rsid w:val="0003420F"/>
    <w:rsid w:val="0003460D"/>
    <w:rsid w:val="0003636B"/>
    <w:rsid w:val="0004106E"/>
    <w:rsid w:val="000415EE"/>
    <w:rsid w:val="0004170D"/>
    <w:rsid w:val="00043570"/>
    <w:rsid w:val="000445FE"/>
    <w:rsid w:val="000455A6"/>
    <w:rsid w:val="00046634"/>
    <w:rsid w:val="00047B00"/>
    <w:rsid w:val="0005031B"/>
    <w:rsid w:val="0005273E"/>
    <w:rsid w:val="000574CC"/>
    <w:rsid w:val="00057ABC"/>
    <w:rsid w:val="00061565"/>
    <w:rsid w:val="00064151"/>
    <w:rsid w:val="000652E1"/>
    <w:rsid w:val="00065D3C"/>
    <w:rsid w:val="000668D1"/>
    <w:rsid w:val="00070BBB"/>
    <w:rsid w:val="00070DDE"/>
    <w:rsid w:val="00071287"/>
    <w:rsid w:val="00071774"/>
    <w:rsid w:val="00074C6B"/>
    <w:rsid w:val="00074D67"/>
    <w:rsid w:val="00075D73"/>
    <w:rsid w:val="00077862"/>
    <w:rsid w:val="00077CA1"/>
    <w:rsid w:val="000802C6"/>
    <w:rsid w:val="0008187A"/>
    <w:rsid w:val="0008228E"/>
    <w:rsid w:val="00082526"/>
    <w:rsid w:val="00083861"/>
    <w:rsid w:val="000847E3"/>
    <w:rsid w:val="00086204"/>
    <w:rsid w:val="00086708"/>
    <w:rsid w:val="00087B52"/>
    <w:rsid w:val="000934E3"/>
    <w:rsid w:val="00093EDB"/>
    <w:rsid w:val="00094CBE"/>
    <w:rsid w:val="000979B4"/>
    <w:rsid w:val="000A0507"/>
    <w:rsid w:val="000A1A2A"/>
    <w:rsid w:val="000A424C"/>
    <w:rsid w:val="000A452C"/>
    <w:rsid w:val="000A5DBD"/>
    <w:rsid w:val="000A6210"/>
    <w:rsid w:val="000B11C3"/>
    <w:rsid w:val="000B3A00"/>
    <w:rsid w:val="000B3F08"/>
    <w:rsid w:val="000B480A"/>
    <w:rsid w:val="000B50FA"/>
    <w:rsid w:val="000B6186"/>
    <w:rsid w:val="000C3E83"/>
    <w:rsid w:val="000C675B"/>
    <w:rsid w:val="000C6EFC"/>
    <w:rsid w:val="000C7FEB"/>
    <w:rsid w:val="000D0CF7"/>
    <w:rsid w:val="000D2954"/>
    <w:rsid w:val="000D518B"/>
    <w:rsid w:val="000D654A"/>
    <w:rsid w:val="000D7B77"/>
    <w:rsid w:val="000E0E3E"/>
    <w:rsid w:val="000E1A54"/>
    <w:rsid w:val="000E2330"/>
    <w:rsid w:val="000E47B1"/>
    <w:rsid w:val="000E4C4A"/>
    <w:rsid w:val="000E6C8F"/>
    <w:rsid w:val="000E7787"/>
    <w:rsid w:val="000F2AA8"/>
    <w:rsid w:val="000F346E"/>
    <w:rsid w:val="000F4AF1"/>
    <w:rsid w:val="000F5AC0"/>
    <w:rsid w:val="0010084B"/>
    <w:rsid w:val="00101B15"/>
    <w:rsid w:val="001020BF"/>
    <w:rsid w:val="00107A2D"/>
    <w:rsid w:val="00107B69"/>
    <w:rsid w:val="001101A9"/>
    <w:rsid w:val="00110251"/>
    <w:rsid w:val="0011277E"/>
    <w:rsid w:val="00113F65"/>
    <w:rsid w:val="001148C4"/>
    <w:rsid w:val="00115221"/>
    <w:rsid w:val="00116B06"/>
    <w:rsid w:val="001212A3"/>
    <w:rsid w:val="0012282E"/>
    <w:rsid w:val="00122E95"/>
    <w:rsid w:val="00124BB5"/>
    <w:rsid w:val="00124D33"/>
    <w:rsid w:val="00125931"/>
    <w:rsid w:val="00126159"/>
    <w:rsid w:val="00126292"/>
    <w:rsid w:val="00126876"/>
    <w:rsid w:val="001319BE"/>
    <w:rsid w:val="001323EE"/>
    <w:rsid w:val="00132498"/>
    <w:rsid w:val="00134596"/>
    <w:rsid w:val="001404F4"/>
    <w:rsid w:val="00140EB4"/>
    <w:rsid w:val="00140EFB"/>
    <w:rsid w:val="00141F86"/>
    <w:rsid w:val="0014203E"/>
    <w:rsid w:val="001428B6"/>
    <w:rsid w:val="001431E5"/>
    <w:rsid w:val="001437CB"/>
    <w:rsid w:val="001454EE"/>
    <w:rsid w:val="00150950"/>
    <w:rsid w:val="001528C1"/>
    <w:rsid w:val="001535D5"/>
    <w:rsid w:val="00153797"/>
    <w:rsid w:val="0016157E"/>
    <w:rsid w:val="00162220"/>
    <w:rsid w:val="0016329E"/>
    <w:rsid w:val="00166B31"/>
    <w:rsid w:val="00167802"/>
    <w:rsid w:val="00171856"/>
    <w:rsid w:val="00173ECD"/>
    <w:rsid w:val="00175E29"/>
    <w:rsid w:val="00175EC6"/>
    <w:rsid w:val="0017640D"/>
    <w:rsid w:val="00177583"/>
    <w:rsid w:val="001778D5"/>
    <w:rsid w:val="0018172E"/>
    <w:rsid w:val="00181CC6"/>
    <w:rsid w:val="0018364D"/>
    <w:rsid w:val="00183EDE"/>
    <w:rsid w:val="00184A99"/>
    <w:rsid w:val="00184B33"/>
    <w:rsid w:val="00185402"/>
    <w:rsid w:val="001854F5"/>
    <w:rsid w:val="00185849"/>
    <w:rsid w:val="001858CF"/>
    <w:rsid w:val="00191088"/>
    <w:rsid w:val="00194E9B"/>
    <w:rsid w:val="001956D3"/>
    <w:rsid w:val="00195CEA"/>
    <w:rsid w:val="00196EEA"/>
    <w:rsid w:val="00197D38"/>
    <w:rsid w:val="001A1F3A"/>
    <w:rsid w:val="001A3560"/>
    <w:rsid w:val="001A3E74"/>
    <w:rsid w:val="001A6C68"/>
    <w:rsid w:val="001B03E1"/>
    <w:rsid w:val="001B3106"/>
    <w:rsid w:val="001B493A"/>
    <w:rsid w:val="001B5DBE"/>
    <w:rsid w:val="001C003C"/>
    <w:rsid w:val="001C0402"/>
    <w:rsid w:val="001C16B6"/>
    <w:rsid w:val="001C1C47"/>
    <w:rsid w:val="001C2171"/>
    <w:rsid w:val="001C2282"/>
    <w:rsid w:val="001C30BE"/>
    <w:rsid w:val="001C64EE"/>
    <w:rsid w:val="001C6A87"/>
    <w:rsid w:val="001C724D"/>
    <w:rsid w:val="001D0E7E"/>
    <w:rsid w:val="001D3F69"/>
    <w:rsid w:val="001D4529"/>
    <w:rsid w:val="001D5657"/>
    <w:rsid w:val="001D5D8E"/>
    <w:rsid w:val="001D697A"/>
    <w:rsid w:val="001D78E9"/>
    <w:rsid w:val="001D7CD4"/>
    <w:rsid w:val="001E1009"/>
    <w:rsid w:val="001E197D"/>
    <w:rsid w:val="001E5F78"/>
    <w:rsid w:val="001F038C"/>
    <w:rsid w:val="001F145D"/>
    <w:rsid w:val="001F1CCC"/>
    <w:rsid w:val="001F347A"/>
    <w:rsid w:val="001F3B40"/>
    <w:rsid w:val="001F53A7"/>
    <w:rsid w:val="001F5489"/>
    <w:rsid w:val="00201DA4"/>
    <w:rsid w:val="002027ED"/>
    <w:rsid w:val="00206C64"/>
    <w:rsid w:val="00210578"/>
    <w:rsid w:val="00210ED0"/>
    <w:rsid w:val="0021144D"/>
    <w:rsid w:val="00214079"/>
    <w:rsid w:val="00214306"/>
    <w:rsid w:val="0021639A"/>
    <w:rsid w:val="00216AD0"/>
    <w:rsid w:val="002173D5"/>
    <w:rsid w:val="00217A19"/>
    <w:rsid w:val="00220F29"/>
    <w:rsid w:val="00221723"/>
    <w:rsid w:val="00222279"/>
    <w:rsid w:val="00223999"/>
    <w:rsid w:val="00225ACC"/>
    <w:rsid w:val="0022623E"/>
    <w:rsid w:val="002272DC"/>
    <w:rsid w:val="00227A9F"/>
    <w:rsid w:val="00227DD6"/>
    <w:rsid w:val="00232844"/>
    <w:rsid w:val="00232D2F"/>
    <w:rsid w:val="00234448"/>
    <w:rsid w:val="0023497B"/>
    <w:rsid w:val="002354D4"/>
    <w:rsid w:val="00235D3D"/>
    <w:rsid w:val="0024402F"/>
    <w:rsid w:val="002457E4"/>
    <w:rsid w:val="00246349"/>
    <w:rsid w:val="00246953"/>
    <w:rsid w:val="00247614"/>
    <w:rsid w:val="0025036C"/>
    <w:rsid w:val="0025170E"/>
    <w:rsid w:val="00255C6C"/>
    <w:rsid w:val="002560E9"/>
    <w:rsid w:val="0025736F"/>
    <w:rsid w:val="0026229E"/>
    <w:rsid w:val="002626DA"/>
    <w:rsid w:val="00262DAF"/>
    <w:rsid w:val="00263A76"/>
    <w:rsid w:val="00263CDD"/>
    <w:rsid w:val="00264A8F"/>
    <w:rsid w:val="002651F7"/>
    <w:rsid w:val="00266D8F"/>
    <w:rsid w:val="00272F64"/>
    <w:rsid w:val="00275C22"/>
    <w:rsid w:val="00275C4E"/>
    <w:rsid w:val="00276832"/>
    <w:rsid w:val="00277414"/>
    <w:rsid w:val="00277D31"/>
    <w:rsid w:val="002805DA"/>
    <w:rsid w:val="00280B5E"/>
    <w:rsid w:val="00283983"/>
    <w:rsid w:val="00284F79"/>
    <w:rsid w:val="0028774F"/>
    <w:rsid w:val="002879BD"/>
    <w:rsid w:val="00287A1C"/>
    <w:rsid w:val="00290B17"/>
    <w:rsid w:val="0029167B"/>
    <w:rsid w:val="00292283"/>
    <w:rsid w:val="00292D9D"/>
    <w:rsid w:val="00293A60"/>
    <w:rsid w:val="00293EDC"/>
    <w:rsid w:val="00294633"/>
    <w:rsid w:val="002946B8"/>
    <w:rsid w:val="002A2065"/>
    <w:rsid w:val="002A343F"/>
    <w:rsid w:val="002A3867"/>
    <w:rsid w:val="002A56C6"/>
    <w:rsid w:val="002A5AE4"/>
    <w:rsid w:val="002A5E1B"/>
    <w:rsid w:val="002A6E84"/>
    <w:rsid w:val="002A784E"/>
    <w:rsid w:val="002A7A01"/>
    <w:rsid w:val="002B0388"/>
    <w:rsid w:val="002B0664"/>
    <w:rsid w:val="002B347F"/>
    <w:rsid w:val="002C077D"/>
    <w:rsid w:val="002C0EB9"/>
    <w:rsid w:val="002C31B2"/>
    <w:rsid w:val="002C44F8"/>
    <w:rsid w:val="002C4B74"/>
    <w:rsid w:val="002C590A"/>
    <w:rsid w:val="002C603C"/>
    <w:rsid w:val="002D09C6"/>
    <w:rsid w:val="002D1DB0"/>
    <w:rsid w:val="002D1F6F"/>
    <w:rsid w:val="002D3E93"/>
    <w:rsid w:val="002D6679"/>
    <w:rsid w:val="002E1F73"/>
    <w:rsid w:val="002E25BC"/>
    <w:rsid w:val="002E4DDD"/>
    <w:rsid w:val="002E4E7C"/>
    <w:rsid w:val="002E5106"/>
    <w:rsid w:val="002E541F"/>
    <w:rsid w:val="002E6665"/>
    <w:rsid w:val="002E6D0B"/>
    <w:rsid w:val="002E7B16"/>
    <w:rsid w:val="002F017B"/>
    <w:rsid w:val="002F0EFC"/>
    <w:rsid w:val="002F1ADC"/>
    <w:rsid w:val="002F1EB3"/>
    <w:rsid w:val="002F49AF"/>
    <w:rsid w:val="002F5DF7"/>
    <w:rsid w:val="002F5EED"/>
    <w:rsid w:val="002F6F67"/>
    <w:rsid w:val="002F7484"/>
    <w:rsid w:val="00301D4B"/>
    <w:rsid w:val="00302479"/>
    <w:rsid w:val="003051D4"/>
    <w:rsid w:val="00306750"/>
    <w:rsid w:val="00310EF9"/>
    <w:rsid w:val="00313676"/>
    <w:rsid w:val="00313D16"/>
    <w:rsid w:val="0031453B"/>
    <w:rsid w:val="0031588A"/>
    <w:rsid w:val="00315B5A"/>
    <w:rsid w:val="003223E6"/>
    <w:rsid w:val="003224E0"/>
    <w:rsid w:val="00322EEE"/>
    <w:rsid w:val="003233AD"/>
    <w:rsid w:val="00323C69"/>
    <w:rsid w:val="003256AE"/>
    <w:rsid w:val="00326618"/>
    <w:rsid w:val="00326624"/>
    <w:rsid w:val="003278E1"/>
    <w:rsid w:val="00330FA8"/>
    <w:rsid w:val="00331E3C"/>
    <w:rsid w:val="00332DB9"/>
    <w:rsid w:val="00332F7B"/>
    <w:rsid w:val="0033552C"/>
    <w:rsid w:val="00337381"/>
    <w:rsid w:val="003433EF"/>
    <w:rsid w:val="00346E9C"/>
    <w:rsid w:val="003515B1"/>
    <w:rsid w:val="00352573"/>
    <w:rsid w:val="00352688"/>
    <w:rsid w:val="00353ADE"/>
    <w:rsid w:val="00355A86"/>
    <w:rsid w:val="00355DEC"/>
    <w:rsid w:val="00357FC3"/>
    <w:rsid w:val="0036020F"/>
    <w:rsid w:val="0036037C"/>
    <w:rsid w:val="003638E6"/>
    <w:rsid w:val="00364F44"/>
    <w:rsid w:val="0037096C"/>
    <w:rsid w:val="00371F0D"/>
    <w:rsid w:val="00374730"/>
    <w:rsid w:val="00375650"/>
    <w:rsid w:val="003775B5"/>
    <w:rsid w:val="00381956"/>
    <w:rsid w:val="00382B23"/>
    <w:rsid w:val="0038510C"/>
    <w:rsid w:val="00386A72"/>
    <w:rsid w:val="003871E4"/>
    <w:rsid w:val="0038793D"/>
    <w:rsid w:val="0039298A"/>
    <w:rsid w:val="003929AF"/>
    <w:rsid w:val="003961C8"/>
    <w:rsid w:val="0039635C"/>
    <w:rsid w:val="003979FA"/>
    <w:rsid w:val="003A0E88"/>
    <w:rsid w:val="003A3817"/>
    <w:rsid w:val="003B0D66"/>
    <w:rsid w:val="003B0FD7"/>
    <w:rsid w:val="003B2BE2"/>
    <w:rsid w:val="003B5326"/>
    <w:rsid w:val="003B5BE1"/>
    <w:rsid w:val="003B789F"/>
    <w:rsid w:val="003C550C"/>
    <w:rsid w:val="003C690E"/>
    <w:rsid w:val="003C6E2D"/>
    <w:rsid w:val="003D00E3"/>
    <w:rsid w:val="003D2B3A"/>
    <w:rsid w:val="003D2E2C"/>
    <w:rsid w:val="003D391D"/>
    <w:rsid w:val="003D4288"/>
    <w:rsid w:val="003D5F31"/>
    <w:rsid w:val="003D7A4B"/>
    <w:rsid w:val="003D7D3D"/>
    <w:rsid w:val="003E22E3"/>
    <w:rsid w:val="003E3B7F"/>
    <w:rsid w:val="003E449C"/>
    <w:rsid w:val="003E4975"/>
    <w:rsid w:val="003F0939"/>
    <w:rsid w:val="003F646B"/>
    <w:rsid w:val="003F6500"/>
    <w:rsid w:val="004017F5"/>
    <w:rsid w:val="00401AB2"/>
    <w:rsid w:val="00401FA6"/>
    <w:rsid w:val="00402F1C"/>
    <w:rsid w:val="0040396D"/>
    <w:rsid w:val="004039BB"/>
    <w:rsid w:val="0040451C"/>
    <w:rsid w:val="0040577D"/>
    <w:rsid w:val="00405996"/>
    <w:rsid w:val="004065AA"/>
    <w:rsid w:val="004105C1"/>
    <w:rsid w:val="00411BF9"/>
    <w:rsid w:val="004126F1"/>
    <w:rsid w:val="00412BA1"/>
    <w:rsid w:val="004146E8"/>
    <w:rsid w:val="00414C1F"/>
    <w:rsid w:val="00414C38"/>
    <w:rsid w:val="00414E06"/>
    <w:rsid w:val="004151C1"/>
    <w:rsid w:val="00416F84"/>
    <w:rsid w:val="00417548"/>
    <w:rsid w:val="00420DB4"/>
    <w:rsid w:val="0042118B"/>
    <w:rsid w:val="00421A0E"/>
    <w:rsid w:val="00422339"/>
    <w:rsid w:val="004229F5"/>
    <w:rsid w:val="00426DB5"/>
    <w:rsid w:val="00427635"/>
    <w:rsid w:val="004278B3"/>
    <w:rsid w:val="00431D9F"/>
    <w:rsid w:val="0043682E"/>
    <w:rsid w:val="00436E47"/>
    <w:rsid w:val="004378DC"/>
    <w:rsid w:val="00437B54"/>
    <w:rsid w:val="00437C6B"/>
    <w:rsid w:val="004403B3"/>
    <w:rsid w:val="00442385"/>
    <w:rsid w:val="004430E4"/>
    <w:rsid w:val="00443B41"/>
    <w:rsid w:val="0044485B"/>
    <w:rsid w:val="004454C0"/>
    <w:rsid w:val="00445AAD"/>
    <w:rsid w:val="00445F10"/>
    <w:rsid w:val="00446538"/>
    <w:rsid w:val="004471D8"/>
    <w:rsid w:val="00453F8B"/>
    <w:rsid w:val="00454C4E"/>
    <w:rsid w:val="0045537F"/>
    <w:rsid w:val="0045635F"/>
    <w:rsid w:val="004574FC"/>
    <w:rsid w:val="00464079"/>
    <w:rsid w:val="00466246"/>
    <w:rsid w:val="004723B4"/>
    <w:rsid w:val="00472921"/>
    <w:rsid w:val="00473F8A"/>
    <w:rsid w:val="0047471A"/>
    <w:rsid w:val="00474F35"/>
    <w:rsid w:val="0047520D"/>
    <w:rsid w:val="00475B15"/>
    <w:rsid w:val="00475CD2"/>
    <w:rsid w:val="00476427"/>
    <w:rsid w:val="00477049"/>
    <w:rsid w:val="00480A6F"/>
    <w:rsid w:val="00481AF3"/>
    <w:rsid w:val="00481E64"/>
    <w:rsid w:val="00481FA0"/>
    <w:rsid w:val="00484520"/>
    <w:rsid w:val="0048605B"/>
    <w:rsid w:val="004863D2"/>
    <w:rsid w:val="00490230"/>
    <w:rsid w:val="004924F6"/>
    <w:rsid w:val="004936DB"/>
    <w:rsid w:val="004963BE"/>
    <w:rsid w:val="00496ACC"/>
    <w:rsid w:val="00496DA3"/>
    <w:rsid w:val="0049760D"/>
    <w:rsid w:val="004A0604"/>
    <w:rsid w:val="004A1545"/>
    <w:rsid w:val="004A1E63"/>
    <w:rsid w:val="004A297D"/>
    <w:rsid w:val="004A5076"/>
    <w:rsid w:val="004A5892"/>
    <w:rsid w:val="004A59E6"/>
    <w:rsid w:val="004A7AE8"/>
    <w:rsid w:val="004A7D27"/>
    <w:rsid w:val="004B1629"/>
    <w:rsid w:val="004B2C13"/>
    <w:rsid w:val="004B3698"/>
    <w:rsid w:val="004B535D"/>
    <w:rsid w:val="004B64A1"/>
    <w:rsid w:val="004B709C"/>
    <w:rsid w:val="004B74A9"/>
    <w:rsid w:val="004B7A9B"/>
    <w:rsid w:val="004C37EE"/>
    <w:rsid w:val="004C4BF0"/>
    <w:rsid w:val="004C513F"/>
    <w:rsid w:val="004C5D2B"/>
    <w:rsid w:val="004C6780"/>
    <w:rsid w:val="004D1738"/>
    <w:rsid w:val="004D2E15"/>
    <w:rsid w:val="004D4834"/>
    <w:rsid w:val="004D7574"/>
    <w:rsid w:val="004E01EA"/>
    <w:rsid w:val="004E0B84"/>
    <w:rsid w:val="004E1AA6"/>
    <w:rsid w:val="004E2C4B"/>
    <w:rsid w:val="004E42D1"/>
    <w:rsid w:val="004E5673"/>
    <w:rsid w:val="004E6144"/>
    <w:rsid w:val="004E6B4C"/>
    <w:rsid w:val="004E7058"/>
    <w:rsid w:val="004E7FAF"/>
    <w:rsid w:val="004F073F"/>
    <w:rsid w:val="004F374C"/>
    <w:rsid w:val="004F43FA"/>
    <w:rsid w:val="004F45CC"/>
    <w:rsid w:val="004F7142"/>
    <w:rsid w:val="00500AB7"/>
    <w:rsid w:val="00502346"/>
    <w:rsid w:val="00506A04"/>
    <w:rsid w:val="00506F9E"/>
    <w:rsid w:val="0050703B"/>
    <w:rsid w:val="005073A0"/>
    <w:rsid w:val="00507D3D"/>
    <w:rsid w:val="005141B5"/>
    <w:rsid w:val="005155D1"/>
    <w:rsid w:val="0051605D"/>
    <w:rsid w:val="0051695C"/>
    <w:rsid w:val="0052101A"/>
    <w:rsid w:val="00523C23"/>
    <w:rsid w:val="005249AF"/>
    <w:rsid w:val="00526586"/>
    <w:rsid w:val="005326A1"/>
    <w:rsid w:val="00532E13"/>
    <w:rsid w:val="005350EB"/>
    <w:rsid w:val="0053547F"/>
    <w:rsid w:val="00535F98"/>
    <w:rsid w:val="00542FBB"/>
    <w:rsid w:val="00543075"/>
    <w:rsid w:val="00543FE7"/>
    <w:rsid w:val="00544379"/>
    <w:rsid w:val="00546161"/>
    <w:rsid w:val="005545AB"/>
    <w:rsid w:val="00554C9F"/>
    <w:rsid w:val="0055531F"/>
    <w:rsid w:val="00555A97"/>
    <w:rsid w:val="005564EE"/>
    <w:rsid w:val="0055676D"/>
    <w:rsid w:val="00557717"/>
    <w:rsid w:val="00557C30"/>
    <w:rsid w:val="005603CF"/>
    <w:rsid w:val="00561AB6"/>
    <w:rsid w:val="00564D82"/>
    <w:rsid w:val="0056562D"/>
    <w:rsid w:val="00567437"/>
    <w:rsid w:val="00572AD5"/>
    <w:rsid w:val="00573DEF"/>
    <w:rsid w:val="00574C71"/>
    <w:rsid w:val="00576F77"/>
    <w:rsid w:val="00577B80"/>
    <w:rsid w:val="005810E8"/>
    <w:rsid w:val="00581E69"/>
    <w:rsid w:val="00582B4A"/>
    <w:rsid w:val="00583372"/>
    <w:rsid w:val="00583B8B"/>
    <w:rsid w:val="00590AE5"/>
    <w:rsid w:val="005929C4"/>
    <w:rsid w:val="00592B79"/>
    <w:rsid w:val="00594348"/>
    <w:rsid w:val="0059442D"/>
    <w:rsid w:val="005945EB"/>
    <w:rsid w:val="005950C0"/>
    <w:rsid w:val="005967B2"/>
    <w:rsid w:val="00596ADE"/>
    <w:rsid w:val="00597F91"/>
    <w:rsid w:val="005A1479"/>
    <w:rsid w:val="005A1FE5"/>
    <w:rsid w:val="005A1FE6"/>
    <w:rsid w:val="005A3CDF"/>
    <w:rsid w:val="005A425A"/>
    <w:rsid w:val="005A4AE8"/>
    <w:rsid w:val="005A5618"/>
    <w:rsid w:val="005A5D59"/>
    <w:rsid w:val="005A6523"/>
    <w:rsid w:val="005A78A0"/>
    <w:rsid w:val="005A7D41"/>
    <w:rsid w:val="005B0219"/>
    <w:rsid w:val="005B1609"/>
    <w:rsid w:val="005B2496"/>
    <w:rsid w:val="005B294A"/>
    <w:rsid w:val="005B34B2"/>
    <w:rsid w:val="005B52EB"/>
    <w:rsid w:val="005B5956"/>
    <w:rsid w:val="005B5C3C"/>
    <w:rsid w:val="005B63CD"/>
    <w:rsid w:val="005C252F"/>
    <w:rsid w:val="005C4BF3"/>
    <w:rsid w:val="005C560D"/>
    <w:rsid w:val="005C580B"/>
    <w:rsid w:val="005C7EBE"/>
    <w:rsid w:val="005D0AC1"/>
    <w:rsid w:val="005D1B6D"/>
    <w:rsid w:val="005D39CB"/>
    <w:rsid w:val="005D609E"/>
    <w:rsid w:val="005D66A0"/>
    <w:rsid w:val="005E3462"/>
    <w:rsid w:val="005E37FC"/>
    <w:rsid w:val="005E6F44"/>
    <w:rsid w:val="005F18DC"/>
    <w:rsid w:val="005F27AB"/>
    <w:rsid w:val="005F2C17"/>
    <w:rsid w:val="005F2F6A"/>
    <w:rsid w:val="005F373E"/>
    <w:rsid w:val="005F543A"/>
    <w:rsid w:val="005F66DE"/>
    <w:rsid w:val="005F7ACC"/>
    <w:rsid w:val="006011B5"/>
    <w:rsid w:val="00602287"/>
    <w:rsid w:val="0060281B"/>
    <w:rsid w:val="0060295A"/>
    <w:rsid w:val="006041A7"/>
    <w:rsid w:val="006054A3"/>
    <w:rsid w:val="006066DA"/>
    <w:rsid w:val="00612422"/>
    <w:rsid w:val="006145A9"/>
    <w:rsid w:val="00615D84"/>
    <w:rsid w:val="006165CC"/>
    <w:rsid w:val="006168CC"/>
    <w:rsid w:val="006215B4"/>
    <w:rsid w:val="00623445"/>
    <w:rsid w:val="0062371A"/>
    <w:rsid w:val="00623879"/>
    <w:rsid w:val="006262FA"/>
    <w:rsid w:val="006309CA"/>
    <w:rsid w:val="00630C1C"/>
    <w:rsid w:val="0063505F"/>
    <w:rsid w:val="006406FC"/>
    <w:rsid w:val="00640904"/>
    <w:rsid w:val="00642A7E"/>
    <w:rsid w:val="00642CA8"/>
    <w:rsid w:val="00642CD0"/>
    <w:rsid w:val="006500CE"/>
    <w:rsid w:val="00653D43"/>
    <w:rsid w:val="00656967"/>
    <w:rsid w:val="00656C4F"/>
    <w:rsid w:val="0065703D"/>
    <w:rsid w:val="0065723D"/>
    <w:rsid w:val="00657DC0"/>
    <w:rsid w:val="00660084"/>
    <w:rsid w:val="006605C8"/>
    <w:rsid w:val="0066189B"/>
    <w:rsid w:val="0066219A"/>
    <w:rsid w:val="00662CE6"/>
    <w:rsid w:val="00662E49"/>
    <w:rsid w:val="00662E87"/>
    <w:rsid w:val="00664898"/>
    <w:rsid w:val="00664B2E"/>
    <w:rsid w:val="00664B97"/>
    <w:rsid w:val="00665520"/>
    <w:rsid w:val="006663D2"/>
    <w:rsid w:val="00667D08"/>
    <w:rsid w:val="006702CA"/>
    <w:rsid w:val="00671277"/>
    <w:rsid w:val="00672049"/>
    <w:rsid w:val="006763E4"/>
    <w:rsid w:val="006765C3"/>
    <w:rsid w:val="00676A31"/>
    <w:rsid w:val="00676BD0"/>
    <w:rsid w:val="0067731F"/>
    <w:rsid w:val="006801FC"/>
    <w:rsid w:val="006809C5"/>
    <w:rsid w:val="0068296B"/>
    <w:rsid w:val="00682AF5"/>
    <w:rsid w:val="00685BC4"/>
    <w:rsid w:val="0068744B"/>
    <w:rsid w:val="00687AD4"/>
    <w:rsid w:val="00692012"/>
    <w:rsid w:val="00692A4B"/>
    <w:rsid w:val="006959A7"/>
    <w:rsid w:val="00696693"/>
    <w:rsid w:val="0069727D"/>
    <w:rsid w:val="006A073C"/>
    <w:rsid w:val="006A3EF5"/>
    <w:rsid w:val="006A6D23"/>
    <w:rsid w:val="006A7352"/>
    <w:rsid w:val="006B00C7"/>
    <w:rsid w:val="006B0293"/>
    <w:rsid w:val="006B02AD"/>
    <w:rsid w:val="006B05BE"/>
    <w:rsid w:val="006B17A8"/>
    <w:rsid w:val="006B1E6F"/>
    <w:rsid w:val="006B29C5"/>
    <w:rsid w:val="006B4BE8"/>
    <w:rsid w:val="006B7701"/>
    <w:rsid w:val="006B7E81"/>
    <w:rsid w:val="006C0780"/>
    <w:rsid w:val="006C11F0"/>
    <w:rsid w:val="006C2BF4"/>
    <w:rsid w:val="006C3369"/>
    <w:rsid w:val="006C339C"/>
    <w:rsid w:val="006D08C8"/>
    <w:rsid w:val="006D1CC1"/>
    <w:rsid w:val="006D1D2D"/>
    <w:rsid w:val="006D3658"/>
    <w:rsid w:val="006D4A25"/>
    <w:rsid w:val="006D5840"/>
    <w:rsid w:val="006D5B89"/>
    <w:rsid w:val="006D691B"/>
    <w:rsid w:val="006D69A9"/>
    <w:rsid w:val="006E0C2C"/>
    <w:rsid w:val="006E113C"/>
    <w:rsid w:val="006E2743"/>
    <w:rsid w:val="006E29E4"/>
    <w:rsid w:val="006E346A"/>
    <w:rsid w:val="006E3C64"/>
    <w:rsid w:val="006E3F4C"/>
    <w:rsid w:val="006E4903"/>
    <w:rsid w:val="006E634A"/>
    <w:rsid w:val="006E74F3"/>
    <w:rsid w:val="006E74F6"/>
    <w:rsid w:val="006F0767"/>
    <w:rsid w:val="006F1DFE"/>
    <w:rsid w:val="006F4324"/>
    <w:rsid w:val="006F4C8F"/>
    <w:rsid w:val="006F5747"/>
    <w:rsid w:val="006F649D"/>
    <w:rsid w:val="00700BF8"/>
    <w:rsid w:val="00701D35"/>
    <w:rsid w:val="00703B03"/>
    <w:rsid w:val="0070422E"/>
    <w:rsid w:val="00704A96"/>
    <w:rsid w:val="0070543B"/>
    <w:rsid w:val="00705908"/>
    <w:rsid w:val="0071018B"/>
    <w:rsid w:val="0071124D"/>
    <w:rsid w:val="0071159B"/>
    <w:rsid w:val="00714BD7"/>
    <w:rsid w:val="0071519F"/>
    <w:rsid w:val="0072061C"/>
    <w:rsid w:val="007208A4"/>
    <w:rsid w:val="007210DF"/>
    <w:rsid w:val="007215B0"/>
    <w:rsid w:val="0072225C"/>
    <w:rsid w:val="00723CB2"/>
    <w:rsid w:val="0072435B"/>
    <w:rsid w:val="0072557D"/>
    <w:rsid w:val="00726988"/>
    <w:rsid w:val="00730229"/>
    <w:rsid w:val="00731336"/>
    <w:rsid w:val="007356D6"/>
    <w:rsid w:val="0073620C"/>
    <w:rsid w:val="007368C8"/>
    <w:rsid w:val="00736F79"/>
    <w:rsid w:val="007378A2"/>
    <w:rsid w:val="00746937"/>
    <w:rsid w:val="007509F0"/>
    <w:rsid w:val="00753099"/>
    <w:rsid w:val="007545A2"/>
    <w:rsid w:val="00755716"/>
    <w:rsid w:val="0076039D"/>
    <w:rsid w:val="00761185"/>
    <w:rsid w:val="0076125D"/>
    <w:rsid w:val="00761439"/>
    <w:rsid w:val="007627AF"/>
    <w:rsid w:val="00763C63"/>
    <w:rsid w:val="007646BB"/>
    <w:rsid w:val="0076527C"/>
    <w:rsid w:val="00765C0D"/>
    <w:rsid w:val="00766E00"/>
    <w:rsid w:val="007670AA"/>
    <w:rsid w:val="007709C0"/>
    <w:rsid w:val="0077298A"/>
    <w:rsid w:val="00772A5F"/>
    <w:rsid w:val="00772E92"/>
    <w:rsid w:val="007732A7"/>
    <w:rsid w:val="00774116"/>
    <w:rsid w:val="00774136"/>
    <w:rsid w:val="00781DCC"/>
    <w:rsid w:val="00784A6E"/>
    <w:rsid w:val="00786794"/>
    <w:rsid w:val="00787DF1"/>
    <w:rsid w:val="00790803"/>
    <w:rsid w:val="007910B1"/>
    <w:rsid w:val="00791D54"/>
    <w:rsid w:val="00792E66"/>
    <w:rsid w:val="00794896"/>
    <w:rsid w:val="007960EA"/>
    <w:rsid w:val="007965F6"/>
    <w:rsid w:val="00797CD7"/>
    <w:rsid w:val="007A3652"/>
    <w:rsid w:val="007A37D6"/>
    <w:rsid w:val="007A3F63"/>
    <w:rsid w:val="007A57CE"/>
    <w:rsid w:val="007A7EBE"/>
    <w:rsid w:val="007B2765"/>
    <w:rsid w:val="007B4033"/>
    <w:rsid w:val="007B56DC"/>
    <w:rsid w:val="007B5E50"/>
    <w:rsid w:val="007B64E1"/>
    <w:rsid w:val="007B6BA5"/>
    <w:rsid w:val="007B7EB2"/>
    <w:rsid w:val="007C05A9"/>
    <w:rsid w:val="007C19A0"/>
    <w:rsid w:val="007C21B2"/>
    <w:rsid w:val="007C303E"/>
    <w:rsid w:val="007C3506"/>
    <w:rsid w:val="007C4D54"/>
    <w:rsid w:val="007C55A6"/>
    <w:rsid w:val="007C5CC5"/>
    <w:rsid w:val="007C7E63"/>
    <w:rsid w:val="007D7B29"/>
    <w:rsid w:val="007E018D"/>
    <w:rsid w:val="007E359C"/>
    <w:rsid w:val="007E49B4"/>
    <w:rsid w:val="007E5EA9"/>
    <w:rsid w:val="007E6078"/>
    <w:rsid w:val="007E626F"/>
    <w:rsid w:val="007E6AD9"/>
    <w:rsid w:val="007E774C"/>
    <w:rsid w:val="007E7B30"/>
    <w:rsid w:val="007F0F19"/>
    <w:rsid w:val="007F1E83"/>
    <w:rsid w:val="007F3495"/>
    <w:rsid w:val="007F36FB"/>
    <w:rsid w:val="007F3DA1"/>
    <w:rsid w:val="007F5B83"/>
    <w:rsid w:val="007F776F"/>
    <w:rsid w:val="007F7AB7"/>
    <w:rsid w:val="007F7B19"/>
    <w:rsid w:val="00801A7B"/>
    <w:rsid w:val="008031A1"/>
    <w:rsid w:val="00805E01"/>
    <w:rsid w:val="00806B51"/>
    <w:rsid w:val="00806F88"/>
    <w:rsid w:val="00807B7A"/>
    <w:rsid w:val="008105D0"/>
    <w:rsid w:val="00811E97"/>
    <w:rsid w:val="00813251"/>
    <w:rsid w:val="0081550F"/>
    <w:rsid w:val="008155B1"/>
    <w:rsid w:val="00815B15"/>
    <w:rsid w:val="00815FF9"/>
    <w:rsid w:val="008174EC"/>
    <w:rsid w:val="00822599"/>
    <w:rsid w:val="00823D76"/>
    <w:rsid w:val="008319AA"/>
    <w:rsid w:val="0083237B"/>
    <w:rsid w:val="0083346E"/>
    <w:rsid w:val="008345F2"/>
    <w:rsid w:val="008348E6"/>
    <w:rsid w:val="008353CD"/>
    <w:rsid w:val="00837398"/>
    <w:rsid w:val="00840215"/>
    <w:rsid w:val="00842CEE"/>
    <w:rsid w:val="008504BA"/>
    <w:rsid w:val="00850BB8"/>
    <w:rsid w:val="00850BD1"/>
    <w:rsid w:val="0085129A"/>
    <w:rsid w:val="00853868"/>
    <w:rsid w:val="0085463D"/>
    <w:rsid w:val="00856722"/>
    <w:rsid w:val="0085726E"/>
    <w:rsid w:val="00857AC1"/>
    <w:rsid w:val="00860CC9"/>
    <w:rsid w:val="0086165A"/>
    <w:rsid w:val="00861EB3"/>
    <w:rsid w:val="008623FF"/>
    <w:rsid w:val="008629A3"/>
    <w:rsid w:val="008639F0"/>
    <w:rsid w:val="008644E2"/>
    <w:rsid w:val="00864BBB"/>
    <w:rsid w:val="008651E4"/>
    <w:rsid w:val="0086623E"/>
    <w:rsid w:val="008671B6"/>
    <w:rsid w:val="00870A64"/>
    <w:rsid w:val="0087371E"/>
    <w:rsid w:val="00873E43"/>
    <w:rsid w:val="00874007"/>
    <w:rsid w:val="0087475E"/>
    <w:rsid w:val="00876B26"/>
    <w:rsid w:val="008772AB"/>
    <w:rsid w:val="00880C2C"/>
    <w:rsid w:val="0088114B"/>
    <w:rsid w:val="00881350"/>
    <w:rsid w:val="008815FF"/>
    <w:rsid w:val="008824FD"/>
    <w:rsid w:val="00882911"/>
    <w:rsid w:val="008836B0"/>
    <w:rsid w:val="00885172"/>
    <w:rsid w:val="0088541D"/>
    <w:rsid w:val="00885863"/>
    <w:rsid w:val="0088659D"/>
    <w:rsid w:val="00886E67"/>
    <w:rsid w:val="00887076"/>
    <w:rsid w:val="008876A4"/>
    <w:rsid w:val="00894D4A"/>
    <w:rsid w:val="00895AE3"/>
    <w:rsid w:val="00895E03"/>
    <w:rsid w:val="00896AA6"/>
    <w:rsid w:val="00896CF5"/>
    <w:rsid w:val="008A13CF"/>
    <w:rsid w:val="008A2B52"/>
    <w:rsid w:val="008A2CD3"/>
    <w:rsid w:val="008A5751"/>
    <w:rsid w:val="008A5C46"/>
    <w:rsid w:val="008B1730"/>
    <w:rsid w:val="008B21DC"/>
    <w:rsid w:val="008B43FB"/>
    <w:rsid w:val="008B48AE"/>
    <w:rsid w:val="008B4DE4"/>
    <w:rsid w:val="008B58C5"/>
    <w:rsid w:val="008B6FD1"/>
    <w:rsid w:val="008B7657"/>
    <w:rsid w:val="008C11C8"/>
    <w:rsid w:val="008C120C"/>
    <w:rsid w:val="008C1277"/>
    <w:rsid w:val="008C2568"/>
    <w:rsid w:val="008C4521"/>
    <w:rsid w:val="008C56D3"/>
    <w:rsid w:val="008C62B2"/>
    <w:rsid w:val="008C66B2"/>
    <w:rsid w:val="008D04AB"/>
    <w:rsid w:val="008D1245"/>
    <w:rsid w:val="008E1FDB"/>
    <w:rsid w:val="008E2B8A"/>
    <w:rsid w:val="008E39F9"/>
    <w:rsid w:val="008E4218"/>
    <w:rsid w:val="008E5BEC"/>
    <w:rsid w:val="008E5FBB"/>
    <w:rsid w:val="008F242C"/>
    <w:rsid w:val="008F4312"/>
    <w:rsid w:val="008F4D7F"/>
    <w:rsid w:val="0090066F"/>
    <w:rsid w:val="00902851"/>
    <w:rsid w:val="0090306B"/>
    <w:rsid w:val="009045F7"/>
    <w:rsid w:val="00904848"/>
    <w:rsid w:val="00905443"/>
    <w:rsid w:val="00906687"/>
    <w:rsid w:val="009123D0"/>
    <w:rsid w:val="00913BF8"/>
    <w:rsid w:val="00915AA1"/>
    <w:rsid w:val="00920F8F"/>
    <w:rsid w:val="00922871"/>
    <w:rsid w:val="00924CA5"/>
    <w:rsid w:val="00925FBD"/>
    <w:rsid w:val="009272A5"/>
    <w:rsid w:val="009308E7"/>
    <w:rsid w:val="00930EAE"/>
    <w:rsid w:val="00931533"/>
    <w:rsid w:val="00931919"/>
    <w:rsid w:val="009345B0"/>
    <w:rsid w:val="009373B1"/>
    <w:rsid w:val="009400E8"/>
    <w:rsid w:val="009417E8"/>
    <w:rsid w:val="00943429"/>
    <w:rsid w:val="009448E1"/>
    <w:rsid w:val="00944E6E"/>
    <w:rsid w:val="009477DF"/>
    <w:rsid w:val="0095004D"/>
    <w:rsid w:val="009506EC"/>
    <w:rsid w:val="009554EB"/>
    <w:rsid w:val="00955D65"/>
    <w:rsid w:val="0095724A"/>
    <w:rsid w:val="009579EC"/>
    <w:rsid w:val="009615C6"/>
    <w:rsid w:val="0096285B"/>
    <w:rsid w:val="00962C79"/>
    <w:rsid w:val="00962ED1"/>
    <w:rsid w:val="0096421F"/>
    <w:rsid w:val="00966C72"/>
    <w:rsid w:val="00966FA4"/>
    <w:rsid w:val="0096738C"/>
    <w:rsid w:val="009705AF"/>
    <w:rsid w:val="00971028"/>
    <w:rsid w:val="00972120"/>
    <w:rsid w:val="009721C0"/>
    <w:rsid w:val="0097365E"/>
    <w:rsid w:val="00973705"/>
    <w:rsid w:val="00977918"/>
    <w:rsid w:val="00980DA4"/>
    <w:rsid w:val="00980E54"/>
    <w:rsid w:val="00981D24"/>
    <w:rsid w:val="00986402"/>
    <w:rsid w:val="00986846"/>
    <w:rsid w:val="009878FD"/>
    <w:rsid w:val="00990D59"/>
    <w:rsid w:val="0099136E"/>
    <w:rsid w:val="00991690"/>
    <w:rsid w:val="009919F3"/>
    <w:rsid w:val="00993CCF"/>
    <w:rsid w:val="0099530F"/>
    <w:rsid w:val="009958E9"/>
    <w:rsid w:val="0099666F"/>
    <w:rsid w:val="009977B2"/>
    <w:rsid w:val="009A00F3"/>
    <w:rsid w:val="009A0454"/>
    <w:rsid w:val="009A0847"/>
    <w:rsid w:val="009A08BE"/>
    <w:rsid w:val="009A12BB"/>
    <w:rsid w:val="009A23CE"/>
    <w:rsid w:val="009A2540"/>
    <w:rsid w:val="009A305D"/>
    <w:rsid w:val="009A44CD"/>
    <w:rsid w:val="009A5310"/>
    <w:rsid w:val="009A5B9A"/>
    <w:rsid w:val="009A6CB1"/>
    <w:rsid w:val="009B383A"/>
    <w:rsid w:val="009B6838"/>
    <w:rsid w:val="009B7D2D"/>
    <w:rsid w:val="009C20FA"/>
    <w:rsid w:val="009C2CD2"/>
    <w:rsid w:val="009C3197"/>
    <w:rsid w:val="009C3450"/>
    <w:rsid w:val="009C552C"/>
    <w:rsid w:val="009C619D"/>
    <w:rsid w:val="009C669D"/>
    <w:rsid w:val="009D1B8E"/>
    <w:rsid w:val="009D37F2"/>
    <w:rsid w:val="009D5583"/>
    <w:rsid w:val="009D588F"/>
    <w:rsid w:val="009D64D3"/>
    <w:rsid w:val="009D7BF6"/>
    <w:rsid w:val="009E1740"/>
    <w:rsid w:val="009E2164"/>
    <w:rsid w:val="009E21EF"/>
    <w:rsid w:val="009E2380"/>
    <w:rsid w:val="009E3B6A"/>
    <w:rsid w:val="009E4199"/>
    <w:rsid w:val="009E57C1"/>
    <w:rsid w:val="009E7697"/>
    <w:rsid w:val="009F009C"/>
    <w:rsid w:val="009F00AF"/>
    <w:rsid w:val="009F0A6D"/>
    <w:rsid w:val="009F0C65"/>
    <w:rsid w:val="009F0CDB"/>
    <w:rsid w:val="009F1D17"/>
    <w:rsid w:val="009F1FA3"/>
    <w:rsid w:val="009F21DD"/>
    <w:rsid w:val="009F2C9E"/>
    <w:rsid w:val="009F2F7B"/>
    <w:rsid w:val="009F37EB"/>
    <w:rsid w:val="009F6C6A"/>
    <w:rsid w:val="009F7760"/>
    <w:rsid w:val="00A0124C"/>
    <w:rsid w:val="00A01BAA"/>
    <w:rsid w:val="00A03147"/>
    <w:rsid w:val="00A03A4A"/>
    <w:rsid w:val="00A03D21"/>
    <w:rsid w:val="00A03F75"/>
    <w:rsid w:val="00A051F1"/>
    <w:rsid w:val="00A05262"/>
    <w:rsid w:val="00A0614F"/>
    <w:rsid w:val="00A078E3"/>
    <w:rsid w:val="00A110B7"/>
    <w:rsid w:val="00A1252D"/>
    <w:rsid w:val="00A12C67"/>
    <w:rsid w:val="00A14768"/>
    <w:rsid w:val="00A15DEF"/>
    <w:rsid w:val="00A16686"/>
    <w:rsid w:val="00A16C9A"/>
    <w:rsid w:val="00A177E7"/>
    <w:rsid w:val="00A17B48"/>
    <w:rsid w:val="00A23C79"/>
    <w:rsid w:val="00A243C7"/>
    <w:rsid w:val="00A3047F"/>
    <w:rsid w:val="00A3209A"/>
    <w:rsid w:val="00A3292A"/>
    <w:rsid w:val="00A32FA4"/>
    <w:rsid w:val="00A32FC2"/>
    <w:rsid w:val="00A345EF"/>
    <w:rsid w:val="00A35BC0"/>
    <w:rsid w:val="00A3718C"/>
    <w:rsid w:val="00A37C91"/>
    <w:rsid w:val="00A415A6"/>
    <w:rsid w:val="00A434A1"/>
    <w:rsid w:val="00A44BF6"/>
    <w:rsid w:val="00A45F54"/>
    <w:rsid w:val="00A50EBA"/>
    <w:rsid w:val="00A5335A"/>
    <w:rsid w:val="00A542FE"/>
    <w:rsid w:val="00A545A6"/>
    <w:rsid w:val="00A54C14"/>
    <w:rsid w:val="00A55AEF"/>
    <w:rsid w:val="00A568D8"/>
    <w:rsid w:val="00A568FB"/>
    <w:rsid w:val="00A56C96"/>
    <w:rsid w:val="00A624BD"/>
    <w:rsid w:val="00A62DF9"/>
    <w:rsid w:val="00A62E16"/>
    <w:rsid w:val="00A6381B"/>
    <w:rsid w:val="00A645AE"/>
    <w:rsid w:val="00A646A7"/>
    <w:rsid w:val="00A64B90"/>
    <w:rsid w:val="00A670DF"/>
    <w:rsid w:val="00A70E9E"/>
    <w:rsid w:val="00A7436E"/>
    <w:rsid w:val="00A74F5A"/>
    <w:rsid w:val="00A75740"/>
    <w:rsid w:val="00A760B5"/>
    <w:rsid w:val="00A76508"/>
    <w:rsid w:val="00A7691C"/>
    <w:rsid w:val="00A76F23"/>
    <w:rsid w:val="00A80279"/>
    <w:rsid w:val="00A803A5"/>
    <w:rsid w:val="00A80480"/>
    <w:rsid w:val="00A806EA"/>
    <w:rsid w:val="00A81282"/>
    <w:rsid w:val="00A848A8"/>
    <w:rsid w:val="00A85DE1"/>
    <w:rsid w:val="00A869DE"/>
    <w:rsid w:val="00A86ADD"/>
    <w:rsid w:val="00A87170"/>
    <w:rsid w:val="00A90625"/>
    <w:rsid w:val="00A93317"/>
    <w:rsid w:val="00A9406A"/>
    <w:rsid w:val="00A953FE"/>
    <w:rsid w:val="00A96B80"/>
    <w:rsid w:val="00A96F77"/>
    <w:rsid w:val="00AA3174"/>
    <w:rsid w:val="00AA3EFB"/>
    <w:rsid w:val="00AA4D3E"/>
    <w:rsid w:val="00AA4EC0"/>
    <w:rsid w:val="00AA504E"/>
    <w:rsid w:val="00AB4149"/>
    <w:rsid w:val="00AB582C"/>
    <w:rsid w:val="00AB5924"/>
    <w:rsid w:val="00AB5DE6"/>
    <w:rsid w:val="00AB618F"/>
    <w:rsid w:val="00AC03B3"/>
    <w:rsid w:val="00AC194E"/>
    <w:rsid w:val="00AC1BD1"/>
    <w:rsid w:val="00AC3370"/>
    <w:rsid w:val="00AC38BD"/>
    <w:rsid w:val="00AC3AE9"/>
    <w:rsid w:val="00AC431E"/>
    <w:rsid w:val="00AC5DFD"/>
    <w:rsid w:val="00AC697C"/>
    <w:rsid w:val="00AC6C4F"/>
    <w:rsid w:val="00AC6E11"/>
    <w:rsid w:val="00AD0A20"/>
    <w:rsid w:val="00AD17A9"/>
    <w:rsid w:val="00AD3477"/>
    <w:rsid w:val="00AD58FA"/>
    <w:rsid w:val="00AD65A8"/>
    <w:rsid w:val="00AD6771"/>
    <w:rsid w:val="00AD7046"/>
    <w:rsid w:val="00AE1249"/>
    <w:rsid w:val="00AE293D"/>
    <w:rsid w:val="00AE2D90"/>
    <w:rsid w:val="00AE4AB1"/>
    <w:rsid w:val="00AE7B61"/>
    <w:rsid w:val="00AF0C82"/>
    <w:rsid w:val="00AF18E2"/>
    <w:rsid w:val="00AF2B40"/>
    <w:rsid w:val="00AF2C6E"/>
    <w:rsid w:val="00AF2CC9"/>
    <w:rsid w:val="00AF3F40"/>
    <w:rsid w:val="00AF520A"/>
    <w:rsid w:val="00AF532C"/>
    <w:rsid w:val="00AF5A36"/>
    <w:rsid w:val="00AF7367"/>
    <w:rsid w:val="00AF7515"/>
    <w:rsid w:val="00AF791A"/>
    <w:rsid w:val="00AF7CC6"/>
    <w:rsid w:val="00B00B50"/>
    <w:rsid w:val="00B00F61"/>
    <w:rsid w:val="00B01123"/>
    <w:rsid w:val="00B035AC"/>
    <w:rsid w:val="00B04CA7"/>
    <w:rsid w:val="00B06346"/>
    <w:rsid w:val="00B07952"/>
    <w:rsid w:val="00B10774"/>
    <w:rsid w:val="00B117E4"/>
    <w:rsid w:val="00B11E82"/>
    <w:rsid w:val="00B12878"/>
    <w:rsid w:val="00B138CE"/>
    <w:rsid w:val="00B1453D"/>
    <w:rsid w:val="00B148CD"/>
    <w:rsid w:val="00B163CE"/>
    <w:rsid w:val="00B20480"/>
    <w:rsid w:val="00B20AA1"/>
    <w:rsid w:val="00B21221"/>
    <w:rsid w:val="00B225DF"/>
    <w:rsid w:val="00B22C66"/>
    <w:rsid w:val="00B24BC4"/>
    <w:rsid w:val="00B256E7"/>
    <w:rsid w:val="00B262F3"/>
    <w:rsid w:val="00B2678A"/>
    <w:rsid w:val="00B27237"/>
    <w:rsid w:val="00B2726E"/>
    <w:rsid w:val="00B316BC"/>
    <w:rsid w:val="00B31CBD"/>
    <w:rsid w:val="00B32C17"/>
    <w:rsid w:val="00B32CE1"/>
    <w:rsid w:val="00B34167"/>
    <w:rsid w:val="00B37D3D"/>
    <w:rsid w:val="00B41846"/>
    <w:rsid w:val="00B43B9A"/>
    <w:rsid w:val="00B45035"/>
    <w:rsid w:val="00B45A48"/>
    <w:rsid w:val="00B46928"/>
    <w:rsid w:val="00B47968"/>
    <w:rsid w:val="00B5580F"/>
    <w:rsid w:val="00B55FE6"/>
    <w:rsid w:val="00B60CFC"/>
    <w:rsid w:val="00B61B1E"/>
    <w:rsid w:val="00B61CAD"/>
    <w:rsid w:val="00B63A31"/>
    <w:rsid w:val="00B7056D"/>
    <w:rsid w:val="00B71EA4"/>
    <w:rsid w:val="00B73FE9"/>
    <w:rsid w:val="00B745D9"/>
    <w:rsid w:val="00B75151"/>
    <w:rsid w:val="00B76260"/>
    <w:rsid w:val="00B76476"/>
    <w:rsid w:val="00B7743D"/>
    <w:rsid w:val="00B7748F"/>
    <w:rsid w:val="00B80E59"/>
    <w:rsid w:val="00B8134A"/>
    <w:rsid w:val="00B81781"/>
    <w:rsid w:val="00B81F2D"/>
    <w:rsid w:val="00B82EBA"/>
    <w:rsid w:val="00B831D5"/>
    <w:rsid w:val="00B83980"/>
    <w:rsid w:val="00B858CC"/>
    <w:rsid w:val="00B85F98"/>
    <w:rsid w:val="00B86D46"/>
    <w:rsid w:val="00B86DAE"/>
    <w:rsid w:val="00B92BE5"/>
    <w:rsid w:val="00B93E54"/>
    <w:rsid w:val="00B960C6"/>
    <w:rsid w:val="00B969C1"/>
    <w:rsid w:val="00BA06C1"/>
    <w:rsid w:val="00BA0C2D"/>
    <w:rsid w:val="00BA3C1D"/>
    <w:rsid w:val="00BA6642"/>
    <w:rsid w:val="00BA6FCF"/>
    <w:rsid w:val="00BA70B2"/>
    <w:rsid w:val="00BB0A31"/>
    <w:rsid w:val="00BB140E"/>
    <w:rsid w:val="00BB4B94"/>
    <w:rsid w:val="00BB5D36"/>
    <w:rsid w:val="00BB619E"/>
    <w:rsid w:val="00BB6C96"/>
    <w:rsid w:val="00BC099D"/>
    <w:rsid w:val="00BC1ABC"/>
    <w:rsid w:val="00BC2A8E"/>
    <w:rsid w:val="00BC4F8C"/>
    <w:rsid w:val="00BC6DDF"/>
    <w:rsid w:val="00BD085F"/>
    <w:rsid w:val="00BD0B85"/>
    <w:rsid w:val="00BD13AF"/>
    <w:rsid w:val="00BD1828"/>
    <w:rsid w:val="00BD1A9C"/>
    <w:rsid w:val="00BD33FC"/>
    <w:rsid w:val="00BD3BA0"/>
    <w:rsid w:val="00BD56E2"/>
    <w:rsid w:val="00BD59B4"/>
    <w:rsid w:val="00BD623A"/>
    <w:rsid w:val="00BE0CBC"/>
    <w:rsid w:val="00BE0CEE"/>
    <w:rsid w:val="00BE38DA"/>
    <w:rsid w:val="00BE52FF"/>
    <w:rsid w:val="00BE71DC"/>
    <w:rsid w:val="00BE7685"/>
    <w:rsid w:val="00BF033C"/>
    <w:rsid w:val="00BF114B"/>
    <w:rsid w:val="00BF121B"/>
    <w:rsid w:val="00BF1948"/>
    <w:rsid w:val="00BF2A74"/>
    <w:rsid w:val="00BF2CF1"/>
    <w:rsid w:val="00BF2D0A"/>
    <w:rsid w:val="00BF5543"/>
    <w:rsid w:val="00BF6BB9"/>
    <w:rsid w:val="00BF71B4"/>
    <w:rsid w:val="00BF76AE"/>
    <w:rsid w:val="00BF7EAD"/>
    <w:rsid w:val="00C00726"/>
    <w:rsid w:val="00C01289"/>
    <w:rsid w:val="00C019BB"/>
    <w:rsid w:val="00C02323"/>
    <w:rsid w:val="00C02412"/>
    <w:rsid w:val="00C032BB"/>
    <w:rsid w:val="00C037B6"/>
    <w:rsid w:val="00C0432B"/>
    <w:rsid w:val="00C04CCA"/>
    <w:rsid w:val="00C05518"/>
    <w:rsid w:val="00C056EF"/>
    <w:rsid w:val="00C12F78"/>
    <w:rsid w:val="00C1310F"/>
    <w:rsid w:val="00C13A0A"/>
    <w:rsid w:val="00C142BD"/>
    <w:rsid w:val="00C16978"/>
    <w:rsid w:val="00C1699E"/>
    <w:rsid w:val="00C17684"/>
    <w:rsid w:val="00C17B16"/>
    <w:rsid w:val="00C21BEB"/>
    <w:rsid w:val="00C230C3"/>
    <w:rsid w:val="00C245B2"/>
    <w:rsid w:val="00C26349"/>
    <w:rsid w:val="00C26DA0"/>
    <w:rsid w:val="00C31375"/>
    <w:rsid w:val="00C33895"/>
    <w:rsid w:val="00C342C8"/>
    <w:rsid w:val="00C345EE"/>
    <w:rsid w:val="00C404A1"/>
    <w:rsid w:val="00C41565"/>
    <w:rsid w:val="00C416FA"/>
    <w:rsid w:val="00C42528"/>
    <w:rsid w:val="00C43586"/>
    <w:rsid w:val="00C44807"/>
    <w:rsid w:val="00C44EE3"/>
    <w:rsid w:val="00C46554"/>
    <w:rsid w:val="00C473AA"/>
    <w:rsid w:val="00C47F76"/>
    <w:rsid w:val="00C51DF3"/>
    <w:rsid w:val="00C51F48"/>
    <w:rsid w:val="00C5230C"/>
    <w:rsid w:val="00C523BB"/>
    <w:rsid w:val="00C52B5B"/>
    <w:rsid w:val="00C52BA1"/>
    <w:rsid w:val="00C531C8"/>
    <w:rsid w:val="00C533F8"/>
    <w:rsid w:val="00C5350F"/>
    <w:rsid w:val="00C536C4"/>
    <w:rsid w:val="00C559D0"/>
    <w:rsid w:val="00C56D23"/>
    <w:rsid w:val="00C57782"/>
    <w:rsid w:val="00C60585"/>
    <w:rsid w:val="00C62DDF"/>
    <w:rsid w:val="00C632A8"/>
    <w:rsid w:val="00C65405"/>
    <w:rsid w:val="00C65AFD"/>
    <w:rsid w:val="00C66803"/>
    <w:rsid w:val="00C67D2C"/>
    <w:rsid w:val="00C70090"/>
    <w:rsid w:val="00C71911"/>
    <w:rsid w:val="00C71F4A"/>
    <w:rsid w:val="00C80A1D"/>
    <w:rsid w:val="00C847E4"/>
    <w:rsid w:val="00C851C9"/>
    <w:rsid w:val="00C851FC"/>
    <w:rsid w:val="00C85242"/>
    <w:rsid w:val="00C918F8"/>
    <w:rsid w:val="00C9317C"/>
    <w:rsid w:val="00C93B39"/>
    <w:rsid w:val="00C94C94"/>
    <w:rsid w:val="00C95021"/>
    <w:rsid w:val="00C9590D"/>
    <w:rsid w:val="00C969FA"/>
    <w:rsid w:val="00C96E80"/>
    <w:rsid w:val="00C97B1E"/>
    <w:rsid w:val="00C97FF8"/>
    <w:rsid w:val="00CA04BF"/>
    <w:rsid w:val="00CA059D"/>
    <w:rsid w:val="00CA231F"/>
    <w:rsid w:val="00CA3620"/>
    <w:rsid w:val="00CA37E0"/>
    <w:rsid w:val="00CA402B"/>
    <w:rsid w:val="00CA49F2"/>
    <w:rsid w:val="00CA5362"/>
    <w:rsid w:val="00CA5B6E"/>
    <w:rsid w:val="00CA67DC"/>
    <w:rsid w:val="00CB0510"/>
    <w:rsid w:val="00CB0702"/>
    <w:rsid w:val="00CB46CE"/>
    <w:rsid w:val="00CB5344"/>
    <w:rsid w:val="00CC0774"/>
    <w:rsid w:val="00CC0C72"/>
    <w:rsid w:val="00CC119F"/>
    <w:rsid w:val="00CC633E"/>
    <w:rsid w:val="00CD0A44"/>
    <w:rsid w:val="00CD1C39"/>
    <w:rsid w:val="00CD1FF6"/>
    <w:rsid w:val="00CD40BA"/>
    <w:rsid w:val="00CD444B"/>
    <w:rsid w:val="00CD4792"/>
    <w:rsid w:val="00CD7662"/>
    <w:rsid w:val="00CE237D"/>
    <w:rsid w:val="00CE2933"/>
    <w:rsid w:val="00CE4CC4"/>
    <w:rsid w:val="00CE5AF9"/>
    <w:rsid w:val="00CE5E01"/>
    <w:rsid w:val="00CE6152"/>
    <w:rsid w:val="00CE61D2"/>
    <w:rsid w:val="00CE6395"/>
    <w:rsid w:val="00CE6553"/>
    <w:rsid w:val="00CE76EB"/>
    <w:rsid w:val="00CF1197"/>
    <w:rsid w:val="00CF471D"/>
    <w:rsid w:val="00D01AFB"/>
    <w:rsid w:val="00D02875"/>
    <w:rsid w:val="00D04149"/>
    <w:rsid w:val="00D07799"/>
    <w:rsid w:val="00D07825"/>
    <w:rsid w:val="00D104C8"/>
    <w:rsid w:val="00D1192A"/>
    <w:rsid w:val="00D13289"/>
    <w:rsid w:val="00D146B0"/>
    <w:rsid w:val="00D1498C"/>
    <w:rsid w:val="00D17F82"/>
    <w:rsid w:val="00D204F7"/>
    <w:rsid w:val="00D220E7"/>
    <w:rsid w:val="00D24D3D"/>
    <w:rsid w:val="00D301DF"/>
    <w:rsid w:val="00D30720"/>
    <w:rsid w:val="00D31D69"/>
    <w:rsid w:val="00D31D81"/>
    <w:rsid w:val="00D322E5"/>
    <w:rsid w:val="00D328B7"/>
    <w:rsid w:val="00D37727"/>
    <w:rsid w:val="00D37EDC"/>
    <w:rsid w:val="00D44FB6"/>
    <w:rsid w:val="00D468E1"/>
    <w:rsid w:val="00D52586"/>
    <w:rsid w:val="00D5313E"/>
    <w:rsid w:val="00D531B7"/>
    <w:rsid w:val="00D53388"/>
    <w:rsid w:val="00D53B77"/>
    <w:rsid w:val="00D56F67"/>
    <w:rsid w:val="00D57440"/>
    <w:rsid w:val="00D57487"/>
    <w:rsid w:val="00D60CF0"/>
    <w:rsid w:val="00D61401"/>
    <w:rsid w:val="00D6148F"/>
    <w:rsid w:val="00D64EC1"/>
    <w:rsid w:val="00D64F0C"/>
    <w:rsid w:val="00D6611B"/>
    <w:rsid w:val="00D6668C"/>
    <w:rsid w:val="00D669B3"/>
    <w:rsid w:val="00D71142"/>
    <w:rsid w:val="00D72A5B"/>
    <w:rsid w:val="00D72FF2"/>
    <w:rsid w:val="00D75A05"/>
    <w:rsid w:val="00D820F4"/>
    <w:rsid w:val="00D8506C"/>
    <w:rsid w:val="00D85A0A"/>
    <w:rsid w:val="00D8625E"/>
    <w:rsid w:val="00D90208"/>
    <w:rsid w:val="00D9140A"/>
    <w:rsid w:val="00D91EE5"/>
    <w:rsid w:val="00D92198"/>
    <w:rsid w:val="00D92FCB"/>
    <w:rsid w:val="00D93638"/>
    <w:rsid w:val="00D953CE"/>
    <w:rsid w:val="00D979D5"/>
    <w:rsid w:val="00D97B3F"/>
    <w:rsid w:val="00DA0425"/>
    <w:rsid w:val="00DA181A"/>
    <w:rsid w:val="00DA310C"/>
    <w:rsid w:val="00DA44DB"/>
    <w:rsid w:val="00DA4D60"/>
    <w:rsid w:val="00DA5F26"/>
    <w:rsid w:val="00DA7299"/>
    <w:rsid w:val="00DA7768"/>
    <w:rsid w:val="00DA7856"/>
    <w:rsid w:val="00DB0EB2"/>
    <w:rsid w:val="00DB2F07"/>
    <w:rsid w:val="00DB3512"/>
    <w:rsid w:val="00DB3EF5"/>
    <w:rsid w:val="00DB5300"/>
    <w:rsid w:val="00DB5EC2"/>
    <w:rsid w:val="00DB65C6"/>
    <w:rsid w:val="00DB66E3"/>
    <w:rsid w:val="00DC12A9"/>
    <w:rsid w:val="00DC30C5"/>
    <w:rsid w:val="00DC3662"/>
    <w:rsid w:val="00DC4A62"/>
    <w:rsid w:val="00DC5304"/>
    <w:rsid w:val="00DD02A5"/>
    <w:rsid w:val="00DD22FB"/>
    <w:rsid w:val="00DD2ACD"/>
    <w:rsid w:val="00DD2B3A"/>
    <w:rsid w:val="00DD32C5"/>
    <w:rsid w:val="00DD5496"/>
    <w:rsid w:val="00DD57FA"/>
    <w:rsid w:val="00DD6E59"/>
    <w:rsid w:val="00DD7794"/>
    <w:rsid w:val="00DE11C4"/>
    <w:rsid w:val="00DE1328"/>
    <w:rsid w:val="00DE176C"/>
    <w:rsid w:val="00DE32C2"/>
    <w:rsid w:val="00DE3C0C"/>
    <w:rsid w:val="00DE4305"/>
    <w:rsid w:val="00DE4720"/>
    <w:rsid w:val="00DE65FF"/>
    <w:rsid w:val="00DE67D9"/>
    <w:rsid w:val="00DF0458"/>
    <w:rsid w:val="00DF28B2"/>
    <w:rsid w:val="00DF2A46"/>
    <w:rsid w:val="00DF33A4"/>
    <w:rsid w:val="00DF7180"/>
    <w:rsid w:val="00DF7825"/>
    <w:rsid w:val="00E00139"/>
    <w:rsid w:val="00E0093A"/>
    <w:rsid w:val="00E00EC7"/>
    <w:rsid w:val="00E0144F"/>
    <w:rsid w:val="00E01B03"/>
    <w:rsid w:val="00E0476E"/>
    <w:rsid w:val="00E05F12"/>
    <w:rsid w:val="00E078C1"/>
    <w:rsid w:val="00E10A0C"/>
    <w:rsid w:val="00E11012"/>
    <w:rsid w:val="00E117DB"/>
    <w:rsid w:val="00E12A56"/>
    <w:rsid w:val="00E12AB1"/>
    <w:rsid w:val="00E13B0A"/>
    <w:rsid w:val="00E166A9"/>
    <w:rsid w:val="00E21614"/>
    <w:rsid w:val="00E2209B"/>
    <w:rsid w:val="00E22654"/>
    <w:rsid w:val="00E22987"/>
    <w:rsid w:val="00E24175"/>
    <w:rsid w:val="00E2552A"/>
    <w:rsid w:val="00E25B73"/>
    <w:rsid w:val="00E2615A"/>
    <w:rsid w:val="00E27591"/>
    <w:rsid w:val="00E30133"/>
    <w:rsid w:val="00E30696"/>
    <w:rsid w:val="00E3136D"/>
    <w:rsid w:val="00E321BF"/>
    <w:rsid w:val="00E32C58"/>
    <w:rsid w:val="00E33382"/>
    <w:rsid w:val="00E34429"/>
    <w:rsid w:val="00E35F20"/>
    <w:rsid w:val="00E36D46"/>
    <w:rsid w:val="00E41C13"/>
    <w:rsid w:val="00E4417C"/>
    <w:rsid w:val="00E4484F"/>
    <w:rsid w:val="00E46305"/>
    <w:rsid w:val="00E46AF4"/>
    <w:rsid w:val="00E46C2F"/>
    <w:rsid w:val="00E46D51"/>
    <w:rsid w:val="00E46E0F"/>
    <w:rsid w:val="00E47AB3"/>
    <w:rsid w:val="00E50DC9"/>
    <w:rsid w:val="00E50F8B"/>
    <w:rsid w:val="00E51B12"/>
    <w:rsid w:val="00E532C3"/>
    <w:rsid w:val="00E555EF"/>
    <w:rsid w:val="00E55981"/>
    <w:rsid w:val="00E5669D"/>
    <w:rsid w:val="00E56DB0"/>
    <w:rsid w:val="00E57470"/>
    <w:rsid w:val="00E63D18"/>
    <w:rsid w:val="00E6476E"/>
    <w:rsid w:val="00E654D0"/>
    <w:rsid w:val="00E668FA"/>
    <w:rsid w:val="00E67F25"/>
    <w:rsid w:val="00E72F44"/>
    <w:rsid w:val="00E733F9"/>
    <w:rsid w:val="00E75694"/>
    <w:rsid w:val="00E75720"/>
    <w:rsid w:val="00E75D14"/>
    <w:rsid w:val="00E75D50"/>
    <w:rsid w:val="00E80AC1"/>
    <w:rsid w:val="00E818A2"/>
    <w:rsid w:val="00E8254D"/>
    <w:rsid w:val="00E84084"/>
    <w:rsid w:val="00E84688"/>
    <w:rsid w:val="00E84A48"/>
    <w:rsid w:val="00E852D2"/>
    <w:rsid w:val="00E86649"/>
    <w:rsid w:val="00E90148"/>
    <w:rsid w:val="00E902BD"/>
    <w:rsid w:val="00E90512"/>
    <w:rsid w:val="00E914C7"/>
    <w:rsid w:val="00E962B0"/>
    <w:rsid w:val="00E97971"/>
    <w:rsid w:val="00E97C6B"/>
    <w:rsid w:val="00EA0975"/>
    <w:rsid w:val="00EA0E97"/>
    <w:rsid w:val="00EA2439"/>
    <w:rsid w:val="00EA4039"/>
    <w:rsid w:val="00EA439B"/>
    <w:rsid w:val="00EA53BF"/>
    <w:rsid w:val="00EA556C"/>
    <w:rsid w:val="00EA7B38"/>
    <w:rsid w:val="00EB022C"/>
    <w:rsid w:val="00EB05FE"/>
    <w:rsid w:val="00EB1796"/>
    <w:rsid w:val="00EB189D"/>
    <w:rsid w:val="00EB384F"/>
    <w:rsid w:val="00EB3B33"/>
    <w:rsid w:val="00EB4E1B"/>
    <w:rsid w:val="00EB5ECB"/>
    <w:rsid w:val="00EC075C"/>
    <w:rsid w:val="00EC104A"/>
    <w:rsid w:val="00EC2CE6"/>
    <w:rsid w:val="00EC49FC"/>
    <w:rsid w:val="00EC57CF"/>
    <w:rsid w:val="00EC72B6"/>
    <w:rsid w:val="00EC7AFA"/>
    <w:rsid w:val="00ED0367"/>
    <w:rsid w:val="00ED0701"/>
    <w:rsid w:val="00ED12F9"/>
    <w:rsid w:val="00ED2E02"/>
    <w:rsid w:val="00ED3B8E"/>
    <w:rsid w:val="00ED3C48"/>
    <w:rsid w:val="00ED5A18"/>
    <w:rsid w:val="00ED72CF"/>
    <w:rsid w:val="00ED746D"/>
    <w:rsid w:val="00EE0118"/>
    <w:rsid w:val="00EE0A82"/>
    <w:rsid w:val="00EE3E13"/>
    <w:rsid w:val="00EE661A"/>
    <w:rsid w:val="00EE67D0"/>
    <w:rsid w:val="00EE7107"/>
    <w:rsid w:val="00EF2380"/>
    <w:rsid w:val="00EF241F"/>
    <w:rsid w:val="00EF4062"/>
    <w:rsid w:val="00EF5434"/>
    <w:rsid w:val="00EF5D4D"/>
    <w:rsid w:val="00EF633E"/>
    <w:rsid w:val="00EF6CB5"/>
    <w:rsid w:val="00EF769B"/>
    <w:rsid w:val="00EF7A49"/>
    <w:rsid w:val="00F01AF1"/>
    <w:rsid w:val="00F020B8"/>
    <w:rsid w:val="00F03AB8"/>
    <w:rsid w:val="00F04EB0"/>
    <w:rsid w:val="00F0564E"/>
    <w:rsid w:val="00F06039"/>
    <w:rsid w:val="00F06A8D"/>
    <w:rsid w:val="00F11986"/>
    <w:rsid w:val="00F14286"/>
    <w:rsid w:val="00F15C7E"/>
    <w:rsid w:val="00F16D1B"/>
    <w:rsid w:val="00F21AFD"/>
    <w:rsid w:val="00F2284D"/>
    <w:rsid w:val="00F229EE"/>
    <w:rsid w:val="00F22B13"/>
    <w:rsid w:val="00F27466"/>
    <w:rsid w:val="00F30690"/>
    <w:rsid w:val="00F30706"/>
    <w:rsid w:val="00F32EDC"/>
    <w:rsid w:val="00F34C7F"/>
    <w:rsid w:val="00F3538C"/>
    <w:rsid w:val="00F359A5"/>
    <w:rsid w:val="00F368E8"/>
    <w:rsid w:val="00F402D2"/>
    <w:rsid w:val="00F4248B"/>
    <w:rsid w:val="00F438A9"/>
    <w:rsid w:val="00F43CCC"/>
    <w:rsid w:val="00F43F0E"/>
    <w:rsid w:val="00F45B3E"/>
    <w:rsid w:val="00F46929"/>
    <w:rsid w:val="00F47890"/>
    <w:rsid w:val="00F50E20"/>
    <w:rsid w:val="00F512D9"/>
    <w:rsid w:val="00F5227B"/>
    <w:rsid w:val="00F53D68"/>
    <w:rsid w:val="00F55D74"/>
    <w:rsid w:val="00F568DF"/>
    <w:rsid w:val="00F577A1"/>
    <w:rsid w:val="00F60DC6"/>
    <w:rsid w:val="00F62564"/>
    <w:rsid w:val="00F6623C"/>
    <w:rsid w:val="00F66970"/>
    <w:rsid w:val="00F67F5E"/>
    <w:rsid w:val="00F70053"/>
    <w:rsid w:val="00F702F9"/>
    <w:rsid w:val="00F7278E"/>
    <w:rsid w:val="00F72D79"/>
    <w:rsid w:val="00F73028"/>
    <w:rsid w:val="00F76B46"/>
    <w:rsid w:val="00F81DCB"/>
    <w:rsid w:val="00F831E2"/>
    <w:rsid w:val="00F83B14"/>
    <w:rsid w:val="00F852CF"/>
    <w:rsid w:val="00F8682E"/>
    <w:rsid w:val="00F86859"/>
    <w:rsid w:val="00F86E09"/>
    <w:rsid w:val="00F90026"/>
    <w:rsid w:val="00F905A3"/>
    <w:rsid w:val="00F905A6"/>
    <w:rsid w:val="00F91641"/>
    <w:rsid w:val="00F9164B"/>
    <w:rsid w:val="00F91BF6"/>
    <w:rsid w:val="00F947D0"/>
    <w:rsid w:val="00F94BFD"/>
    <w:rsid w:val="00F95A6B"/>
    <w:rsid w:val="00F96EB9"/>
    <w:rsid w:val="00F96F4B"/>
    <w:rsid w:val="00F97BE1"/>
    <w:rsid w:val="00FA0499"/>
    <w:rsid w:val="00FA3165"/>
    <w:rsid w:val="00FA33AE"/>
    <w:rsid w:val="00FA6710"/>
    <w:rsid w:val="00FA6855"/>
    <w:rsid w:val="00FA6923"/>
    <w:rsid w:val="00FA6A09"/>
    <w:rsid w:val="00FA748C"/>
    <w:rsid w:val="00FB0CA2"/>
    <w:rsid w:val="00FB100E"/>
    <w:rsid w:val="00FB2AD8"/>
    <w:rsid w:val="00FB61F4"/>
    <w:rsid w:val="00FC2292"/>
    <w:rsid w:val="00FC2405"/>
    <w:rsid w:val="00FC3510"/>
    <w:rsid w:val="00FC43F3"/>
    <w:rsid w:val="00FC715D"/>
    <w:rsid w:val="00FD01C2"/>
    <w:rsid w:val="00FD0C6C"/>
    <w:rsid w:val="00FD3DAD"/>
    <w:rsid w:val="00FD4122"/>
    <w:rsid w:val="00FD41B3"/>
    <w:rsid w:val="00FD4802"/>
    <w:rsid w:val="00FD54B4"/>
    <w:rsid w:val="00FD5BBC"/>
    <w:rsid w:val="00FD648E"/>
    <w:rsid w:val="00FD6E14"/>
    <w:rsid w:val="00FD745B"/>
    <w:rsid w:val="00FD75B4"/>
    <w:rsid w:val="00FE1D5B"/>
    <w:rsid w:val="00FE38B2"/>
    <w:rsid w:val="00FF0DF8"/>
    <w:rsid w:val="00FF12FE"/>
    <w:rsid w:val="00FF238A"/>
    <w:rsid w:val="00FF244D"/>
    <w:rsid w:val="00FF49A8"/>
    <w:rsid w:val="00FF55C5"/>
    <w:rsid w:val="00FF5F10"/>
    <w:rsid w:val="00FF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1A0C3A"/>
  <w14:defaultImageDpi w14:val="300"/>
  <w15:docId w15:val="{C6789552-1F86-464F-B9A5-1DDE276A2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697C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68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68D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127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livier1">
    <w:name w:val="Olivier 1"/>
    <w:basedOn w:val="Normal"/>
    <w:qFormat/>
    <w:rsid w:val="00185849"/>
    <w:pPr>
      <w:spacing w:after="80" w:line="276" w:lineRule="auto"/>
      <w:jc w:val="both"/>
    </w:pPr>
    <w:rPr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15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5C6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615C6"/>
    <w:rPr>
      <w:color w:val="808080"/>
    </w:rPr>
  </w:style>
  <w:style w:type="character" w:styleId="FootnoteReference">
    <w:name w:val="footnote reference"/>
    <w:basedOn w:val="DefaultParagraphFont"/>
    <w:uiPriority w:val="99"/>
    <w:unhideWhenUsed/>
    <w:rsid w:val="00DC4A6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6F649D"/>
  </w:style>
  <w:style w:type="character" w:customStyle="1" w:styleId="FootnoteTextChar">
    <w:name w:val="Footnote Text Char"/>
    <w:basedOn w:val="DefaultParagraphFont"/>
    <w:link w:val="FootnoteText"/>
    <w:uiPriority w:val="99"/>
    <w:rsid w:val="006F649D"/>
  </w:style>
  <w:style w:type="character" w:customStyle="1" w:styleId="Heading1Char">
    <w:name w:val="Heading 1 Char"/>
    <w:basedOn w:val="DefaultParagraphFont"/>
    <w:link w:val="Heading1"/>
    <w:uiPriority w:val="9"/>
    <w:rsid w:val="00A568D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568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4C513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733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272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72A5"/>
  </w:style>
  <w:style w:type="character" w:styleId="PageNumber">
    <w:name w:val="page number"/>
    <w:basedOn w:val="DefaultParagraphFont"/>
    <w:uiPriority w:val="99"/>
    <w:semiHidden/>
    <w:unhideWhenUsed/>
    <w:rsid w:val="009272A5"/>
  </w:style>
  <w:style w:type="paragraph" w:styleId="ListParagraph">
    <w:name w:val="List Paragraph"/>
    <w:basedOn w:val="Normal"/>
    <w:uiPriority w:val="34"/>
    <w:qFormat/>
    <w:rsid w:val="00CE5AF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67127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F727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278E"/>
  </w:style>
  <w:style w:type="paragraph" w:styleId="NormalWeb">
    <w:name w:val="Normal (Web)"/>
    <w:basedOn w:val="Normal"/>
    <w:uiPriority w:val="99"/>
    <w:unhideWhenUsed/>
    <w:rsid w:val="0088291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Default">
    <w:name w:val="Default"/>
    <w:rsid w:val="00990D5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3B33"/>
    <w:rPr>
      <w:color w:val="808080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1C0402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C52B5B"/>
    <w:rPr>
      <w:color w:val="800080" w:themeColor="followedHyperlink"/>
      <w:u w:val="single"/>
    </w:rPr>
  </w:style>
  <w:style w:type="paragraph" w:customStyle="1" w:styleId="articletime">
    <w:name w:val="article__time"/>
    <w:basedOn w:val="Normal"/>
    <w:rsid w:val="00C019BB"/>
    <w:pPr>
      <w:spacing w:before="100" w:beforeAutospacing="1" w:after="100" w:afterAutospacing="1"/>
    </w:pPr>
  </w:style>
  <w:style w:type="paragraph" w:customStyle="1" w:styleId="speaker">
    <w:name w:val="speaker"/>
    <w:basedOn w:val="Normal"/>
    <w:rsid w:val="00C019BB"/>
    <w:pPr>
      <w:spacing w:before="100" w:beforeAutospacing="1" w:after="100" w:afterAutospacing="1"/>
    </w:pPr>
  </w:style>
  <w:style w:type="paragraph" w:customStyle="1" w:styleId="location">
    <w:name w:val="location"/>
    <w:basedOn w:val="Normal"/>
    <w:rsid w:val="00C019BB"/>
    <w:pPr>
      <w:spacing w:before="100" w:beforeAutospacing="1" w:after="100" w:afterAutospacing="1"/>
    </w:pPr>
  </w:style>
  <w:style w:type="character" w:customStyle="1" w:styleId="author">
    <w:name w:val="author"/>
    <w:basedOn w:val="DefaultParagraphFont"/>
    <w:rsid w:val="00FF244D"/>
  </w:style>
  <w:style w:type="character" w:customStyle="1" w:styleId="year">
    <w:name w:val="year"/>
    <w:basedOn w:val="DefaultParagraphFont"/>
    <w:rsid w:val="00FF244D"/>
  </w:style>
  <w:style w:type="character" w:customStyle="1" w:styleId="Title1">
    <w:name w:val="Title1"/>
    <w:basedOn w:val="DefaultParagraphFont"/>
    <w:rsid w:val="00FF244D"/>
  </w:style>
  <w:style w:type="character" w:customStyle="1" w:styleId="journal">
    <w:name w:val="journal"/>
    <w:basedOn w:val="DefaultParagraphFont"/>
    <w:rsid w:val="00FF244D"/>
  </w:style>
  <w:style w:type="character" w:customStyle="1" w:styleId="vol">
    <w:name w:val="vol"/>
    <w:basedOn w:val="DefaultParagraphFont"/>
    <w:rsid w:val="00FF244D"/>
  </w:style>
  <w:style w:type="character" w:customStyle="1" w:styleId="pages">
    <w:name w:val="pages"/>
    <w:basedOn w:val="DefaultParagraphFont"/>
    <w:rsid w:val="00FF24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46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3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93263">
          <w:marLeft w:val="360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4549">
          <w:marLeft w:val="1440"/>
          <w:marRight w:val="0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2747">
          <w:marLeft w:val="1440"/>
          <w:marRight w:val="0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5678">
          <w:marLeft w:val="360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7361">
          <w:marLeft w:val="360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4043">
          <w:marLeft w:val="360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6508">
          <w:marLeft w:val="360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5722">
          <w:marLeft w:val="360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7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7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54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2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1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6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29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4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4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5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0471">
          <w:marLeft w:val="360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8368">
          <w:marLeft w:val="1440"/>
          <w:marRight w:val="0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030">
          <w:marLeft w:val="1440"/>
          <w:marRight w:val="0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7708">
          <w:marLeft w:val="360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6269">
          <w:marLeft w:val="360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2306">
          <w:marLeft w:val="360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7110">
          <w:marLeft w:val="360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1249">
          <w:marLeft w:val="360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8571">
          <w:marLeft w:val="360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0375">
          <w:marLeft w:val="360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4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463347">
          <w:marLeft w:val="1440"/>
          <w:marRight w:val="0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8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0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46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3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2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38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2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8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07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57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4444">
          <w:marLeft w:val="360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4122">
          <w:marLeft w:val="360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1735">
          <w:marLeft w:val="360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7227">
          <w:marLeft w:val="360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6199">
          <w:marLeft w:val="360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5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4494">
          <w:marLeft w:val="360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3791">
          <w:marLeft w:val="360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9486">
          <w:marLeft w:val="360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8948">
          <w:marLeft w:val="360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4047">
          <w:marLeft w:val="360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4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3528">
          <w:marLeft w:val="2261"/>
          <w:marRight w:val="0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6012">
          <w:marLeft w:val="2261"/>
          <w:marRight w:val="0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57288">
          <w:marLeft w:val="1440"/>
          <w:marRight w:val="0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67412">
          <w:marLeft w:val="1440"/>
          <w:marRight w:val="0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0460">
          <w:marLeft w:val="1440"/>
          <w:marRight w:val="0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7471">
          <w:marLeft w:val="1440"/>
          <w:marRight w:val="0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2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7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64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4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6.xml"/><Relationship Id="rId18" Type="http://schemas.openxmlformats.org/officeDocument/2006/relationships/hyperlink" Target="http://www.bankofengland.co.uk/-/media/boe/files/markets/sterling-monetary-framework/red-book" TargetMode="External"/><Relationship Id="rId26" Type="http://schemas.openxmlformats.org/officeDocument/2006/relationships/chart" Target="charts/chart16.xml"/><Relationship Id="rId39" Type="http://schemas.openxmlformats.org/officeDocument/2006/relationships/chart" Target="charts/chart29.xml"/><Relationship Id="rId21" Type="http://schemas.openxmlformats.org/officeDocument/2006/relationships/chart" Target="charts/chart11.xml"/><Relationship Id="rId34" Type="http://schemas.openxmlformats.org/officeDocument/2006/relationships/chart" Target="charts/chart24.xml"/><Relationship Id="rId42" Type="http://schemas.openxmlformats.org/officeDocument/2006/relationships/chart" Target="charts/chart32.xml"/><Relationship Id="rId47" Type="http://schemas.openxmlformats.org/officeDocument/2006/relationships/chart" Target="charts/chart37.xml"/><Relationship Id="rId50" Type="http://schemas.openxmlformats.org/officeDocument/2006/relationships/chart" Target="charts/chart40.xml"/><Relationship Id="rId55" Type="http://schemas.openxmlformats.org/officeDocument/2006/relationships/chart" Target="charts/chart45.xml"/><Relationship Id="rId63" Type="http://schemas.openxmlformats.org/officeDocument/2006/relationships/chart" Target="charts/chart53.xml"/><Relationship Id="rId68" Type="http://schemas.openxmlformats.org/officeDocument/2006/relationships/footer" Target="footer4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9" Type="http://schemas.openxmlformats.org/officeDocument/2006/relationships/chart" Target="charts/chart1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4.xml"/><Relationship Id="rId32" Type="http://schemas.openxmlformats.org/officeDocument/2006/relationships/chart" Target="charts/chart22.xml"/><Relationship Id="rId37" Type="http://schemas.openxmlformats.org/officeDocument/2006/relationships/chart" Target="charts/chart27.xml"/><Relationship Id="rId40" Type="http://schemas.openxmlformats.org/officeDocument/2006/relationships/chart" Target="charts/chart30.xml"/><Relationship Id="rId45" Type="http://schemas.openxmlformats.org/officeDocument/2006/relationships/chart" Target="charts/chart35.xml"/><Relationship Id="rId53" Type="http://schemas.openxmlformats.org/officeDocument/2006/relationships/chart" Target="charts/chart43.xml"/><Relationship Id="rId58" Type="http://schemas.openxmlformats.org/officeDocument/2006/relationships/chart" Target="charts/chart48.xml"/><Relationship Id="rId66" Type="http://schemas.openxmlformats.org/officeDocument/2006/relationships/chart" Target="charts/chart56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3.xml"/><Relationship Id="rId28" Type="http://schemas.openxmlformats.org/officeDocument/2006/relationships/chart" Target="charts/chart18.xml"/><Relationship Id="rId36" Type="http://schemas.openxmlformats.org/officeDocument/2006/relationships/chart" Target="charts/chart26.xml"/><Relationship Id="rId49" Type="http://schemas.openxmlformats.org/officeDocument/2006/relationships/chart" Target="charts/chart39.xml"/><Relationship Id="rId57" Type="http://schemas.openxmlformats.org/officeDocument/2006/relationships/chart" Target="charts/chart47.xml"/><Relationship Id="rId61" Type="http://schemas.openxmlformats.org/officeDocument/2006/relationships/chart" Target="charts/chart51.xml"/><Relationship Id="rId10" Type="http://schemas.openxmlformats.org/officeDocument/2006/relationships/chart" Target="charts/chart3.xml"/><Relationship Id="rId19" Type="http://schemas.openxmlformats.org/officeDocument/2006/relationships/chart" Target="charts/chart9.xml"/><Relationship Id="rId31" Type="http://schemas.openxmlformats.org/officeDocument/2006/relationships/chart" Target="charts/chart21.xml"/><Relationship Id="rId44" Type="http://schemas.openxmlformats.org/officeDocument/2006/relationships/chart" Target="charts/chart34.xml"/><Relationship Id="rId52" Type="http://schemas.openxmlformats.org/officeDocument/2006/relationships/chart" Target="charts/chart42.xml"/><Relationship Id="rId60" Type="http://schemas.openxmlformats.org/officeDocument/2006/relationships/chart" Target="charts/chart50.xml"/><Relationship Id="rId65" Type="http://schemas.openxmlformats.org/officeDocument/2006/relationships/chart" Target="charts/chart55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2.xml"/><Relationship Id="rId27" Type="http://schemas.openxmlformats.org/officeDocument/2006/relationships/chart" Target="charts/chart17.xml"/><Relationship Id="rId30" Type="http://schemas.openxmlformats.org/officeDocument/2006/relationships/chart" Target="charts/chart20.xml"/><Relationship Id="rId35" Type="http://schemas.openxmlformats.org/officeDocument/2006/relationships/chart" Target="charts/chart25.xml"/><Relationship Id="rId43" Type="http://schemas.openxmlformats.org/officeDocument/2006/relationships/chart" Target="charts/chart33.xml"/><Relationship Id="rId48" Type="http://schemas.openxmlformats.org/officeDocument/2006/relationships/chart" Target="charts/chart38.xml"/><Relationship Id="rId56" Type="http://schemas.openxmlformats.org/officeDocument/2006/relationships/chart" Target="charts/chart46.xml"/><Relationship Id="rId64" Type="http://schemas.openxmlformats.org/officeDocument/2006/relationships/chart" Target="charts/chart54.xml"/><Relationship Id="rId69" Type="http://schemas.openxmlformats.org/officeDocument/2006/relationships/fontTable" Target="fontTable.xml"/><Relationship Id="rId8" Type="http://schemas.openxmlformats.org/officeDocument/2006/relationships/chart" Target="charts/chart1.xml"/><Relationship Id="rId51" Type="http://schemas.openxmlformats.org/officeDocument/2006/relationships/chart" Target="charts/chart41.xml"/><Relationship Id="rId3" Type="http://schemas.openxmlformats.org/officeDocument/2006/relationships/styles" Target="styles.xml"/><Relationship Id="rId12" Type="http://schemas.openxmlformats.org/officeDocument/2006/relationships/chart" Target="charts/chart5.xml"/><Relationship Id="rId17" Type="http://schemas.openxmlformats.org/officeDocument/2006/relationships/footer" Target="footer2.xml"/><Relationship Id="rId25" Type="http://schemas.openxmlformats.org/officeDocument/2006/relationships/chart" Target="charts/chart15.xml"/><Relationship Id="rId33" Type="http://schemas.openxmlformats.org/officeDocument/2006/relationships/chart" Target="charts/chart23.xml"/><Relationship Id="rId38" Type="http://schemas.openxmlformats.org/officeDocument/2006/relationships/chart" Target="charts/chart28.xml"/><Relationship Id="rId46" Type="http://schemas.openxmlformats.org/officeDocument/2006/relationships/chart" Target="charts/chart36.xml"/><Relationship Id="rId59" Type="http://schemas.openxmlformats.org/officeDocument/2006/relationships/chart" Target="charts/chart49.xml"/><Relationship Id="rId67" Type="http://schemas.openxmlformats.org/officeDocument/2006/relationships/footer" Target="footer3.xml"/><Relationship Id="rId20" Type="http://schemas.openxmlformats.org/officeDocument/2006/relationships/chart" Target="charts/chart10.xml"/><Relationship Id="rId41" Type="http://schemas.openxmlformats.org/officeDocument/2006/relationships/chart" Target="charts/chart31.xml"/><Relationship Id="rId54" Type="http://schemas.openxmlformats.org/officeDocument/2006/relationships/chart" Target="charts/chart44.xml"/><Relationship Id="rId62" Type="http://schemas.openxmlformats.org/officeDocument/2006/relationships/chart" Target="charts/chart52.xml"/><Relationship Id="rId70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mf.org/external/np/exr/faq/facfaqs.htm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\\localhost\\Users\rceoxa01%201\Documents\stigma\data\Charts\data%20for%20Charts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\\localhost\\Users\rceoxa01%201\Documents\stigma\data\Charts\data%20for%20Charts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\\localhost\\Users\rceoxa01%201\Documents\stigma\data\Charts\data%20for%20Charts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\\localhost\\Users\rceoxa01%201\Documents\stigma\data\Charts\data%20for%20Charts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\\localhost\\Users\rceoxa01%201\Documents\stigma\data\Charts\data%20for%20Charts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\\localhost\\Users\rceoxa01%201\Documents\stigma\data\Charts\data%20for%20Charts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\\localhost\\Users\rceoxa01%201\Documents\stigma\data\Charts\data%20for%20Charts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\\localhost\\Users\rceoxa01%201\Documents\stigma\data\Charts\data%20for%20Charts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\\localhost\\Users\rceoxa01%201\Documents\stigma\data\Charts\data%20for%20Charts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\\localhost\\Users\rceoxa01%201\Documents\stigma\data\Charts\data%20for%20Charts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\\localhost\\Users\rceoxa01%201\Documents\stigma\data\Charts\data%20for%20Charts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\\localhost\\Users\rceoxa01%201\Documents\stigma\data\Charts\data%20for%20Charts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\\localhost\\Users\rceoxa01%201\Documents\stigma\data\Charts\data%20for%20Charts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\\localhost\\Users\rceoxa01%201\Documents\stigma\data\Charts\data%20for%20Charts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\\localhost\\Users\rceoxa01%201\Documents\stigma\data\Charts\data%20for%20Charts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\\localhost\\Users\rceoxa01%201\Documents\stigma\data\Charts\data%20for%20Charts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\\localhost\\Users\rceoxa01%201\Documents\stigma\data\Charts\data%20for%20Charts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\\localhost\\Users\rceoxa01%201\Documents\stigma\data\Charts\data%20for%20Charts.xlsx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\\localhost\\Users\rceoxa01%201\Documents\stigma\data\Charts\data%20for%20Charts.xlsx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\\localhost\\Users\rceoxa01%201\Documents\stigma\data\Charts\data%20for%20Charts.xlsx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\\localhost\\Users\rceoxa01%201\Documents\stigma\data\Charts\data%20for%20Charts.xlsx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file:///\\localhost\\Users\rceoxa01%201\Documents\stigma\data\Charts\data%20for%20Charts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\\localhost\\Users\rceoxa01%201\Documents\stigma\data\Charts\data%20for%20Charts.xlsx" TargetMode="External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oleObject" Target="file:///\\localhost\\Users\rceoxa01%201\Documents\stigma\data\Charts\data%20for%20Charts.xlsx" TargetMode="External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oleObject" Target="file:///\\localhost\\Users\rceoxa01%201\Documents\stigma\data\Charts\data%20for%20Charts.xlsx" TargetMode="External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oleObject" Target="file:///\\localhost\\Users\rceoxa01%201\Documents\stigma\data\Charts\data%20for%20Charts.xlsx" TargetMode="External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oleObject" Target="file:///\\localhost\\Users\rceoxa01%201\Documents\stigma\data\Charts\data%20for%20Charts.xlsx" TargetMode="External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oleObject" Target="file:///\\localhost\\Users\rceoxa01%201\Documents\stigma\data\Charts\data%20for%20Charts.xlsx" TargetMode="External"/></Relationships>
</file>

<file path=word/charts/_rels/chart35.xml.rels><?xml version="1.0" encoding="UTF-8" standalone="yes"?>
<Relationships xmlns="http://schemas.openxmlformats.org/package/2006/relationships"><Relationship Id="rId1" Type="http://schemas.openxmlformats.org/officeDocument/2006/relationships/oleObject" Target="file:///\\localhost\\Users\rceoxa01%201\Documents\stigma\data\Charts\data%20for%20Charts.xlsx" TargetMode="External"/></Relationships>
</file>

<file path=word/charts/_rels/chart36.xml.rels><?xml version="1.0" encoding="UTF-8" standalone="yes"?>
<Relationships xmlns="http://schemas.openxmlformats.org/package/2006/relationships"><Relationship Id="rId1" Type="http://schemas.openxmlformats.org/officeDocument/2006/relationships/oleObject" Target="file:///\\localhost\\Users\rceoxa01%201\Documents\stigma\data\Charts\data%20for%20Charts.xlsx" TargetMode="External"/></Relationships>
</file>

<file path=word/charts/_rels/chart37.xml.rels><?xml version="1.0" encoding="UTF-8" standalone="yes"?>
<Relationships xmlns="http://schemas.openxmlformats.org/package/2006/relationships"><Relationship Id="rId1" Type="http://schemas.openxmlformats.org/officeDocument/2006/relationships/oleObject" Target="file:///\\localhost\\Users\rceoxa01%201\Documents\stigma\data\Charts\data%20for%20Charts.xlsx" TargetMode="External"/></Relationships>
</file>

<file path=word/charts/_rels/chart38.xml.rels><?xml version="1.0" encoding="UTF-8" standalone="yes"?>
<Relationships xmlns="http://schemas.openxmlformats.org/package/2006/relationships"><Relationship Id="rId1" Type="http://schemas.openxmlformats.org/officeDocument/2006/relationships/oleObject" Target="file:///\\localhost\\Users\rceoxa01%201\Documents\stigma\data\Charts\data%20for%20Charts.xlsx" TargetMode="External"/></Relationships>
</file>

<file path=word/charts/_rels/chart39.xml.rels><?xml version="1.0" encoding="UTF-8" standalone="yes"?>
<Relationships xmlns="http://schemas.openxmlformats.org/package/2006/relationships"><Relationship Id="rId1" Type="http://schemas.openxmlformats.org/officeDocument/2006/relationships/oleObject" Target="file:///\\localhost\\Users\rceoxa01%201\Documents\stigma\data\Charts\data%20for%20Charts.xlsx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oleObject" Target="file:///\\localhost\\Users\rceoxa01%201\Documents\stigma\data\Charts\data%20for%20Charts.xlsx" TargetMode="External"/></Relationships>
</file>

<file path=word/charts/_rels/chart40.xml.rels><?xml version="1.0" encoding="UTF-8" standalone="yes"?>
<Relationships xmlns="http://schemas.openxmlformats.org/package/2006/relationships"><Relationship Id="rId1" Type="http://schemas.openxmlformats.org/officeDocument/2006/relationships/oleObject" Target="file:///\\localhost\\Users\rceoxa01%201\Documents\stigma\data\Charts\data%20for%20Charts.xlsx" TargetMode="External"/></Relationships>
</file>

<file path=word/charts/_rels/chart41.xml.rels><?xml version="1.0" encoding="UTF-8" standalone="yes"?>
<Relationships xmlns="http://schemas.openxmlformats.org/package/2006/relationships"><Relationship Id="rId1" Type="http://schemas.openxmlformats.org/officeDocument/2006/relationships/oleObject" Target="file:///\\localhost\\Users\rceoxa01%201\Documents\stigma\data\Charts\data%20for%20Charts.xlsx" TargetMode="External"/></Relationships>
</file>

<file path=word/charts/_rels/chart42.xml.rels><?xml version="1.0" encoding="UTF-8" standalone="yes"?>
<Relationships xmlns="http://schemas.openxmlformats.org/package/2006/relationships"><Relationship Id="rId1" Type="http://schemas.openxmlformats.org/officeDocument/2006/relationships/oleObject" Target="file:///\\localhost\\Users\rceoxa01%201\Documents\stigma\data\Charts\data%20for%20Charts.xlsx" TargetMode="External"/></Relationships>
</file>

<file path=word/charts/_rels/chart43.xml.rels><?xml version="1.0" encoding="UTF-8" standalone="yes"?>
<Relationships xmlns="http://schemas.openxmlformats.org/package/2006/relationships"><Relationship Id="rId1" Type="http://schemas.openxmlformats.org/officeDocument/2006/relationships/oleObject" Target="file:///\\localhost\\Users\rceoxa01%201\Documents\stigma\data\Charts\data%20for%20Charts.xlsx" TargetMode="External"/></Relationships>
</file>

<file path=word/charts/_rels/chart44.xml.rels><?xml version="1.0" encoding="UTF-8" standalone="yes"?>
<Relationships xmlns="http://schemas.openxmlformats.org/package/2006/relationships"><Relationship Id="rId1" Type="http://schemas.openxmlformats.org/officeDocument/2006/relationships/oleObject" Target="file:///\\localhost\\Users\rceoxa01%201\Documents\stigma\data\Charts\data%20for%20Charts.xlsx" TargetMode="External"/></Relationships>
</file>

<file path=word/charts/_rels/chart45.xml.rels><?xml version="1.0" encoding="UTF-8" standalone="yes"?>
<Relationships xmlns="http://schemas.openxmlformats.org/package/2006/relationships"><Relationship Id="rId1" Type="http://schemas.openxmlformats.org/officeDocument/2006/relationships/oleObject" Target="file:///\\localhost\\Users\rceoxa01%201\Documents\stigma\data\Charts\data%20for%20Charts.xlsx" TargetMode="External"/></Relationships>
</file>

<file path=word/charts/_rels/chart46.xml.rels><?xml version="1.0" encoding="UTF-8" standalone="yes"?>
<Relationships xmlns="http://schemas.openxmlformats.org/package/2006/relationships"><Relationship Id="rId1" Type="http://schemas.openxmlformats.org/officeDocument/2006/relationships/oleObject" Target="file:///\\localhost\\Users\rceoxa01%201\Documents\stigma\data\Charts\data%20for%20Charts.xlsx" TargetMode="External"/></Relationships>
</file>

<file path=word/charts/_rels/chart47.xml.rels><?xml version="1.0" encoding="UTF-8" standalone="yes"?>
<Relationships xmlns="http://schemas.openxmlformats.org/package/2006/relationships"><Relationship Id="rId1" Type="http://schemas.openxmlformats.org/officeDocument/2006/relationships/oleObject" Target="file:///\\localhost\\Users\rceoxa01%201\Documents\stigma\data\Charts\data%20for%20Charts.xlsx" TargetMode="External"/></Relationships>
</file>

<file path=word/charts/_rels/chart48.xml.rels><?xml version="1.0" encoding="UTF-8" standalone="yes"?>
<Relationships xmlns="http://schemas.openxmlformats.org/package/2006/relationships"><Relationship Id="rId1" Type="http://schemas.openxmlformats.org/officeDocument/2006/relationships/oleObject" Target="file:///\\localhost\\Users\rceoxa01%201\Documents\stigma\data\Charts\data%20for%20Charts.xlsx" TargetMode="External"/></Relationships>
</file>

<file path=word/charts/_rels/chart49.xml.rels><?xml version="1.0" encoding="UTF-8" standalone="yes"?>
<Relationships xmlns="http://schemas.openxmlformats.org/package/2006/relationships"><Relationship Id="rId1" Type="http://schemas.openxmlformats.org/officeDocument/2006/relationships/oleObject" Target="file:///\\localhost\\Users\rceoxa01%201\Documents\stigma\data\Charts\data%20for%20Charts.xlsx" TargetMode="Externa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5.xml"/><Relationship Id="rId1" Type="http://schemas.openxmlformats.org/officeDocument/2006/relationships/oleObject" Target="file:///\\localhost\\Users\rceoxa01%201\Documents\stigma\data\Charts\data%20for%20Charts.xlsx" TargetMode="External"/></Relationships>
</file>

<file path=word/charts/_rels/chart50.xml.rels><?xml version="1.0" encoding="UTF-8" standalone="yes"?>
<Relationships xmlns="http://schemas.openxmlformats.org/package/2006/relationships"><Relationship Id="rId1" Type="http://schemas.openxmlformats.org/officeDocument/2006/relationships/oleObject" Target="file:///\\localhost\\Users\rceoxa01%201\Documents\stigma\data\Charts\data%20for%20Charts.xlsx" TargetMode="External"/></Relationships>
</file>

<file path=word/charts/_rels/chart51.xml.rels><?xml version="1.0" encoding="UTF-8" standalone="yes"?>
<Relationships xmlns="http://schemas.openxmlformats.org/package/2006/relationships"><Relationship Id="rId1" Type="http://schemas.openxmlformats.org/officeDocument/2006/relationships/oleObject" Target="file:///\\localhost\\Users\rceoxa01%201\Documents\stigma\data\Charts\data%20for%20Charts.xlsx" TargetMode="External"/></Relationships>
</file>

<file path=word/charts/_rels/chart52.xml.rels><?xml version="1.0" encoding="UTF-8" standalone="yes"?>
<Relationships xmlns="http://schemas.openxmlformats.org/package/2006/relationships"><Relationship Id="rId1" Type="http://schemas.openxmlformats.org/officeDocument/2006/relationships/oleObject" Target="file:///\\localhost\\Users\rceoxa01%201\Documents\stigma\data\Charts\data%20for%20Charts.xlsx" TargetMode="External"/></Relationships>
</file>

<file path=word/charts/_rels/chart53.xml.rels><?xml version="1.0" encoding="UTF-8" standalone="yes"?>
<Relationships xmlns="http://schemas.openxmlformats.org/package/2006/relationships"><Relationship Id="rId1" Type="http://schemas.openxmlformats.org/officeDocument/2006/relationships/oleObject" Target="file:///\\localhost\\Users\rceoxa01%201\Documents\stigma\data\Charts\data%20for%20Charts.xlsx" TargetMode="External"/></Relationships>
</file>

<file path=word/charts/_rels/chart54.xml.rels><?xml version="1.0" encoding="UTF-8" standalone="yes"?>
<Relationships xmlns="http://schemas.openxmlformats.org/package/2006/relationships"><Relationship Id="rId1" Type="http://schemas.openxmlformats.org/officeDocument/2006/relationships/oleObject" Target="file:///\\localhost\\Users\rceoxa01%201\Documents\stigma\data\Charts\data%20for%20Charts.xlsx" TargetMode="External"/></Relationships>
</file>

<file path=word/charts/_rels/chart55.xml.rels><?xml version="1.0" encoding="UTF-8" standalone="yes"?>
<Relationships xmlns="http://schemas.openxmlformats.org/package/2006/relationships"><Relationship Id="rId1" Type="http://schemas.openxmlformats.org/officeDocument/2006/relationships/oleObject" Target="file:///\\localhost\\Users\rceoxa01%201\Documents\stigma\data\Charts\data%20for%20Charts.xlsx" TargetMode="External"/></Relationships>
</file>

<file path=word/charts/_rels/chart56.xml.rels><?xml version="1.0" encoding="UTF-8" standalone="yes"?>
<Relationships xmlns="http://schemas.openxmlformats.org/package/2006/relationships"><Relationship Id="rId1" Type="http://schemas.openxmlformats.org/officeDocument/2006/relationships/oleObject" Target="file:///\\localhost\\Users\rceoxa01%201\Documents\stigma\data\Charts\data%20for%20Charts.xlsx" TargetMode="Externa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6.xml"/><Relationship Id="rId1" Type="http://schemas.openxmlformats.org/officeDocument/2006/relationships/oleObject" Target="file:///\\localhost\\Users\rceoxa01%201\Documents\stigma\data\Charts\data%20for%20Charts.xlsx" TargetMode="Externa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7.xml"/><Relationship Id="rId1" Type="http://schemas.openxmlformats.org/officeDocument/2006/relationships/oleObject" Target="file:///\\localhost\\Users\rceoxa01%201\Documents\stigma\data\Charts\data%20for%20Charts.xlsx" TargetMode="Externa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8.xml"/><Relationship Id="rId1" Type="http://schemas.openxmlformats.org/officeDocument/2006/relationships/oleObject" Target="file:///\\localhost\\Users\rceoxa01%201\Documents\stigma\data\Charts\data%20for%20Charts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\\localhost\\Users\rceoxa01%201\Documents\stigma\data\Charts\data%20for%20Chart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 algn="ctr">
              <a:defRPr/>
            </a:pPr>
            <a:r>
              <a:rPr lang="en-US" sz="1000" b="0" i="0" baseline="0">
                <a:effectLst/>
              </a:rPr>
              <a:t>Investors</a:t>
            </a:r>
            <a:r>
              <a:rPr lang="en-US" sz="1000" b="0" i="0" u="none" strike="noStrike" kern="1200" baseline="0">
                <a:solidFill>
                  <a:sysClr val="windowText" lastClr="000000"/>
                </a:solidFill>
                <a:effectLst/>
                <a:latin typeface="+mn-lt"/>
                <a:ea typeface="+mn-ea"/>
                <a:cs typeface="+mn-cs"/>
              </a:rPr>
              <a:t> </a:t>
            </a:r>
            <a:r>
              <a:rPr lang="en-US" sz="1000" b="0" i="0" baseline="0">
                <a:effectLst/>
              </a:rPr>
              <a:t>Behavior</a:t>
            </a:r>
            <a:r>
              <a:rPr lang="en-US" sz="1000" b="0" i="0" u="none" strike="noStrike" kern="1200" baseline="0">
                <a:solidFill>
                  <a:sysClr val="windowText" lastClr="000000"/>
                </a:solidFill>
                <a:effectLst/>
                <a:latin typeface="+mn-lt"/>
                <a:ea typeface="+mn-ea"/>
                <a:cs typeface="+mn-cs"/>
              </a:rPr>
              <a:t> </a:t>
            </a:r>
            <a:endParaRPr lang="en-US" sz="1000" baseline="50000"/>
          </a:p>
        </c:rich>
      </c:tx>
      <c:layout>
        <c:manualLayout>
          <c:xMode val="edge"/>
          <c:yMode val="edge"/>
          <c:x val="0.31832256544854998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24352917423784"/>
          <c:y val="8.4180748250329201E-2"/>
          <c:w val="0.83816845009758401"/>
          <c:h val="0.74132326435446205"/>
        </c:manualLayout>
      </c:layout>
      <c:scatterChart>
        <c:scatterStyle val="smoothMarker"/>
        <c:varyColors val="0"/>
        <c:ser>
          <c:idx val="0"/>
          <c:order val="0"/>
          <c:tx>
            <c:strRef>
              <c:f>T0!$AX$1</c:f>
              <c:strCache>
                <c:ptCount val="1"/>
                <c:pt idx="0">
                  <c:v>Fund if DW not detected</c:v>
                </c:pt>
              </c:strCache>
            </c:strRef>
          </c:tx>
          <c:spPr>
            <a:ln w="12700">
              <a:solidFill>
                <a:srgbClr val="FF0000"/>
              </a:solidFill>
            </a:ln>
            <a:effectLst/>
          </c:spPr>
          <c:marker>
            <c:symbol val="circle"/>
            <c:size val="5"/>
            <c:spPr>
              <a:solidFill>
                <a:srgbClr val="FF0000"/>
              </a:solidFill>
              <a:ln>
                <a:solidFill>
                  <a:srgbClr val="FF0000"/>
                </a:solidFill>
              </a:ln>
              <a:effectLst/>
            </c:spPr>
          </c:marker>
          <c:xVal>
            <c:numRef>
              <c:f>T0!$AU$2:$AU$26</c:f>
              <c:numCache>
                <c:formatCode>General</c:formatCode>
                <c:ptCount val="2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</c:numCache>
            </c:numRef>
          </c:xVal>
          <c:yVal>
            <c:numRef>
              <c:f>T0!$AX$2:$AX$26</c:f>
              <c:numCache>
                <c:formatCode>0.0%</c:formatCode>
                <c:ptCount val="25"/>
                <c:pt idx="0">
                  <c:v>0.80555555555555602</c:v>
                </c:pt>
                <c:pt idx="1">
                  <c:v>0.72222222222222199</c:v>
                </c:pt>
                <c:pt idx="2">
                  <c:v>0.83333333333333304</c:v>
                </c:pt>
                <c:pt idx="3">
                  <c:v>0.83333333333333304</c:v>
                </c:pt>
                <c:pt idx="4">
                  <c:v>0.77777777777777801</c:v>
                </c:pt>
                <c:pt idx="5">
                  <c:v>0.77777777777777801</c:v>
                </c:pt>
                <c:pt idx="6">
                  <c:v>0.75</c:v>
                </c:pt>
                <c:pt idx="7">
                  <c:v>0.83333333333333304</c:v>
                </c:pt>
                <c:pt idx="8">
                  <c:v>0.80555555555555602</c:v>
                </c:pt>
                <c:pt idx="9">
                  <c:v>0.91666666666666596</c:v>
                </c:pt>
                <c:pt idx="10">
                  <c:v>0.80555555555555602</c:v>
                </c:pt>
                <c:pt idx="11">
                  <c:v>0.91666666666666596</c:v>
                </c:pt>
                <c:pt idx="12">
                  <c:v>0.83333333333333304</c:v>
                </c:pt>
                <c:pt idx="13">
                  <c:v>0.83333333333333304</c:v>
                </c:pt>
                <c:pt idx="14">
                  <c:v>0.86111111111111105</c:v>
                </c:pt>
                <c:pt idx="15">
                  <c:v>0.86111111111111105</c:v>
                </c:pt>
                <c:pt idx="16">
                  <c:v>0.91666666666666696</c:v>
                </c:pt>
                <c:pt idx="17">
                  <c:v>0.86111111111111105</c:v>
                </c:pt>
                <c:pt idx="18">
                  <c:v>0.88888888888888895</c:v>
                </c:pt>
                <c:pt idx="19">
                  <c:v>0.77777777777777801</c:v>
                </c:pt>
                <c:pt idx="20">
                  <c:v>0.88888888888888895</c:v>
                </c:pt>
                <c:pt idx="21">
                  <c:v>0.77777777777777801</c:v>
                </c:pt>
                <c:pt idx="22">
                  <c:v>0.83333333333333304</c:v>
                </c:pt>
                <c:pt idx="23">
                  <c:v>0.80555555555555602</c:v>
                </c:pt>
                <c:pt idx="24">
                  <c:v>0.91666666666666596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A788-5448-B2FB-62E703737011}"/>
            </c:ext>
          </c:extLst>
        </c:ser>
        <c:ser>
          <c:idx val="1"/>
          <c:order val="1"/>
          <c:tx>
            <c:strRef>
              <c:f>T0!$AY$1</c:f>
              <c:strCache>
                <c:ptCount val="1"/>
                <c:pt idx="0">
                  <c:v>Fund if DW detected</c:v>
                </c:pt>
              </c:strCache>
            </c:strRef>
          </c:tx>
          <c:spPr>
            <a:ln w="12700" cmpd="sng">
              <a:solidFill>
                <a:srgbClr val="FF9300"/>
              </a:solidFill>
            </a:ln>
            <a:effectLst/>
          </c:spPr>
          <c:marker>
            <c:symbol val="circle"/>
            <c:size val="5"/>
            <c:spPr>
              <a:solidFill>
                <a:schemeClr val="bg1"/>
              </a:solidFill>
              <a:ln w="12700">
                <a:solidFill>
                  <a:srgbClr val="FF9300"/>
                </a:solidFill>
              </a:ln>
              <a:effectLst/>
            </c:spPr>
          </c:marker>
          <c:xVal>
            <c:numRef>
              <c:f>T0!$AU$2:$AU$26</c:f>
              <c:numCache>
                <c:formatCode>General</c:formatCode>
                <c:ptCount val="2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</c:numCache>
            </c:numRef>
          </c:xVal>
          <c:yVal>
            <c:numRef>
              <c:f>T0!$AY$2:$AY$26</c:f>
              <c:numCache>
                <c:formatCode>0.0%</c:formatCode>
                <c:ptCount val="25"/>
                <c:pt idx="0">
                  <c:v>0.52777777777777801</c:v>
                </c:pt>
                <c:pt idx="1">
                  <c:v>0.41666666666666702</c:v>
                </c:pt>
                <c:pt idx="2">
                  <c:v>0.38888888888888901</c:v>
                </c:pt>
                <c:pt idx="3">
                  <c:v>0.30555555555555503</c:v>
                </c:pt>
                <c:pt idx="4">
                  <c:v>0.30555555555555503</c:v>
                </c:pt>
                <c:pt idx="5">
                  <c:v>0.16666666666666699</c:v>
                </c:pt>
                <c:pt idx="6">
                  <c:v>0.22222222222222199</c:v>
                </c:pt>
                <c:pt idx="7">
                  <c:v>0.194444444444444</c:v>
                </c:pt>
                <c:pt idx="8">
                  <c:v>0.13888888888888901</c:v>
                </c:pt>
                <c:pt idx="9">
                  <c:v>0.16666666666666699</c:v>
                </c:pt>
                <c:pt idx="10">
                  <c:v>0.13888888888888901</c:v>
                </c:pt>
                <c:pt idx="11">
                  <c:v>0.11111111111111099</c:v>
                </c:pt>
                <c:pt idx="12">
                  <c:v>8.3333333333333301E-2</c:v>
                </c:pt>
                <c:pt idx="13">
                  <c:v>2.7777777777777801E-2</c:v>
                </c:pt>
                <c:pt idx="14">
                  <c:v>0.11111111111111099</c:v>
                </c:pt>
                <c:pt idx="15">
                  <c:v>2.7777777777777801E-2</c:v>
                </c:pt>
                <c:pt idx="16">
                  <c:v>5.5555555555555497E-2</c:v>
                </c:pt>
                <c:pt idx="17">
                  <c:v>2.7777777777777801E-2</c:v>
                </c:pt>
                <c:pt idx="18">
                  <c:v>0.11111111111111099</c:v>
                </c:pt>
                <c:pt idx="19">
                  <c:v>2.7777777777777801E-2</c:v>
                </c:pt>
                <c:pt idx="20">
                  <c:v>5.5555555555555497E-2</c:v>
                </c:pt>
                <c:pt idx="21">
                  <c:v>0</c:v>
                </c:pt>
                <c:pt idx="22">
                  <c:v>8.3333333333333301E-2</c:v>
                </c:pt>
                <c:pt idx="23">
                  <c:v>0</c:v>
                </c:pt>
                <c:pt idx="24">
                  <c:v>2.7777777777777801E-2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A788-5448-B2FB-62E703737011}"/>
            </c:ext>
          </c:extLst>
        </c:ser>
        <c:ser>
          <c:idx val="2"/>
          <c:order val="2"/>
          <c:tx>
            <c:strRef>
              <c:f>T0!$AX$1</c:f>
              <c:strCache>
                <c:ptCount val="1"/>
                <c:pt idx="0">
                  <c:v>Fund if DW not detected</c:v>
                </c:pt>
              </c:strCache>
            </c:strRef>
          </c:tx>
          <c:spPr>
            <a:ln w="15875">
              <a:solidFill>
                <a:srgbClr val="FF0000"/>
              </a:solidFill>
            </a:ln>
          </c:spPr>
          <c:marker>
            <c:symbol val="none"/>
          </c:marker>
          <c:xVal>
            <c:numRef>
              <c:f>T0!$BG$28:$BG$29</c:f>
              <c:numCache>
                <c:formatCode>General</c:formatCode>
                <c:ptCount val="2"/>
                <c:pt idx="0">
                  <c:v>1</c:v>
                </c:pt>
                <c:pt idx="1">
                  <c:v>25</c:v>
                </c:pt>
              </c:numCache>
            </c:numRef>
          </c:xVal>
          <c:yVal>
            <c:numRef>
              <c:f>T0!$BH$28:$BH$29</c:f>
              <c:numCache>
                <c:formatCode>General</c:formatCode>
                <c:ptCount val="2"/>
                <c:pt idx="0">
                  <c:v>1</c:v>
                </c:pt>
                <c:pt idx="1">
                  <c:v>1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2-A788-5448-B2FB-62E703737011}"/>
            </c:ext>
          </c:extLst>
        </c:ser>
        <c:ser>
          <c:idx val="3"/>
          <c:order val="3"/>
          <c:tx>
            <c:strRef>
              <c:f>T0!$AY$1</c:f>
              <c:strCache>
                <c:ptCount val="1"/>
                <c:pt idx="0">
                  <c:v>Fund if DW detected</c:v>
                </c:pt>
              </c:strCache>
            </c:strRef>
          </c:tx>
          <c:spPr>
            <a:ln w="15875">
              <a:solidFill>
                <a:srgbClr val="FF9300"/>
              </a:solidFill>
            </a:ln>
          </c:spPr>
          <c:marker>
            <c:symbol val="none"/>
          </c:marker>
          <c:xVal>
            <c:numRef>
              <c:f>T0!$BG$31:$BG$32</c:f>
              <c:numCache>
                <c:formatCode>General</c:formatCode>
                <c:ptCount val="2"/>
                <c:pt idx="0">
                  <c:v>1</c:v>
                </c:pt>
                <c:pt idx="1">
                  <c:v>25</c:v>
                </c:pt>
              </c:numCache>
            </c:numRef>
          </c:xVal>
          <c:yVal>
            <c:numRef>
              <c:f>T0!$BH$31:$BH$32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3-A788-5448-B2FB-62E70373701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114621144"/>
        <c:axId val="2120348264"/>
      </c:scatterChart>
      <c:valAx>
        <c:axId val="2114621144"/>
        <c:scaling>
          <c:orientation val="minMax"/>
          <c:max val="25"/>
          <c:min val="1"/>
        </c:scaling>
        <c:delete val="0"/>
        <c:axPos val="b"/>
        <c:title>
          <c:tx>
            <c:rich>
              <a:bodyPr/>
              <a:lstStyle/>
              <a:p>
                <a:pPr>
                  <a:defRPr sz="800" b="0"/>
                </a:pPr>
                <a:r>
                  <a:rPr lang="en-US" sz="800" b="0"/>
                  <a:t>Round</a:t>
                </a:r>
              </a:p>
            </c:rich>
          </c:tx>
          <c:layout>
            <c:manualLayout>
              <c:xMode val="edge"/>
              <c:yMode val="edge"/>
              <c:x val="0.47010498687664098"/>
              <c:y val="0.86981096791905499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6350"/>
        </c:spPr>
        <c:txPr>
          <a:bodyPr/>
          <a:lstStyle/>
          <a:p>
            <a:pPr>
              <a:defRPr sz="500"/>
            </a:pPr>
            <a:endParaRPr lang="en-US"/>
          </a:p>
        </c:txPr>
        <c:crossAx val="2120348264"/>
        <c:crosses val="autoZero"/>
        <c:crossBetween val="midCat"/>
        <c:majorUnit val="1"/>
      </c:valAx>
      <c:valAx>
        <c:axId val="2120348264"/>
        <c:scaling>
          <c:orientation val="minMax"/>
          <c:max val="1"/>
        </c:scaling>
        <c:delete val="0"/>
        <c:axPos val="l"/>
        <c:majorGridlines>
          <c:spPr>
            <a:ln w="6350"/>
          </c:spPr>
        </c:majorGridlines>
        <c:title>
          <c:tx>
            <c:rich>
              <a:bodyPr rot="-5400000" vert="horz"/>
              <a:lstStyle/>
              <a:p>
                <a:pPr>
                  <a:defRPr sz="800" b="0"/>
                </a:pPr>
                <a:r>
                  <a:rPr lang="en-US" sz="800" b="0" i="0" u="none" strike="noStrike" baseline="0">
                    <a:effectLst/>
                  </a:rPr>
                  <a:t>Percent</a:t>
                </a:r>
                <a:r>
                  <a:rPr lang="en-US" sz="800" b="0" i="0" u="none" strike="noStrike" kern="1200" baseline="0">
                    <a:solidFill>
                      <a:sysClr val="windowText" lastClr="000000"/>
                    </a:solidFill>
                    <a:effectLst/>
                    <a:latin typeface="+mn-lt"/>
                    <a:ea typeface="+mn-ea"/>
                    <a:cs typeface="+mn-cs"/>
                  </a:rPr>
                  <a:t> </a:t>
                </a:r>
                <a:r>
                  <a:rPr lang="en-US" sz="800" b="0" i="0" u="none" strike="noStrike" baseline="0">
                    <a:effectLst/>
                  </a:rPr>
                  <a:t>of</a:t>
                </a:r>
                <a:r>
                  <a:rPr lang="en-US" sz="800" b="0" i="0" u="none" strike="noStrike" kern="1200" baseline="0">
                    <a:solidFill>
                      <a:sysClr val="windowText" lastClr="000000"/>
                    </a:solidFill>
                    <a:effectLst/>
                    <a:latin typeface="+mn-lt"/>
                    <a:ea typeface="+mn-ea"/>
                    <a:cs typeface="+mn-cs"/>
                  </a:rPr>
                  <a:t> </a:t>
                </a:r>
                <a:r>
                  <a:rPr lang="en-US" sz="800" b="0" i="0" u="none" strike="noStrike" baseline="0">
                    <a:effectLst/>
                  </a:rPr>
                  <a:t>Investors</a:t>
                </a:r>
                <a:r>
                  <a:rPr lang="en-US" sz="800" b="0" i="0" u="none" strike="noStrike" kern="1200" baseline="0">
                    <a:solidFill>
                      <a:sysClr val="windowText" lastClr="000000"/>
                    </a:solidFill>
                    <a:effectLst/>
                    <a:latin typeface="+mn-lt"/>
                    <a:ea typeface="+mn-ea"/>
                    <a:cs typeface="+mn-cs"/>
                  </a:rPr>
                  <a:t> </a:t>
                </a:r>
                <a:r>
                  <a:rPr lang="en-US" sz="800" b="0" i="0" u="none" strike="noStrike" baseline="0">
                    <a:effectLst/>
                  </a:rPr>
                  <a:t>that</a:t>
                </a:r>
                <a:r>
                  <a:rPr lang="en-US" sz="800" b="0" i="0" u="none" strike="noStrike" kern="1200" baseline="0">
                    <a:solidFill>
                      <a:sysClr val="windowText" lastClr="000000"/>
                    </a:solidFill>
                    <a:effectLst/>
                    <a:latin typeface="+mn-lt"/>
                    <a:ea typeface="+mn-ea"/>
                    <a:cs typeface="+mn-cs"/>
                  </a:rPr>
                  <a:t> </a:t>
                </a:r>
                <a:r>
                  <a:rPr lang="en-US" sz="800" b="0" i="0" u="none" strike="noStrike" baseline="0">
                    <a:effectLst/>
                  </a:rPr>
                  <a:t>Fund</a:t>
                </a:r>
                <a:r>
                  <a:rPr lang="en-US" sz="800" b="0" i="0" u="none" strike="noStrike" kern="1200" baseline="0">
                    <a:solidFill>
                      <a:sysClr val="windowText" lastClr="000000"/>
                    </a:solidFill>
                    <a:effectLst/>
                    <a:latin typeface="+mn-lt"/>
                    <a:ea typeface="+mn-ea"/>
                    <a:cs typeface="+mn-cs"/>
                  </a:rPr>
                  <a:t> </a:t>
                </a:r>
                <a:r>
                  <a:rPr lang="en-US" sz="800" b="0" i="0" u="none" strike="noStrike" baseline="0">
                    <a:effectLst/>
                  </a:rPr>
                  <a:t>the</a:t>
                </a:r>
                <a:r>
                  <a:rPr lang="en-US" sz="800" b="0" i="0" u="none" strike="noStrike" kern="1200" baseline="0">
                    <a:solidFill>
                      <a:sysClr val="windowText" lastClr="000000"/>
                    </a:solidFill>
                    <a:effectLst/>
                    <a:latin typeface="+mn-lt"/>
                    <a:ea typeface="+mn-ea"/>
                    <a:cs typeface="+mn-cs"/>
                  </a:rPr>
                  <a:t> </a:t>
                </a:r>
                <a:r>
                  <a:rPr lang="en-US" sz="800" b="0" i="0" u="none" strike="noStrike" baseline="0">
                    <a:effectLst/>
                  </a:rPr>
                  <a:t>Bank</a:t>
                </a:r>
                <a:r>
                  <a:rPr lang="en-US" sz="800" b="0" i="0" u="none" strike="noStrike" kern="1200" baseline="0">
                    <a:solidFill>
                      <a:sysClr val="windowText" lastClr="000000"/>
                    </a:solidFill>
                    <a:effectLst/>
                    <a:latin typeface="+mn-lt"/>
                    <a:ea typeface="+mn-ea"/>
                    <a:cs typeface="+mn-cs"/>
                  </a:rPr>
                  <a:t> </a:t>
                </a:r>
                <a:endParaRPr lang="en-US" sz="800" b="0"/>
              </a:p>
            </c:rich>
          </c:tx>
          <c:overlay val="0"/>
        </c:title>
        <c:numFmt formatCode="0%" sourceLinked="0"/>
        <c:majorTickMark val="out"/>
        <c:minorTickMark val="none"/>
        <c:tickLblPos val="nextTo"/>
        <c:spPr>
          <a:ln w="6350"/>
        </c:spPr>
        <c:txPr>
          <a:bodyPr/>
          <a:lstStyle/>
          <a:p>
            <a:pPr>
              <a:defRPr sz="500"/>
            </a:pPr>
            <a:endParaRPr lang="en-US"/>
          </a:p>
        </c:txPr>
        <c:crossAx val="2114621144"/>
        <c:crosses val="autoZero"/>
        <c:crossBetween val="midCat"/>
        <c:majorUnit val="0.1"/>
        <c:minorUnit val="0.05"/>
      </c:valAx>
      <c:spPr>
        <a:ln w="6350">
          <a:solidFill>
            <a:schemeClr val="bg1">
              <a:lumMod val="50000"/>
            </a:schemeClr>
          </a:solidFill>
        </a:ln>
      </c:spPr>
    </c:plotArea>
    <c:legend>
      <c:legendPos val="b"/>
      <c:legendEntry>
        <c:idx val="2"/>
        <c:delete val="1"/>
      </c:legendEntry>
      <c:legendEntry>
        <c:idx val="3"/>
        <c:delete val="1"/>
      </c:legendEntry>
      <c:layout>
        <c:manualLayout>
          <c:xMode val="edge"/>
          <c:yMode val="edge"/>
          <c:x val="1.00565313951141E-2"/>
          <c:y val="0.93471131924578199"/>
          <c:w val="0.98994346860488602"/>
          <c:h val="6.1415282934192801E-2"/>
        </c:manualLayout>
      </c:layout>
      <c:overlay val="0"/>
      <c:txPr>
        <a:bodyPr/>
        <a:lstStyle/>
        <a:p>
          <a:pPr>
            <a:defRPr sz="800"/>
          </a:pPr>
          <a:endParaRPr lang="en-US"/>
        </a:p>
      </c:txPr>
    </c:legend>
    <c:plotVisOnly val="1"/>
    <c:dispBlanksAs val="gap"/>
    <c:showDLblsOverMax val="0"/>
  </c:chart>
  <c:spPr>
    <a:ln w="6350"/>
    <a:effectLst/>
  </c:spPr>
  <c:externalData r:id="rId1">
    <c:autoUpdate val="0"/>
  </c:externalData>
  <c:userShapes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77894226636305"/>
          <c:y val="8.4180938446688003E-2"/>
          <c:w val="0.72024746906636705"/>
          <c:h val="0.78661083324287595"/>
        </c:manualLayout>
      </c:layout>
      <c:scatterChart>
        <c:scatterStyle val="smoothMarker"/>
        <c:varyColors val="0"/>
        <c:ser>
          <c:idx val="0"/>
          <c:order val="0"/>
          <c:tx>
            <c:strRef>
              <c:f>T0!$AX$1</c:f>
              <c:strCache>
                <c:ptCount val="1"/>
                <c:pt idx="0">
                  <c:v>Fund if DW not detected</c:v>
                </c:pt>
              </c:strCache>
            </c:strRef>
          </c:tx>
          <c:spPr>
            <a:ln w="6350">
              <a:solidFill>
                <a:srgbClr val="00B0F0"/>
              </a:solidFill>
            </a:ln>
            <a:effectLst/>
          </c:spPr>
          <c:marker>
            <c:symbol val="square"/>
            <c:size val="2"/>
            <c:spPr>
              <a:solidFill>
                <a:srgbClr val="00B0F0"/>
              </a:solidFill>
              <a:ln w="6350">
                <a:noFill/>
              </a:ln>
              <a:effectLst/>
            </c:spPr>
          </c:marker>
          <c:xVal>
            <c:numRef>
              <c:f>T0!$AU$2:$AU$26</c:f>
              <c:numCache>
                <c:formatCode>General</c:formatCode>
                <c:ptCount val="2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</c:numCache>
            </c:numRef>
          </c:xVal>
          <c:yVal>
            <c:numRef>
              <c:f>T0!$AO$2:$AO$26</c:f>
              <c:numCache>
                <c:formatCode>General</c:formatCode>
                <c:ptCount val="25"/>
                <c:pt idx="0">
                  <c:v>0.66666666666666696</c:v>
                </c:pt>
                <c:pt idx="1">
                  <c:v>0.66666666666666696</c:v>
                </c:pt>
                <c:pt idx="2">
                  <c:v>0.5</c:v>
                </c:pt>
                <c:pt idx="3">
                  <c:v>0.66666666666666696</c:v>
                </c:pt>
                <c:pt idx="4">
                  <c:v>0.5</c:v>
                </c:pt>
                <c:pt idx="5">
                  <c:v>0.66666666666666696</c:v>
                </c:pt>
                <c:pt idx="6">
                  <c:v>0.33333333333333298</c:v>
                </c:pt>
                <c:pt idx="7">
                  <c:v>0.33333333333333298</c:v>
                </c:pt>
                <c:pt idx="8">
                  <c:v>0.33333333333333298</c:v>
                </c:pt>
                <c:pt idx="9">
                  <c:v>0.5</c:v>
                </c:pt>
                <c:pt idx="10">
                  <c:v>0.16666666666666699</c:v>
                </c:pt>
                <c:pt idx="11">
                  <c:v>0.16666666666666699</c:v>
                </c:pt>
                <c:pt idx="12">
                  <c:v>0.16666666666666699</c:v>
                </c:pt>
                <c:pt idx="13">
                  <c:v>0</c:v>
                </c:pt>
                <c:pt idx="14">
                  <c:v>0</c:v>
                </c:pt>
                <c:pt idx="15">
                  <c:v>0.16666666666666699</c:v>
                </c:pt>
                <c:pt idx="16">
                  <c:v>0</c:v>
                </c:pt>
                <c:pt idx="17">
                  <c:v>0</c:v>
                </c:pt>
                <c:pt idx="18">
                  <c:v>0.16666666666666699</c:v>
                </c:pt>
                <c:pt idx="19">
                  <c:v>0</c:v>
                </c:pt>
                <c:pt idx="20">
                  <c:v>0.16666666666666699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0.16666666666666699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9505-A346-8C23-831F545AAF66}"/>
            </c:ext>
          </c:extLst>
        </c:ser>
        <c:ser>
          <c:idx val="1"/>
          <c:order val="1"/>
          <c:tx>
            <c:strRef>
              <c:f>T0!$AY$1</c:f>
              <c:strCache>
                <c:ptCount val="1"/>
                <c:pt idx="0">
                  <c:v>Fund if DW detected</c:v>
                </c:pt>
              </c:strCache>
            </c:strRef>
          </c:tx>
          <c:spPr>
            <a:ln w="6350" cmpd="sng">
              <a:solidFill>
                <a:srgbClr val="002060"/>
              </a:solidFill>
            </a:ln>
            <a:effectLst/>
          </c:spPr>
          <c:marker>
            <c:symbol val="square"/>
            <c:size val="2"/>
            <c:spPr>
              <a:solidFill>
                <a:schemeClr val="bg1"/>
              </a:solidFill>
              <a:ln w="3175">
                <a:solidFill>
                  <a:srgbClr val="002060"/>
                </a:solidFill>
              </a:ln>
              <a:effectLst/>
            </c:spPr>
          </c:marker>
          <c:xVal>
            <c:numRef>
              <c:f>T0!$AU$2:$AU$26</c:f>
              <c:numCache>
                <c:formatCode>General</c:formatCode>
                <c:ptCount val="2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</c:numCache>
            </c:numRef>
          </c:xVal>
          <c:yVal>
            <c:numRef>
              <c:f>T0!$AP$2:$AP$26</c:f>
              <c:numCache>
                <c:formatCode>General</c:formatCode>
                <c:ptCount val="25"/>
                <c:pt idx="0">
                  <c:v>0.5</c:v>
                </c:pt>
                <c:pt idx="1">
                  <c:v>0.66666666666666696</c:v>
                </c:pt>
                <c:pt idx="2">
                  <c:v>0.66666666666666696</c:v>
                </c:pt>
                <c:pt idx="3">
                  <c:v>0.66666666666666696</c:v>
                </c:pt>
                <c:pt idx="4">
                  <c:v>0.5</c:v>
                </c:pt>
                <c:pt idx="5">
                  <c:v>0.33333333333333298</c:v>
                </c:pt>
                <c:pt idx="6">
                  <c:v>0.16666666666666699</c:v>
                </c:pt>
                <c:pt idx="7">
                  <c:v>0.16666666666666699</c:v>
                </c:pt>
                <c:pt idx="8">
                  <c:v>0.16666666666666699</c:v>
                </c:pt>
                <c:pt idx="9">
                  <c:v>0.16666666666666699</c:v>
                </c:pt>
                <c:pt idx="10">
                  <c:v>0.16666666666666699</c:v>
                </c:pt>
                <c:pt idx="11">
                  <c:v>0.33333333333333298</c:v>
                </c:pt>
                <c:pt idx="12">
                  <c:v>0.5</c:v>
                </c:pt>
                <c:pt idx="13">
                  <c:v>0.5</c:v>
                </c:pt>
                <c:pt idx="14">
                  <c:v>0.33333333333333298</c:v>
                </c:pt>
                <c:pt idx="15">
                  <c:v>0.5</c:v>
                </c:pt>
                <c:pt idx="16">
                  <c:v>0.33333333333333298</c:v>
                </c:pt>
                <c:pt idx="17">
                  <c:v>0.33333333333333298</c:v>
                </c:pt>
                <c:pt idx="18">
                  <c:v>0.16666666666666699</c:v>
                </c:pt>
                <c:pt idx="19">
                  <c:v>0.33333333333333298</c:v>
                </c:pt>
                <c:pt idx="20">
                  <c:v>0.5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0.33333333333333298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9505-A346-8C23-831F545AAF6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072637832"/>
        <c:axId val="-2096170856"/>
      </c:scatterChart>
      <c:valAx>
        <c:axId val="2072637832"/>
        <c:scaling>
          <c:orientation val="minMax"/>
          <c:max val="25"/>
          <c:min val="1"/>
        </c:scaling>
        <c:delete val="0"/>
        <c:axPos val="b"/>
        <c:title>
          <c:tx>
            <c:rich>
              <a:bodyPr/>
              <a:lstStyle/>
              <a:p>
                <a:pPr>
                  <a:defRPr sz="500" b="0"/>
                </a:pPr>
                <a:r>
                  <a:rPr lang="en-US" sz="5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rPr>
                  <a:t> </a:t>
                </a:r>
                <a:r>
                  <a:rPr lang="en-US" sz="500" b="0"/>
                  <a:t>Round</a:t>
                </a:r>
              </a:p>
            </c:rich>
          </c:tx>
          <c:layout>
            <c:manualLayout>
              <c:xMode val="edge"/>
              <c:yMode val="edge"/>
              <c:x val="0.40041885008276401"/>
              <c:y val="0.90604453870625601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6350"/>
        </c:spPr>
        <c:txPr>
          <a:bodyPr/>
          <a:lstStyle/>
          <a:p>
            <a:pPr>
              <a:defRPr sz="500"/>
            </a:pPr>
            <a:endParaRPr lang="en-US"/>
          </a:p>
        </c:txPr>
        <c:crossAx val="-2096170856"/>
        <c:crosses val="autoZero"/>
        <c:crossBetween val="midCat"/>
        <c:majorUnit val="24"/>
      </c:valAx>
      <c:valAx>
        <c:axId val="-2096170856"/>
        <c:scaling>
          <c:orientation val="minMax"/>
          <c:max val="1"/>
        </c:scaling>
        <c:delete val="0"/>
        <c:axPos val="l"/>
        <c:majorGridlines>
          <c:spPr>
            <a:ln w="6350"/>
          </c:spPr>
        </c:majorGridlines>
        <c:title>
          <c:tx>
            <c:rich>
              <a:bodyPr rot="-5400000" vert="horz"/>
              <a:lstStyle/>
              <a:p>
                <a:pPr>
                  <a:defRPr sz="500" b="0"/>
                </a:pPr>
                <a:r>
                  <a:rPr lang="en-US" sz="500" b="0" i="0" u="none" strike="noStrike" baseline="0">
                    <a:effectLst/>
                  </a:rPr>
                  <a:t>Borrow</a:t>
                </a:r>
                <a:r>
                  <a:rPr lang="en-US" sz="500" b="0" i="0" u="none" strike="noStrike" kern="1200" baseline="0">
                    <a:solidFill>
                      <a:sysClr val="windowText" lastClr="000000"/>
                    </a:solidFill>
                    <a:effectLst/>
                    <a:latin typeface="+mn-lt"/>
                    <a:ea typeface="+mn-ea"/>
                    <a:cs typeface="+mn-cs"/>
                  </a:rPr>
                  <a:t> </a:t>
                </a:r>
                <a:r>
                  <a:rPr lang="en-US" sz="500" b="0" i="0" u="none" strike="noStrike" baseline="0">
                    <a:effectLst/>
                  </a:rPr>
                  <a:t>at</a:t>
                </a:r>
                <a:r>
                  <a:rPr lang="en-US" sz="500" b="0" i="0" u="none" strike="noStrike" kern="1200" baseline="0">
                    <a:solidFill>
                      <a:sysClr val="windowText" lastClr="000000"/>
                    </a:solidFill>
                    <a:effectLst/>
                    <a:latin typeface="+mn-lt"/>
                    <a:ea typeface="+mn-ea"/>
                    <a:cs typeface="+mn-cs"/>
                  </a:rPr>
                  <a:t> </a:t>
                </a:r>
                <a:r>
                  <a:rPr lang="en-US" sz="500" b="0" i="0" u="none" strike="noStrike" baseline="0">
                    <a:effectLst/>
                  </a:rPr>
                  <a:t>DW</a:t>
                </a:r>
                <a:endParaRPr lang="en-US" sz="500" b="0"/>
              </a:p>
            </c:rich>
          </c:tx>
          <c:layout>
            <c:manualLayout>
              <c:xMode val="edge"/>
              <c:yMode val="edge"/>
              <c:x val="0"/>
              <c:y val="0.28127771144195501"/>
            </c:manualLayout>
          </c:layout>
          <c:overlay val="0"/>
        </c:title>
        <c:numFmt formatCode="0%" sourceLinked="0"/>
        <c:majorTickMark val="out"/>
        <c:minorTickMark val="none"/>
        <c:tickLblPos val="nextTo"/>
        <c:spPr>
          <a:ln w="6350"/>
        </c:spPr>
        <c:txPr>
          <a:bodyPr/>
          <a:lstStyle/>
          <a:p>
            <a:pPr>
              <a:defRPr sz="400"/>
            </a:pPr>
            <a:endParaRPr lang="en-US"/>
          </a:p>
        </c:txPr>
        <c:crossAx val="2072637832"/>
        <c:crosses val="autoZero"/>
        <c:crossBetween val="midCat"/>
        <c:majorUnit val="1"/>
      </c:valAx>
      <c:spPr>
        <a:ln w="6350">
          <a:solidFill>
            <a:schemeClr val="bg1">
              <a:lumMod val="50000"/>
            </a:schemeClr>
          </a:solidFill>
        </a:ln>
      </c:spPr>
    </c:plotArea>
    <c:plotVisOnly val="1"/>
    <c:dispBlanksAs val="gap"/>
    <c:showDLblsOverMax val="0"/>
  </c:chart>
  <c:spPr>
    <a:ln w="6350"/>
    <a:effectLst/>
  </c:sp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77894226636305"/>
          <c:y val="8.4180938446688003E-2"/>
          <c:w val="0.72024746906636705"/>
          <c:h val="0.78661083324287595"/>
        </c:manualLayout>
      </c:layout>
      <c:scatterChart>
        <c:scatterStyle val="smoothMarker"/>
        <c:varyColors val="0"/>
        <c:ser>
          <c:idx val="0"/>
          <c:order val="0"/>
          <c:tx>
            <c:strRef>
              <c:f>T0!$AX$1</c:f>
              <c:strCache>
                <c:ptCount val="1"/>
                <c:pt idx="0">
                  <c:v>Fund if DW not detected</c:v>
                </c:pt>
              </c:strCache>
            </c:strRef>
          </c:tx>
          <c:spPr>
            <a:ln w="6350">
              <a:solidFill>
                <a:srgbClr val="FF0000"/>
              </a:solidFill>
            </a:ln>
            <a:effectLst/>
          </c:spPr>
          <c:marker>
            <c:symbol val="circle"/>
            <c:size val="2"/>
            <c:spPr>
              <a:solidFill>
                <a:srgbClr val="FF0000"/>
              </a:solidFill>
              <a:ln w="6350">
                <a:solidFill>
                  <a:srgbClr val="FF0000"/>
                </a:solidFill>
              </a:ln>
              <a:effectLst/>
            </c:spPr>
          </c:marker>
          <c:xVal>
            <c:numRef>
              <c:f>T0!$AU$2:$AU$26</c:f>
              <c:numCache>
                <c:formatCode>General</c:formatCode>
                <c:ptCount val="2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</c:numCache>
            </c:numRef>
          </c:xVal>
          <c:yVal>
            <c:numRef>
              <c:f>T0!$AQ$27:$AQ$51</c:f>
              <c:numCache>
                <c:formatCode>General</c:formatCode>
                <c:ptCount val="25"/>
                <c:pt idx="0">
                  <c:v>0.66666666666666696</c:v>
                </c:pt>
                <c:pt idx="1">
                  <c:v>0.5</c:v>
                </c:pt>
                <c:pt idx="2">
                  <c:v>0.83333333333333304</c:v>
                </c:pt>
                <c:pt idx="3">
                  <c:v>0.83333333333333304</c:v>
                </c:pt>
                <c:pt idx="4">
                  <c:v>0.5</c:v>
                </c:pt>
                <c:pt idx="5">
                  <c:v>0.83333333333333304</c:v>
                </c:pt>
                <c:pt idx="6">
                  <c:v>1</c:v>
                </c:pt>
                <c:pt idx="7">
                  <c:v>0.83333333333333304</c:v>
                </c:pt>
                <c:pt idx="8">
                  <c:v>0.66666666666666696</c:v>
                </c:pt>
                <c:pt idx="9">
                  <c:v>1</c:v>
                </c:pt>
                <c:pt idx="10">
                  <c:v>0.66666666666666696</c:v>
                </c:pt>
                <c:pt idx="11">
                  <c:v>1</c:v>
                </c:pt>
                <c:pt idx="12">
                  <c:v>1</c:v>
                </c:pt>
                <c:pt idx="13">
                  <c:v>0.83333333333333304</c:v>
                </c:pt>
                <c:pt idx="14">
                  <c:v>0.83333333333333304</c:v>
                </c:pt>
                <c:pt idx="15">
                  <c:v>0.83333333333333304</c:v>
                </c:pt>
                <c:pt idx="16">
                  <c:v>0.83333333333333304</c:v>
                </c:pt>
                <c:pt idx="17">
                  <c:v>0.83333333333333304</c:v>
                </c:pt>
                <c:pt idx="18">
                  <c:v>1</c:v>
                </c:pt>
                <c:pt idx="19">
                  <c:v>0.5</c:v>
                </c:pt>
                <c:pt idx="20">
                  <c:v>0.66666666666666696</c:v>
                </c:pt>
                <c:pt idx="21">
                  <c:v>0.83333333333333304</c:v>
                </c:pt>
                <c:pt idx="22">
                  <c:v>1</c:v>
                </c:pt>
                <c:pt idx="23">
                  <c:v>0.83333333333333304</c:v>
                </c:pt>
                <c:pt idx="24">
                  <c:v>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FA50-3440-869E-F44830B83C08}"/>
            </c:ext>
          </c:extLst>
        </c:ser>
        <c:ser>
          <c:idx val="1"/>
          <c:order val="1"/>
          <c:tx>
            <c:strRef>
              <c:f>T0!$AY$1</c:f>
              <c:strCache>
                <c:ptCount val="1"/>
                <c:pt idx="0">
                  <c:v>Fund if DW detected</c:v>
                </c:pt>
              </c:strCache>
            </c:strRef>
          </c:tx>
          <c:spPr>
            <a:ln w="6350" cmpd="sng">
              <a:solidFill>
                <a:srgbClr val="FF9300"/>
              </a:solidFill>
            </a:ln>
            <a:effectLst/>
          </c:spPr>
          <c:marker>
            <c:symbol val="circle"/>
            <c:size val="2"/>
            <c:spPr>
              <a:solidFill>
                <a:schemeClr val="bg1"/>
              </a:solidFill>
              <a:ln w="6350">
                <a:solidFill>
                  <a:srgbClr val="FF9300"/>
                </a:solidFill>
              </a:ln>
              <a:effectLst/>
            </c:spPr>
          </c:marker>
          <c:xVal>
            <c:numRef>
              <c:f>T0!$AU$2:$AU$26</c:f>
              <c:numCache>
                <c:formatCode>General</c:formatCode>
                <c:ptCount val="2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</c:numCache>
            </c:numRef>
          </c:xVal>
          <c:yVal>
            <c:numRef>
              <c:f>T0!$AR$27:$AR$51</c:f>
              <c:numCache>
                <c:formatCode>General</c:formatCode>
                <c:ptCount val="25"/>
                <c:pt idx="0">
                  <c:v>0.33333333333333298</c:v>
                </c:pt>
                <c:pt idx="1">
                  <c:v>0.33333333333333298</c:v>
                </c:pt>
                <c:pt idx="2">
                  <c:v>0.33333333333333298</c:v>
                </c:pt>
                <c:pt idx="3">
                  <c:v>0.16666666666666699</c:v>
                </c:pt>
                <c:pt idx="4">
                  <c:v>0.33333333333333298</c:v>
                </c:pt>
                <c:pt idx="5">
                  <c:v>0.16666666666666699</c:v>
                </c:pt>
                <c:pt idx="6">
                  <c:v>0.16666666666666699</c:v>
                </c:pt>
                <c:pt idx="7">
                  <c:v>0.16666666666666699</c:v>
                </c:pt>
                <c:pt idx="8">
                  <c:v>0.16666666666666699</c:v>
                </c:pt>
                <c:pt idx="9">
                  <c:v>0.33333333333333298</c:v>
                </c:pt>
                <c:pt idx="10">
                  <c:v>0.16666666666666699</c:v>
                </c:pt>
                <c:pt idx="11">
                  <c:v>0.16666666666666699</c:v>
                </c:pt>
                <c:pt idx="12">
                  <c:v>0.16666666666666699</c:v>
                </c:pt>
                <c:pt idx="13">
                  <c:v>0</c:v>
                </c:pt>
                <c:pt idx="14">
                  <c:v>0.33333333333333298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0.16666666666666699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0.16666666666666699</c:v>
                </c:pt>
                <c:pt idx="23">
                  <c:v>0</c:v>
                </c:pt>
                <c:pt idx="24">
                  <c:v>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FA50-3440-869E-F44830B83C0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-2096353784"/>
        <c:axId val="-2096345624"/>
      </c:scatterChart>
      <c:valAx>
        <c:axId val="-2096353784"/>
        <c:scaling>
          <c:orientation val="minMax"/>
          <c:max val="25"/>
          <c:min val="1"/>
        </c:scaling>
        <c:delete val="0"/>
        <c:axPos val="b"/>
        <c:title>
          <c:tx>
            <c:rich>
              <a:bodyPr/>
              <a:lstStyle/>
              <a:p>
                <a:pPr>
                  <a:defRPr sz="500" b="0"/>
                </a:pPr>
                <a:r>
                  <a:rPr lang="en-US" sz="5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rPr>
                  <a:t> </a:t>
                </a:r>
                <a:r>
                  <a:rPr lang="en-US" sz="500" b="0"/>
                  <a:t>Round</a:t>
                </a:r>
              </a:p>
            </c:rich>
          </c:tx>
          <c:layout>
            <c:manualLayout>
              <c:xMode val="edge"/>
              <c:yMode val="edge"/>
              <c:x val="0.40041885008276401"/>
              <c:y val="0.90604453870625601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6350"/>
        </c:spPr>
        <c:txPr>
          <a:bodyPr/>
          <a:lstStyle/>
          <a:p>
            <a:pPr>
              <a:defRPr sz="500"/>
            </a:pPr>
            <a:endParaRPr lang="en-US"/>
          </a:p>
        </c:txPr>
        <c:crossAx val="-2096345624"/>
        <c:crosses val="autoZero"/>
        <c:crossBetween val="midCat"/>
        <c:majorUnit val="24"/>
      </c:valAx>
      <c:valAx>
        <c:axId val="-2096345624"/>
        <c:scaling>
          <c:orientation val="minMax"/>
          <c:max val="1"/>
        </c:scaling>
        <c:delete val="0"/>
        <c:axPos val="l"/>
        <c:majorGridlines>
          <c:spPr>
            <a:ln w="6350"/>
          </c:spPr>
        </c:majorGridlines>
        <c:title>
          <c:tx>
            <c:rich>
              <a:bodyPr rot="-5400000" vert="horz"/>
              <a:lstStyle/>
              <a:p>
                <a:pPr>
                  <a:defRPr sz="500" b="0"/>
                </a:pPr>
                <a:r>
                  <a:rPr lang="en-US" sz="500" b="0" i="0" u="none" strike="noStrike" baseline="0">
                    <a:effectLst/>
                  </a:rPr>
                  <a:t>Fund</a:t>
                </a:r>
                <a:r>
                  <a:rPr lang="en-US" sz="500" b="0" i="0" u="none" strike="noStrike" kern="1200" baseline="0">
                    <a:solidFill>
                      <a:sysClr val="windowText" lastClr="000000"/>
                    </a:solidFill>
                    <a:effectLst/>
                    <a:latin typeface="+mn-lt"/>
                    <a:ea typeface="+mn-ea"/>
                    <a:cs typeface="+mn-cs"/>
                  </a:rPr>
                  <a:t> </a:t>
                </a:r>
                <a:r>
                  <a:rPr lang="en-US" sz="500" b="0" i="0" u="none" strike="noStrike" baseline="0">
                    <a:effectLst/>
                  </a:rPr>
                  <a:t>the</a:t>
                </a:r>
                <a:r>
                  <a:rPr lang="en-US" sz="500" b="0" i="0" u="none" strike="noStrike" kern="1200" baseline="0">
                    <a:solidFill>
                      <a:sysClr val="windowText" lastClr="000000"/>
                    </a:solidFill>
                    <a:effectLst/>
                    <a:latin typeface="+mn-lt"/>
                    <a:ea typeface="+mn-ea"/>
                    <a:cs typeface="+mn-cs"/>
                  </a:rPr>
                  <a:t> </a:t>
                </a:r>
                <a:r>
                  <a:rPr lang="en-US" sz="500" b="0" i="0" u="none" strike="noStrike" baseline="0">
                    <a:effectLst/>
                  </a:rPr>
                  <a:t>Bank</a:t>
                </a:r>
                <a:r>
                  <a:rPr lang="en-US" sz="500" b="0" i="0" u="none" strike="noStrike" kern="1200" baseline="0">
                    <a:solidFill>
                      <a:sysClr val="windowText" lastClr="000000"/>
                    </a:solidFill>
                    <a:effectLst/>
                    <a:latin typeface="+mn-lt"/>
                    <a:ea typeface="+mn-ea"/>
                    <a:cs typeface="+mn-cs"/>
                  </a:rPr>
                  <a:t> </a:t>
                </a:r>
                <a:endParaRPr lang="en-US" sz="500" b="0"/>
              </a:p>
            </c:rich>
          </c:tx>
          <c:layout>
            <c:manualLayout>
              <c:xMode val="edge"/>
              <c:yMode val="edge"/>
              <c:x val="0"/>
              <c:y val="0.28127771144195501"/>
            </c:manualLayout>
          </c:layout>
          <c:overlay val="0"/>
        </c:title>
        <c:numFmt formatCode="0%" sourceLinked="0"/>
        <c:majorTickMark val="out"/>
        <c:minorTickMark val="none"/>
        <c:tickLblPos val="nextTo"/>
        <c:spPr>
          <a:ln w="6350"/>
        </c:spPr>
        <c:txPr>
          <a:bodyPr/>
          <a:lstStyle/>
          <a:p>
            <a:pPr>
              <a:defRPr sz="400"/>
            </a:pPr>
            <a:endParaRPr lang="en-US"/>
          </a:p>
        </c:txPr>
        <c:crossAx val="-2096353784"/>
        <c:crosses val="autoZero"/>
        <c:crossBetween val="midCat"/>
        <c:majorUnit val="1"/>
      </c:valAx>
      <c:spPr>
        <a:ln w="6350">
          <a:solidFill>
            <a:schemeClr val="bg1">
              <a:lumMod val="50000"/>
            </a:schemeClr>
          </a:solidFill>
        </a:ln>
      </c:spPr>
    </c:plotArea>
    <c:plotVisOnly val="1"/>
    <c:dispBlanksAs val="gap"/>
    <c:showDLblsOverMax val="0"/>
  </c:chart>
  <c:spPr>
    <a:ln w="6350"/>
    <a:effectLst/>
  </c:sp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77894226636305"/>
          <c:y val="8.4180938446688003E-2"/>
          <c:w val="0.72024746906636705"/>
          <c:h val="0.78661083324287595"/>
        </c:manualLayout>
      </c:layout>
      <c:scatterChart>
        <c:scatterStyle val="smoothMarker"/>
        <c:varyColors val="0"/>
        <c:ser>
          <c:idx val="0"/>
          <c:order val="0"/>
          <c:tx>
            <c:strRef>
              <c:f>T0!$AX$1</c:f>
              <c:strCache>
                <c:ptCount val="1"/>
                <c:pt idx="0">
                  <c:v>Fund if DW not detected</c:v>
                </c:pt>
              </c:strCache>
            </c:strRef>
          </c:tx>
          <c:spPr>
            <a:ln w="6350">
              <a:solidFill>
                <a:srgbClr val="00B0F0"/>
              </a:solidFill>
            </a:ln>
            <a:effectLst/>
          </c:spPr>
          <c:marker>
            <c:symbol val="square"/>
            <c:size val="2"/>
            <c:spPr>
              <a:solidFill>
                <a:srgbClr val="00B0F0"/>
              </a:solidFill>
              <a:ln w="6350">
                <a:noFill/>
              </a:ln>
              <a:effectLst/>
            </c:spPr>
          </c:marker>
          <c:xVal>
            <c:numRef>
              <c:f>T0!$AU$2:$AU$26</c:f>
              <c:numCache>
                <c:formatCode>General</c:formatCode>
                <c:ptCount val="2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</c:numCache>
            </c:numRef>
          </c:xVal>
          <c:yVal>
            <c:numRef>
              <c:f>T0!$AO$27:$AO$51</c:f>
              <c:numCache>
                <c:formatCode>General</c:formatCode>
                <c:ptCount val="25"/>
                <c:pt idx="0">
                  <c:v>0.66666666666666696</c:v>
                </c:pt>
                <c:pt idx="1">
                  <c:v>0.83333333333333304</c:v>
                </c:pt>
                <c:pt idx="2">
                  <c:v>0.66666666666666696</c:v>
                </c:pt>
                <c:pt idx="3">
                  <c:v>0.5</c:v>
                </c:pt>
                <c:pt idx="4">
                  <c:v>0.16666666666666699</c:v>
                </c:pt>
                <c:pt idx="5">
                  <c:v>0.5</c:v>
                </c:pt>
                <c:pt idx="6">
                  <c:v>0.5</c:v>
                </c:pt>
                <c:pt idx="7">
                  <c:v>0.5</c:v>
                </c:pt>
                <c:pt idx="8">
                  <c:v>0.5</c:v>
                </c:pt>
                <c:pt idx="9">
                  <c:v>0.33333333333333298</c:v>
                </c:pt>
                <c:pt idx="10">
                  <c:v>0.33333333333333298</c:v>
                </c:pt>
                <c:pt idx="11">
                  <c:v>0.33333333333333298</c:v>
                </c:pt>
                <c:pt idx="12">
                  <c:v>0.16666666666666699</c:v>
                </c:pt>
                <c:pt idx="13">
                  <c:v>0.16666666666666699</c:v>
                </c:pt>
                <c:pt idx="14">
                  <c:v>0</c:v>
                </c:pt>
                <c:pt idx="15">
                  <c:v>0.33333333333333298</c:v>
                </c:pt>
                <c:pt idx="16">
                  <c:v>0.33333333333333298</c:v>
                </c:pt>
                <c:pt idx="17">
                  <c:v>0.5</c:v>
                </c:pt>
                <c:pt idx="18">
                  <c:v>0.33333333333333298</c:v>
                </c:pt>
                <c:pt idx="19">
                  <c:v>0.33333333333333298</c:v>
                </c:pt>
                <c:pt idx="20">
                  <c:v>0.33333333333333298</c:v>
                </c:pt>
                <c:pt idx="21">
                  <c:v>0.33333333333333298</c:v>
                </c:pt>
                <c:pt idx="22">
                  <c:v>0.16666666666666699</c:v>
                </c:pt>
                <c:pt idx="23">
                  <c:v>0.16666666666666699</c:v>
                </c:pt>
                <c:pt idx="24">
                  <c:v>0.16666666666666699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DDA4-6341-8CC8-8DD28E1DB833}"/>
            </c:ext>
          </c:extLst>
        </c:ser>
        <c:ser>
          <c:idx val="1"/>
          <c:order val="1"/>
          <c:tx>
            <c:strRef>
              <c:f>T0!$AY$1</c:f>
              <c:strCache>
                <c:ptCount val="1"/>
                <c:pt idx="0">
                  <c:v>Fund if DW detected</c:v>
                </c:pt>
              </c:strCache>
            </c:strRef>
          </c:tx>
          <c:spPr>
            <a:ln w="6350" cmpd="sng">
              <a:solidFill>
                <a:srgbClr val="002060"/>
              </a:solidFill>
            </a:ln>
            <a:effectLst/>
          </c:spPr>
          <c:marker>
            <c:symbol val="square"/>
            <c:size val="2"/>
            <c:spPr>
              <a:solidFill>
                <a:schemeClr val="bg1"/>
              </a:solidFill>
              <a:ln w="3175">
                <a:solidFill>
                  <a:srgbClr val="002060"/>
                </a:solidFill>
              </a:ln>
              <a:effectLst/>
            </c:spPr>
          </c:marker>
          <c:xVal>
            <c:numRef>
              <c:f>T0!$AU$2:$AU$26</c:f>
              <c:numCache>
                <c:formatCode>General</c:formatCode>
                <c:ptCount val="2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</c:numCache>
            </c:numRef>
          </c:xVal>
          <c:yVal>
            <c:numRef>
              <c:f>T0!$AP$27:$AP$51</c:f>
              <c:numCache>
                <c:formatCode>General</c:formatCode>
                <c:ptCount val="25"/>
                <c:pt idx="0">
                  <c:v>0.5</c:v>
                </c:pt>
                <c:pt idx="1">
                  <c:v>0.83333333333333304</c:v>
                </c:pt>
                <c:pt idx="2">
                  <c:v>0.83333333333333304</c:v>
                </c:pt>
                <c:pt idx="3">
                  <c:v>0.5</c:v>
                </c:pt>
                <c:pt idx="4">
                  <c:v>0.66666666666666696</c:v>
                </c:pt>
                <c:pt idx="5">
                  <c:v>0.66666666666666696</c:v>
                </c:pt>
                <c:pt idx="6">
                  <c:v>0</c:v>
                </c:pt>
                <c:pt idx="7">
                  <c:v>0.16666666666666699</c:v>
                </c:pt>
                <c:pt idx="8">
                  <c:v>0.16666666666666699</c:v>
                </c:pt>
                <c:pt idx="9">
                  <c:v>0.16666666666666699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0.16666666666666699</c:v>
                </c:pt>
                <c:pt idx="14">
                  <c:v>0.16666666666666699</c:v>
                </c:pt>
                <c:pt idx="15">
                  <c:v>0</c:v>
                </c:pt>
                <c:pt idx="16">
                  <c:v>0</c:v>
                </c:pt>
                <c:pt idx="17">
                  <c:v>0.33333333333333298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0.16666666666666699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DDA4-6341-8CC8-8DD28E1DB83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-2096311912"/>
        <c:axId val="-2096303752"/>
      </c:scatterChart>
      <c:valAx>
        <c:axId val="-2096311912"/>
        <c:scaling>
          <c:orientation val="minMax"/>
          <c:max val="25"/>
          <c:min val="1"/>
        </c:scaling>
        <c:delete val="0"/>
        <c:axPos val="b"/>
        <c:title>
          <c:tx>
            <c:rich>
              <a:bodyPr/>
              <a:lstStyle/>
              <a:p>
                <a:pPr>
                  <a:defRPr sz="500" b="0"/>
                </a:pPr>
                <a:r>
                  <a:rPr lang="en-US" sz="5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rPr>
                  <a:t> </a:t>
                </a:r>
                <a:r>
                  <a:rPr lang="en-US" sz="500" b="0"/>
                  <a:t>Round</a:t>
                </a:r>
              </a:p>
            </c:rich>
          </c:tx>
          <c:layout>
            <c:manualLayout>
              <c:xMode val="edge"/>
              <c:yMode val="edge"/>
              <c:x val="0.40041885008276401"/>
              <c:y val="0.90604453870625601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6350"/>
        </c:spPr>
        <c:txPr>
          <a:bodyPr/>
          <a:lstStyle/>
          <a:p>
            <a:pPr>
              <a:defRPr sz="500"/>
            </a:pPr>
            <a:endParaRPr lang="en-US"/>
          </a:p>
        </c:txPr>
        <c:crossAx val="-2096303752"/>
        <c:crosses val="autoZero"/>
        <c:crossBetween val="midCat"/>
        <c:majorUnit val="24"/>
      </c:valAx>
      <c:valAx>
        <c:axId val="-2096303752"/>
        <c:scaling>
          <c:orientation val="minMax"/>
          <c:max val="1"/>
        </c:scaling>
        <c:delete val="0"/>
        <c:axPos val="l"/>
        <c:majorGridlines>
          <c:spPr>
            <a:ln w="6350"/>
          </c:spPr>
        </c:majorGridlines>
        <c:title>
          <c:tx>
            <c:rich>
              <a:bodyPr rot="-5400000" vert="horz"/>
              <a:lstStyle/>
              <a:p>
                <a:pPr>
                  <a:defRPr sz="500" b="0"/>
                </a:pPr>
                <a:r>
                  <a:rPr lang="en-US" sz="500" b="0" i="0" u="none" strike="noStrike" baseline="0">
                    <a:effectLst/>
                  </a:rPr>
                  <a:t>Borrow</a:t>
                </a:r>
                <a:r>
                  <a:rPr lang="en-US" sz="500" b="0" i="0" u="none" strike="noStrike" kern="1200" baseline="0">
                    <a:solidFill>
                      <a:sysClr val="windowText" lastClr="000000"/>
                    </a:solidFill>
                    <a:effectLst/>
                    <a:latin typeface="+mn-lt"/>
                    <a:ea typeface="+mn-ea"/>
                    <a:cs typeface="+mn-cs"/>
                  </a:rPr>
                  <a:t> </a:t>
                </a:r>
                <a:r>
                  <a:rPr lang="en-US" sz="500" b="0" i="0" u="none" strike="noStrike" baseline="0">
                    <a:effectLst/>
                  </a:rPr>
                  <a:t>at</a:t>
                </a:r>
                <a:r>
                  <a:rPr lang="en-US" sz="500" b="0" i="0" u="none" strike="noStrike" kern="1200" baseline="0">
                    <a:solidFill>
                      <a:sysClr val="windowText" lastClr="000000"/>
                    </a:solidFill>
                    <a:effectLst/>
                    <a:latin typeface="+mn-lt"/>
                    <a:ea typeface="+mn-ea"/>
                    <a:cs typeface="+mn-cs"/>
                  </a:rPr>
                  <a:t> </a:t>
                </a:r>
                <a:r>
                  <a:rPr lang="en-US" sz="500" b="0" i="0" u="none" strike="noStrike" baseline="0">
                    <a:effectLst/>
                  </a:rPr>
                  <a:t>DW</a:t>
                </a:r>
                <a:endParaRPr lang="en-US" sz="500" b="0"/>
              </a:p>
            </c:rich>
          </c:tx>
          <c:layout>
            <c:manualLayout>
              <c:xMode val="edge"/>
              <c:yMode val="edge"/>
              <c:x val="0"/>
              <c:y val="0.28127771144195501"/>
            </c:manualLayout>
          </c:layout>
          <c:overlay val="0"/>
        </c:title>
        <c:numFmt formatCode="0%" sourceLinked="0"/>
        <c:majorTickMark val="out"/>
        <c:minorTickMark val="none"/>
        <c:tickLblPos val="nextTo"/>
        <c:spPr>
          <a:ln w="6350"/>
        </c:spPr>
        <c:txPr>
          <a:bodyPr/>
          <a:lstStyle/>
          <a:p>
            <a:pPr>
              <a:defRPr sz="400"/>
            </a:pPr>
            <a:endParaRPr lang="en-US"/>
          </a:p>
        </c:txPr>
        <c:crossAx val="-2096311912"/>
        <c:crosses val="autoZero"/>
        <c:crossBetween val="midCat"/>
        <c:majorUnit val="1"/>
      </c:valAx>
      <c:spPr>
        <a:ln w="6350">
          <a:solidFill>
            <a:schemeClr val="bg1">
              <a:lumMod val="50000"/>
            </a:schemeClr>
          </a:solidFill>
        </a:ln>
      </c:spPr>
    </c:plotArea>
    <c:plotVisOnly val="1"/>
    <c:dispBlanksAs val="gap"/>
    <c:showDLblsOverMax val="0"/>
  </c:chart>
  <c:spPr>
    <a:ln w="6350"/>
    <a:effectLst/>
  </c:sp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77894226636305"/>
          <c:y val="8.4180938446688003E-2"/>
          <c:w val="0.72024746906636705"/>
          <c:h val="0.78661083324287595"/>
        </c:manualLayout>
      </c:layout>
      <c:scatterChart>
        <c:scatterStyle val="smoothMarker"/>
        <c:varyColors val="0"/>
        <c:ser>
          <c:idx val="0"/>
          <c:order val="0"/>
          <c:tx>
            <c:strRef>
              <c:f>T0!$AX$1</c:f>
              <c:strCache>
                <c:ptCount val="1"/>
                <c:pt idx="0">
                  <c:v>Fund if DW not detected</c:v>
                </c:pt>
              </c:strCache>
            </c:strRef>
          </c:tx>
          <c:spPr>
            <a:ln w="6350">
              <a:solidFill>
                <a:srgbClr val="FF0000"/>
              </a:solidFill>
            </a:ln>
            <a:effectLst/>
          </c:spPr>
          <c:marker>
            <c:symbol val="circle"/>
            <c:size val="2"/>
            <c:spPr>
              <a:solidFill>
                <a:srgbClr val="FF0000"/>
              </a:solidFill>
              <a:ln w="6350">
                <a:solidFill>
                  <a:srgbClr val="FF0000"/>
                </a:solidFill>
              </a:ln>
              <a:effectLst/>
            </c:spPr>
          </c:marker>
          <c:xVal>
            <c:numRef>
              <c:f>T0!$AU$2:$AU$26</c:f>
              <c:numCache>
                <c:formatCode>General</c:formatCode>
                <c:ptCount val="2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</c:numCache>
            </c:numRef>
          </c:xVal>
          <c:yVal>
            <c:numRef>
              <c:f>T0!$AQ$52:$AQ$76</c:f>
              <c:numCache>
                <c:formatCode>General</c:formatCode>
                <c:ptCount val="25"/>
                <c:pt idx="0">
                  <c:v>0.83333333333333304</c:v>
                </c:pt>
                <c:pt idx="1">
                  <c:v>0.83333333333333304</c:v>
                </c:pt>
                <c:pt idx="2">
                  <c:v>0.66666666666666696</c:v>
                </c:pt>
                <c:pt idx="3">
                  <c:v>0.5</c:v>
                </c:pt>
                <c:pt idx="4">
                  <c:v>0.83333333333333304</c:v>
                </c:pt>
                <c:pt idx="5">
                  <c:v>0.83333333333333304</c:v>
                </c:pt>
                <c:pt idx="6">
                  <c:v>0.66666666666666696</c:v>
                </c:pt>
                <c:pt idx="7">
                  <c:v>0.83333333333333304</c:v>
                </c:pt>
                <c:pt idx="8">
                  <c:v>1</c:v>
                </c:pt>
                <c:pt idx="9">
                  <c:v>0.83333333333333304</c:v>
                </c:pt>
                <c:pt idx="10">
                  <c:v>0.83333333333333304</c:v>
                </c:pt>
                <c:pt idx="11">
                  <c:v>0.83333333333333304</c:v>
                </c:pt>
                <c:pt idx="12">
                  <c:v>0.66666666666666696</c:v>
                </c:pt>
                <c:pt idx="13">
                  <c:v>0.66666666666666696</c:v>
                </c:pt>
                <c:pt idx="14">
                  <c:v>0.83333333333333304</c:v>
                </c:pt>
                <c:pt idx="15">
                  <c:v>0.83333333333333304</c:v>
                </c:pt>
                <c:pt idx="16">
                  <c:v>1</c:v>
                </c:pt>
                <c:pt idx="17">
                  <c:v>0.66666666666666696</c:v>
                </c:pt>
                <c:pt idx="18">
                  <c:v>0.83333333333333304</c:v>
                </c:pt>
                <c:pt idx="19">
                  <c:v>0.66666666666666696</c:v>
                </c:pt>
                <c:pt idx="20">
                  <c:v>0.83333333333333304</c:v>
                </c:pt>
                <c:pt idx="21">
                  <c:v>0.5</c:v>
                </c:pt>
                <c:pt idx="22">
                  <c:v>0.66666666666666696</c:v>
                </c:pt>
                <c:pt idx="23">
                  <c:v>0.83333333333333304</c:v>
                </c:pt>
                <c:pt idx="24">
                  <c:v>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364B-CE47-B45F-1C8E5D3EB98F}"/>
            </c:ext>
          </c:extLst>
        </c:ser>
        <c:ser>
          <c:idx val="1"/>
          <c:order val="1"/>
          <c:tx>
            <c:strRef>
              <c:f>T0!$AY$1</c:f>
              <c:strCache>
                <c:ptCount val="1"/>
                <c:pt idx="0">
                  <c:v>Fund if DW detected</c:v>
                </c:pt>
              </c:strCache>
            </c:strRef>
          </c:tx>
          <c:spPr>
            <a:ln w="6350" cmpd="sng">
              <a:solidFill>
                <a:srgbClr val="FF9300"/>
              </a:solidFill>
            </a:ln>
            <a:effectLst/>
          </c:spPr>
          <c:marker>
            <c:symbol val="circle"/>
            <c:size val="2"/>
            <c:spPr>
              <a:solidFill>
                <a:schemeClr val="bg1"/>
              </a:solidFill>
              <a:ln w="6350">
                <a:solidFill>
                  <a:srgbClr val="FF9300"/>
                </a:solidFill>
              </a:ln>
              <a:effectLst/>
            </c:spPr>
          </c:marker>
          <c:xVal>
            <c:numRef>
              <c:f>T0!$AU$2:$AU$26</c:f>
              <c:numCache>
                <c:formatCode>General</c:formatCode>
                <c:ptCount val="2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</c:numCache>
            </c:numRef>
          </c:xVal>
          <c:yVal>
            <c:numRef>
              <c:f>T0!$AR$52:$AR$76</c:f>
              <c:numCache>
                <c:formatCode>General</c:formatCode>
                <c:ptCount val="25"/>
                <c:pt idx="0">
                  <c:v>0.5</c:v>
                </c:pt>
                <c:pt idx="1">
                  <c:v>0.33333333333333298</c:v>
                </c:pt>
                <c:pt idx="2">
                  <c:v>0.5</c:v>
                </c:pt>
                <c:pt idx="3">
                  <c:v>0.16666666666666699</c:v>
                </c:pt>
                <c:pt idx="4">
                  <c:v>0</c:v>
                </c:pt>
                <c:pt idx="5">
                  <c:v>0</c:v>
                </c:pt>
                <c:pt idx="6">
                  <c:v>0.16666666666666699</c:v>
                </c:pt>
                <c:pt idx="7">
                  <c:v>0.16666666666666699</c:v>
                </c:pt>
                <c:pt idx="8">
                  <c:v>0</c:v>
                </c:pt>
                <c:pt idx="9">
                  <c:v>0</c:v>
                </c:pt>
                <c:pt idx="10">
                  <c:v>0.16666666666666699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364B-CE47-B45F-1C8E5D3EB98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-2096569912"/>
        <c:axId val="-2096561752"/>
      </c:scatterChart>
      <c:valAx>
        <c:axId val="-2096569912"/>
        <c:scaling>
          <c:orientation val="minMax"/>
          <c:max val="25"/>
          <c:min val="1"/>
        </c:scaling>
        <c:delete val="0"/>
        <c:axPos val="b"/>
        <c:title>
          <c:tx>
            <c:rich>
              <a:bodyPr/>
              <a:lstStyle/>
              <a:p>
                <a:pPr>
                  <a:defRPr sz="500" b="0"/>
                </a:pPr>
                <a:r>
                  <a:rPr lang="en-US" sz="5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rPr>
                  <a:t> </a:t>
                </a:r>
                <a:r>
                  <a:rPr lang="en-US" sz="500" b="0"/>
                  <a:t>Round</a:t>
                </a:r>
              </a:p>
            </c:rich>
          </c:tx>
          <c:layout>
            <c:manualLayout>
              <c:xMode val="edge"/>
              <c:yMode val="edge"/>
              <c:x val="0.40041885008276401"/>
              <c:y val="0.90604453870625601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6350"/>
        </c:spPr>
        <c:txPr>
          <a:bodyPr/>
          <a:lstStyle/>
          <a:p>
            <a:pPr>
              <a:defRPr sz="500"/>
            </a:pPr>
            <a:endParaRPr lang="en-US"/>
          </a:p>
        </c:txPr>
        <c:crossAx val="-2096561752"/>
        <c:crosses val="autoZero"/>
        <c:crossBetween val="midCat"/>
        <c:majorUnit val="24"/>
      </c:valAx>
      <c:valAx>
        <c:axId val="-2096561752"/>
        <c:scaling>
          <c:orientation val="minMax"/>
          <c:max val="1"/>
        </c:scaling>
        <c:delete val="0"/>
        <c:axPos val="l"/>
        <c:majorGridlines>
          <c:spPr>
            <a:ln w="6350"/>
          </c:spPr>
        </c:majorGridlines>
        <c:title>
          <c:tx>
            <c:rich>
              <a:bodyPr rot="-5400000" vert="horz"/>
              <a:lstStyle/>
              <a:p>
                <a:pPr>
                  <a:defRPr sz="500" b="0"/>
                </a:pPr>
                <a:r>
                  <a:rPr lang="en-US" sz="500" b="0" i="0" u="none" strike="noStrike" baseline="0">
                    <a:effectLst/>
                  </a:rPr>
                  <a:t>Fund</a:t>
                </a:r>
                <a:r>
                  <a:rPr lang="en-US" sz="500" b="0" i="0" u="none" strike="noStrike" kern="1200" baseline="0">
                    <a:solidFill>
                      <a:sysClr val="windowText" lastClr="000000"/>
                    </a:solidFill>
                    <a:effectLst/>
                    <a:latin typeface="+mn-lt"/>
                    <a:ea typeface="+mn-ea"/>
                    <a:cs typeface="+mn-cs"/>
                  </a:rPr>
                  <a:t> </a:t>
                </a:r>
                <a:r>
                  <a:rPr lang="en-US" sz="500" b="0" i="0" u="none" strike="noStrike" baseline="0">
                    <a:effectLst/>
                  </a:rPr>
                  <a:t>the</a:t>
                </a:r>
                <a:r>
                  <a:rPr lang="en-US" sz="500" b="0" i="0" u="none" strike="noStrike" kern="1200" baseline="0">
                    <a:solidFill>
                      <a:sysClr val="windowText" lastClr="000000"/>
                    </a:solidFill>
                    <a:effectLst/>
                    <a:latin typeface="+mn-lt"/>
                    <a:ea typeface="+mn-ea"/>
                    <a:cs typeface="+mn-cs"/>
                  </a:rPr>
                  <a:t> </a:t>
                </a:r>
                <a:r>
                  <a:rPr lang="en-US" sz="500" b="0" i="0" u="none" strike="noStrike" baseline="0">
                    <a:effectLst/>
                  </a:rPr>
                  <a:t>Bank</a:t>
                </a:r>
                <a:r>
                  <a:rPr lang="en-US" sz="500" b="0" i="0" u="none" strike="noStrike" kern="1200" baseline="0">
                    <a:solidFill>
                      <a:sysClr val="windowText" lastClr="000000"/>
                    </a:solidFill>
                    <a:effectLst/>
                    <a:latin typeface="+mn-lt"/>
                    <a:ea typeface="+mn-ea"/>
                    <a:cs typeface="+mn-cs"/>
                  </a:rPr>
                  <a:t> </a:t>
                </a:r>
                <a:endParaRPr lang="en-US" sz="500" b="0"/>
              </a:p>
            </c:rich>
          </c:tx>
          <c:layout>
            <c:manualLayout>
              <c:xMode val="edge"/>
              <c:yMode val="edge"/>
              <c:x val="0"/>
              <c:y val="0.28127771144195501"/>
            </c:manualLayout>
          </c:layout>
          <c:overlay val="0"/>
        </c:title>
        <c:numFmt formatCode="0%" sourceLinked="0"/>
        <c:majorTickMark val="out"/>
        <c:minorTickMark val="none"/>
        <c:tickLblPos val="nextTo"/>
        <c:spPr>
          <a:ln w="6350"/>
        </c:spPr>
        <c:txPr>
          <a:bodyPr/>
          <a:lstStyle/>
          <a:p>
            <a:pPr>
              <a:defRPr sz="400"/>
            </a:pPr>
            <a:endParaRPr lang="en-US"/>
          </a:p>
        </c:txPr>
        <c:crossAx val="-2096569912"/>
        <c:crosses val="autoZero"/>
        <c:crossBetween val="midCat"/>
        <c:majorUnit val="1"/>
      </c:valAx>
      <c:spPr>
        <a:ln w="6350">
          <a:solidFill>
            <a:schemeClr val="bg1">
              <a:lumMod val="50000"/>
            </a:schemeClr>
          </a:solidFill>
        </a:ln>
      </c:spPr>
    </c:plotArea>
    <c:plotVisOnly val="1"/>
    <c:dispBlanksAs val="gap"/>
    <c:showDLblsOverMax val="0"/>
  </c:chart>
  <c:spPr>
    <a:ln w="6350"/>
    <a:effectLst/>
  </c:sp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77894226636305"/>
          <c:y val="8.4180938446688003E-2"/>
          <c:w val="0.72024746906636705"/>
          <c:h val="0.78661083324287595"/>
        </c:manualLayout>
      </c:layout>
      <c:scatterChart>
        <c:scatterStyle val="smoothMarker"/>
        <c:varyColors val="0"/>
        <c:ser>
          <c:idx val="0"/>
          <c:order val="0"/>
          <c:tx>
            <c:strRef>
              <c:f>T0!$AX$1</c:f>
              <c:strCache>
                <c:ptCount val="1"/>
                <c:pt idx="0">
                  <c:v>Fund if DW not detected</c:v>
                </c:pt>
              </c:strCache>
            </c:strRef>
          </c:tx>
          <c:spPr>
            <a:ln w="6350">
              <a:solidFill>
                <a:srgbClr val="00B0F0"/>
              </a:solidFill>
            </a:ln>
            <a:effectLst/>
          </c:spPr>
          <c:marker>
            <c:symbol val="square"/>
            <c:size val="2"/>
            <c:spPr>
              <a:solidFill>
                <a:srgbClr val="00B0F0"/>
              </a:solidFill>
              <a:ln w="6350">
                <a:noFill/>
              </a:ln>
              <a:effectLst/>
            </c:spPr>
          </c:marker>
          <c:xVal>
            <c:numRef>
              <c:f>T0!$AU$2:$AU$26</c:f>
              <c:numCache>
                <c:formatCode>General</c:formatCode>
                <c:ptCount val="2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</c:numCache>
            </c:numRef>
          </c:xVal>
          <c:yVal>
            <c:numRef>
              <c:f>T0!$AO$52:$AO$76</c:f>
              <c:numCache>
                <c:formatCode>General</c:formatCode>
                <c:ptCount val="25"/>
                <c:pt idx="0">
                  <c:v>0.5</c:v>
                </c:pt>
                <c:pt idx="1">
                  <c:v>0.5</c:v>
                </c:pt>
                <c:pt idx="2">
                  <c:v>0.33333333333333298</c:v>
                </c:pt>
                <c:pt idx="3">
                  <c:v>0.5</c:v>
                </c:pt>
                <c:pt idx="4">
                  <c:v>0</c:v>
                </c:pt>
                <c:pt idx="5">
                  <c:v>0</c:v>
                </c:pt>
                <c:pt idx="6">
                  <c:v>0.16666666666666699</c:v>
                </c:pt>
                <c:pt idx="7">
                  <c:v>0.16666666666666699</c:v>
                </c:pt>
                <c:pt idx="8">
                  <c:v>0.16666666666666699</c:v>
                </c:pt>
                <c:pt idx="9">
                  <c:v>0.16666666666666699</c:v>
                </c:pt>
                <c:pt idx="10">
                  <c:v>0.16666666666666699</c:v>
                </c:pt>
                <c:pt idx="11">
                  <c:v>0</c:v>
                </c:pt>
                <c:pt idx="12">
                  <c:v>0.16666666666666699</c:v>
                </c:pt>
                <c:pt idx="13">
                  <c:v>0</c:v>
                </c:pt>
                <c:pt idx="14">
                  <c:v>0</c:v>
                </c:pt>
                <c:pt idx="15">
                  <c:v>0.16666666666666699</c:v>
                </c:pt>
                <c:pt idx="16">
                  <c:v>0.16666666666666699</c:v>
                </c:pt>
                <c:pt idx="17">
                  <c:v>0.33333333333333298</c:v>
                </c:pt>
                <c:pt idx="18">
                  <c:v>0.16666666666666699</c:v>
                </c:pt>
                <c:pt idx="19">
                  <c:v>0.16666666666666699</c:v>
                </c:pt>
                <c:pt idx="20">
                  <c:v>0.16666666666666699</c:v>
                </c:pt>
                <c:pt idx="21">
                  <c:v>0.16666666666666699</c:v>
                </c:pt>
                <c:pt idx="22">
                  <c:v>0.16666666666666699</c:v>
                </c:pt>
                <c:pt idx="23">
                  <c:v>0.16666666666666699</c:v>
                </c:pt>
                <c:pt idx="24">
                  <c:v>0.16666666666666699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8CC4-6B47-B477-5615996EB7D8}"/>
            </c:ext>
          </c:extLst>
        </c:ser>
        <c:ser>
          <c:idx val="1"/>
          <c:order val="1"/>
          <c:tx>
            <c:strRef>
              <c:f>T0!$AY$1</c:f>
              <c:strCache>
                <c:ptCount val="1"/>
                <c:pt idx="0">
                  <c:v>Fund if DW detected</c:v>
                </c:pt>
              </c:strCache>
            </c:strRef>
          </c:tx>
          <c:spPr>
            <a:ln w="6350" cmpd="sng">
              <a:solidFill>
                <a:srgbClr val="002060"/>
              </a:solidFill>
            </a:ln>
            <a:effectLst/>
          </c:spPr>
          <c:marker>
            <c:symbol val="square"/>
            <c:size val="2"/>
            <c:spPr>
              <a:solidFill>
                <a:schemeClr val="bg1"/>
              </a:solidFill>
              <a:ln w="3175">
                <a:solidFill>
                  <a:srgbClr val="002060"/>
                </a:solidFill>
              </a:ln>
              <a:effectLst/>
            </c:spPr>
          </c:marker>
          <c:xVal>
            <c:numRef>
              <c:f>T0!$AU$2:$AU$26</c:f>
              <c:numCache>
                <c:formatCode>General</c:formatCode>
                <c:ptCount val="2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</c:numCache>
            </c:numRef>
          </c:xVal>
          <c:yVal>
            <c:numRef>
              <c:f>T0!$AP$52:$AP$76</c:f>
              <c:numCache>
                <c:formatCode>General</c:formatCode>
                <c:ptCount val="25"/>
                <c:pt idx="0">
                  <c:v>0.66666666666666696</c:v>
                </c:pt>
                <c:pt idx="1">
                  <c:v>0.83333333333333304</c:v>
                </c:pt>
                <c:pt idx="2">
                  <c:v>0.66666666666666696</c:v>
                </c:pt>
                <c:pt idx="3">
                  <c:v>0.5</c:v>
                </c:pt>
                <c:pt idx="4">
                  <c:v>0.33333333333333298</c:v>
                </c:pt>
                <c:pt idx="5">
                  <c:v>0.33333333333333298</c:v>
                </c:pt>
                <c:pt idx="6">
                  <c:v>0.5</c:v>
                </c:pt>
                <c:pt idx="7">
                  <c:v>0.5</c:v>
                </c:pt>
                <c:pt idx="8">
                  <c:v>0.5</c:v>
                </c:pt>
                <c:pt idx="9">
                  <c:v>0.5</c:v>
                </c:pt>
                <c:pt idx="10">
                  <c:v>0.5</c:v>
                </c:pt>
                <c:pt idx="11">
                  <c:v>0.16666666666666699</c:v>
                </c:pt>
                <c:pt idx="12">
                  <c:v>0.16666666666666699</c:v>
                </c:pt>
                <c:pt idx="13">
                  <c:v>0</c:v>
                </c:pt>
                <c:pt idx="14">
                  <c:v>0.16666666666666699</c:v>
                </c:pt>
                <c:pt idx="15">
                  <c:v>0.33333333333333298</c:v>
                </c:pt>
                <c:pt idx="16">
                  <c:v>0.16666666666666699</c:v>
                </c:pt>
                <c:pt idx="17">
                  <c:v>0.33333333333333298</c:v>
                </c:pt>
                <c:pt idx="18">
                  <c:v>0.33333333333333298</c:v>
                </c:pt>
                <c:pt idx="19">
                  <c:v>0.33333333333333298</c:v>
                </c:pt>
                <c:pt idx="20">
                  <c:v>0.5</c:v>
                </c:pt>
                <c:pt idx="21">
                  <c:v>0.33333333333333298</c:v>
                </c:pt>
                <c:pt idx="22">
                  <c:v>0.33333333333333298</c:v>
                </c:pt>
                <c:pt idx="23">
                  <c:v>0.33333333333333298</c:v>
                </c:pt>
                <c:pt idx="24">
                  <c:v>0.33333333333333298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8CC4-6B47-B477-5615996EB7D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-2096395784"/>
        <c:axId val="-2096387592"/>
      </c:scatterChart>
      <c:valAx>
        <c:axId val="-2096395784"/>
        <c:scaling>
          <c:orientation val="minMax"/>
          <c:max val="25"/>
          <c:min val="1"/>
        </c:scaling>
        <c:delete val="0"/>
        <c:axPos val="b"/>
        <c:title>
          <c:tx>
            <c:rich>
              <a:bodyPr/>
              <a:lstStyle/>
              <a:p>
                <a:pPr>
                  <a:defRPr sz="500" b="0"/>
                </a:pPr>
                <a:r>
                  <a:rPr lang="en-US" sz="5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rPr>
                  <a:t> </a:t>
                </a:r>
                <a:r>
                  <a:rPr lang="en-US" sz="500" b="0"/>
                  <a:t>Round</a:t>
                </a:r>
              </a:p>
            </c:rich>
          </c:tx>
          <c:layout>
            <c:manualLayout>
              <c:xMode val="edge"/>
              <c:yMode val="edge"/>
              <c:x val="0.40041885008276401"/>
              <c:y val="0.90604453870625601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6350"/>
        </c:spPr>
        <c:txPr>
          <a:bodyPr/>
          <a:lstStyle/>
          <a:p>
            <a:pPr>
              <a:defRPr sz="500"/>
            </a:pPr>
            <a:endParaRPr lang="en-US"/>
          </a:p>
        </c:txPr>
        <c:crossAx val="-2096387592"/>
        <c:crosses val="autoZero"/>
        <c:crossBetween val="midCat"/>
        <c:majorUnit val="24"/>
      </c:valAx>
      <c:valAx>
        <c:axId val="-2096387592"/>
        <c:scaling>
          <c:orientation val="minMax"/>
          <c:max val="1"/>
        </c:scaling>
        <c:delete val="0"/>
        <c:axPos val="l"/>
        <c:majorGridlines>
          <c:spPr>
            <a:ln w="6350"/>
          </c:spPr>
        </c:majorGridlines>
        <c:title>
          <c:tx>
            <c:rich>
              <a:bodyPr rot="-5400000" vert="horz"/>
              <a:lstStyle/>
              <a:p>
                <a:pPr>
                  <a:defRPr sz="500" b="0"/>
                </a:pPr>
                <a:r>
                  <a:rPr lang="en-US" sz="500" b="0" i="0" u="none" strike="noStrike" baseline="0">
                    <a:effectLst/>
                  </a:rPr>
                  <a:t>Borrow</a:t>
                </a:r>
                <a:r>
                  <a:rPr lang="en-US" sz="500" b="0" i="0" u="none" strike="noStrike" kern="1200" baseline="0">
                    <a:solidFill>
                      <a:sysClr val="windowText" lastClr="000000"/>
                    </a:solidFill>
                    <a:effectLst/>
                    <a:latin typeface="+mn-lt"/>
                    <a:ea typeface="+mn-ea"/>
                    <a:cs typeface="+mn-cs"/>
                  </a:rPr>
                  <a:t> </a:t>
                </a:r>
                <a:r>
                  <a:rPr lang="en-US" sz="500" b="0" i="0" u="none" strike="noStrike" baseline="0">
                    <a:effectLst/>
                  </a:rPr>
                  <a:t>at</a:t>
                </a:r>
                <a:r>
                  <a:rPr lang="en-US" sz="500" b="0" i="0" u="none" strike="noStrike" kern="1200" baseline="0">
                    <a:solidFill>
                      <a:sysClr val="windowText" lastClr="000000"/>
                    </a:solidFill>
                    <a:effectLst/>
                    <a:latin typeface="+mn-lt"/>
                    <a:ea typeface="+mn-ea"/>
                    <a:cs typeface="+mn-cs"/>
                  </a:rPr>
                  <a:t> </a:t>
                </a:r>
                <a:r>
                  <a:rPr lang="en-US" sz="500" b="0" i="0" u="none" strike="noStrike" baseline="0">
                    <a:effectLst/>
                  </a:rPr>
                  <a:t>DW</a:t>
                </a:r>
                <a:endParaRPr lang="en-US" sz="500" b="0"/>
              </a:p>
            </c:rich>
          </c:tx>
          <c:layout>
            <c:manualLayout>
              <c:xMode val="edge"/>
              <c:yMode val="edge"/>
              <c:x val="0"/>
              <c:y val="0.28127771144195501"/>
            </c:manualLayout>
          </c:layout>
          <c:overlay val="0"/>
        </c:title>
        <c:numFmt formatCode="0%" sourceLinked="0"/>
        <c:majorTickMark val="out"/>
        <c:minorTickMark val="none"/>
        <c:tickLblPos val="nextTo"/>
        <c:spPr>
          <a:ln w="6350"/>
        </c:spPr>
        <c:txPr>
          <a:bodyPr/>
          <a:lstStyle/>
          <a:p>
            <a:pPr>
              <a:defRPr sz="400"/>
            </a:pPr>
            <a:endParaRPr lang="en-US"/>
          </a:p>
        </c:txPr>
        <c:crossAx val="-2096395784"/>
        <c:crosses val="autoZero"/>
        <c:crossBetween val="midCat"/>
        <c:majorUnit val="1"/>
      </c:valAx>
      <c:spPr>
        <a:ln w="6350">
          <a:solidFill>
            <a:schemeClr val="bg1">
              <a:lumMod val="50000"/>
            </a:schemeClr>
          </a:solidFill>
        </a:ln>
      </c:spPr>
    </c:plotArea>
    <c:plotVisOnly val="1"/>
    <c:dispBlanksAs val="gap"/>
    <c:showDLblsOverMax val="0"/>
  </c:chart>
  <c:spPr>
    <a:ln w="6350"/>
    <a:effectLst/>
  </c:sp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77894226636305"/>
          <c:y val="8.4180938446688003E-2"/>
          <c:w val="0.72024746906636705"/>
          <c:h val="0.78661083324287595"/>
        </c:manualLayout>
      </c:layout>
      <c:scatterChart>
        <c:scatterStyle val="smoothMarker"/>
        <c:varyColors val="0"/>
        <c:ser>
          <c:idx val="0"/>
          <c:order val="0"/>
          <c:tx>
            <c:strRef>
              <c:f>T0!$AX$1</c:f>
              <c:strCache>
                <c:ptCount val="1"/>
                <c:pt idx="0">
                  <c:v>Fund if DW not detected</c:v>
                </c:pt>
              </c:strCache>
            </c:strRef>
          </c:tx>
          <c:spPr>
            <a:ln w="6350">
              <a:solidFill>
                <a:srgbClr val="FF0000"/>
              </a:solidFill>
            </a:ln>
            <a:effectLst/>
          </c:spPr>
          <c:marker>
            <c:symbol val="circle"/>
            <c:size val="2"/>
            <c:spPr>
              <a:solidFill>
                <a:srgbClr val="FF0000"/>
              </a:solidFill>
              <a:ln w="6350">
                <a:solidFill>
                  <a:srgbClr val="FF0000"/>
                </a:solidFill>
              </a:ln>
              <a:effectLst/>
            </c:spPr>
          </c:marker>
          <c:xVal>
            <c:numRef>
              <c:f>T0!$AU$2:$AU$26</c:f>
              <c:numCache>
                <c:formatCode>General</c:formatCode>
                <c:ptCount val="2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</c:numCache>
            </c:numRef>
          </c:xVal>
          <c:yVal>
            <c:numRef>
              <c:f>T0!$AQ$77:$AQ$101</c:f>
              <c:numCache>
                <c:formatCode>General</c:formatCode>
                <c:ptCount val="25"/>
                <c:pt idx="0">
                  <c:v>0.83333333333333304</c:v>
                </c:pt>
                <c:pt idx="1">
                  <c:v>0.66666666666666696</c:v>
                </c:pt>
                <c:pt idx="2">
                  <c:v>0.83333333333333304</c:v>
                </c:pt>
                <c:pt idx="3">
                  <c:v>1</c:v>
                </c:pt>
                <c:pt idx="4">
                  <c:v>0.33333333333333298</c:v>
                </c:pt>
                <c:pt idx="5">
                  <c:v>0.66666666666666696</c:v>
                </c:pt>
                <c:pt idx="6">
                  <c:v>0.66666666666666696</c:v>
                </c:pt>
                <c:pt idx="7">
                  <c:v>1</c:v>
                </c:pt>
                <c:pt idx="8">
                  <c:v>0.83333333333333304</c:v>
                </c:pt>
                <c:pt idx="9">
                  <c:v>0.83333333333333304</c:v>
                </c:pt>
                <c:pt idx="10">
                  <c:v>0.66666666666666696</c:v>
                </c:pt>
                <c:pt idx="11">
                  <c:v>1</c:v>
                </c:pt>
                <c:pt idx="12">
                  <c:v>1</c:v>
                </c:pt>
                <c:pt idx="13">
                  <c:v>0.66666666666666696</c:v>
                </c:pt>
                <c:pt idx="14">
                  <c:v>0.83333333333333304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0.83333333333333304</c:v>
                </c:pt>
                <c:pt idx="19">
                  <c:v>1</c:v>
                </c:pt>
                <c:pt idx="20">
                  <c:v>1</c:v>
                </c:pt>
                <c:pt idx="21">
                  <c:v>0.83333333333333304</c:v>
                </c:pt>
                <c:pt idx="22">
                  <c:v>0.83333333333333304</c:v>
                </c:pt>
                <c:pt idx="23">
                  <c:v>0.83333333333333304</c:v>
                </c:pt>
                <c:pt idx="24">
                  <c:v>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DC9D-FC42-B953-FDFA26824881}"/>
            </c:ext>
          </c:extLst>
        </c:ser>
        <c:ser>
          <c:idx val="1"/>
          <c:order val="1"/>
          <c:tx>
            <c:strRef>
              <c:f>T0!$AY$1</c:f>
              <c:strCache>
                <c:ptCount val="1"/>
                <c:pt idx="0">
                  <c:v>Fund if DW detected</c:v>
                </c:pt>
              </c:strCache>
            </c:strRef>
          </c:tx>
          <c:spPr>
            <a:ln w="6350" cmpd="sng">
              <a:solidFill>
                <a:srgbClr val="FF9300"/>
              </a:solidFill>
            </a:ln>
            <a:effectLst/>
          </c:spPr>
          <c:marker>
            <c:symbol val="circle"/>
            <c:size val="2"/>
            <c:spPr>
              <a:solidFill>
                <a:schemeClr val="bg1"/>
              </a:solidFill>
              <a:ln w="6350">
                <a:solidFill>
                  <a:srgbClr val="FF9300"/>
                </a:solidFill>
              </a:ln>
              <a:effectLst/>
            </c:spPr>
          </c:marker>
          <c:xVal>
            <c:numRef>
              <c:f>T0!$AU$2:$AU$26</c:f>
              <c:numCache>
                <c:formatCode>General</c:formatCode>
                <c:ptCount val="2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</c:numCache>
            </c:numRef>
          </c:xVal>
          <c:yVal>
            <c:numRef>
              <c:f>T0!$AR$77:$AR$101</c:f>
              <c:numCache>
                <c:formatCode>General</c:formatCode>
                <c:ptCount val="25"/>
                <c:pt idx="0">
                  <c:v>0.66666666666666696</c:v>
                </c:pt>
                <c:pt idx="1">
                  <c:v>0.5</c:v>
                </c:pt>
                <c:pt idx="2">
                  <c:v>0.16666666666666699</c:v>
                </c:pt>
                <c:pt idx="3">
                  <c:v>0.5</c:v>
                </c:pt>
                <c:pt idx="4">
                  <c:v>0.33333333333333298</c:v>
                </c:pt>
                <c:pt idx="5">
                  <c:v>0.33333333333333298</c:v>
                </c:pt>
                <c:pt idx="6">
                  <c:v>0.33333333333333298</c:v>
                </c:pt>
                <c:pt idx="7">
                  <c:v>0.16666666666666699</c:v>
                </c:pt>
                <c:pt idx="8">
                  <c:v>0.16666666666666699</c:v>
                </c:pt>
                <c:pt idx="9">
                  <c:v>0.16666666666666699</c:v>
                </c:pt>
                <c:pt idx="10">
                  <c:v>0.16666666666666699</c:v>
                </c:pt>
                <c:pt idx="11">
                  <c:v>0</c:v>
                </c:pt>
                <c:pt idx="12">
                  <c:v>0</c:v>
                </c:pt>
                <c:pt idx="13">
                  <c:v>0.16666666666666699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0.16666666666666699</c:v>
                </c:pt>
                <c:pt idx="18">
                  <c:v>0</c:v>
                </c:pt>
                <c:pt idx="19">
                  <c:v>0.16666666666666699</c:v>
                </c:pt>
                <c:pt idx="20">
                  <c:v>0</c:v>
                </c:pt>
                <c:pt idx="21">
                  <c:v>0</c:v>
                </c:pt>
                <c:pt idx="22">
                  <c:v>0.16666666666666699</c:v>
                </c:pt>
                <c:pt idx="23">
                  <c:v>0</c:v>
                </c:pt>
                <c:pt idx="24">
                  <c:v>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DC9D-FC42-B953-FDFA2682488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114588264"/>
        <c:axId val="2114657496"/>
      </c:scatterChart>
      <c:valAx>
        <c:axId val="2114588264"/>
        <c:scaling>
          <c:orientation val="minMax"/>
          <c:max val="25"/>
          <c:min val="1"/>
        </c:scaling>
        <c:delete val="0"/>
        <c:axPos val="b"/>
        <c:title>
          <c:tx>
            <c:rich>
              <a:bodyPr/>
              <a:lstStyle/>
              <a:p>
                <a:pPr>
                  <a:defRPr sz="500" b="0"/>
                </a:pPr>
                <a:r>
                  <a:rPr lang="en-US" sz="5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rPr>
                  <a:t> </a:t>
                </a:r>
                <a:r>
                  <a:rPr lang="en-US" sz="500" b="0"/>
                  <a:t>Round</a:t>
                </a:r>
              </a:p>
            </c:rich>
          </c:tx>
          <c:layout>
            <c:manualLayout>
              <c:xMode val="edge"/>
              <c:yMode val="edge"/>
              <c:x val="0.40041885008276401"/>
              <c:y val="0.90604453870625601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6350"/>
        </c:spPr>
        <c:txPr>
          <a:bodyPr/>
          <a:lstStyle/>
          <a:p>
            <a:pPr>
              <a:defRPr sz="500"/>
            </a:pPr>
            <a:endParaRPr lang="en-US"/>
          </a:p>
        </c:txPr>
        <c:crossAx val="2114657496"/>
        <c:crosses val="autoZero"/>
        <c:crossBetween val="midCat"/>
        <c:majorUnit val="24"/>
      </c:valAx>
      <c:valAx>
        <c:axId val="2114657496"/>
        <c:scaling>
          <c:orientation val="minMax"/>
          <c:max val="1"/>
        </c:scaling>
        <c:delete val="0"/>
        <c:axPos val="l"/>
        <c:majorGridlines>
          <c:spPr>
            <a:ln w="6350"/>
          </c:spPr>
        </c:majorGridlines>
        <c:title>
          <c:tx>
            <c:rich>
              <a:bodyPr rot="-5400000" vert="horz"/>
              <a:lstStyle/>
              <a:p>
                <a:pPr>
                  <a:defRPr sz="500" b="0"/>
                </a:pPr>
                <a:r>
                  <a:rPr lang="en-US" sz="500" b="0" i="0" u="none" strike="noStrike" baseline="0">
                    <a:effectLst/>
                  </a:rPr>
                  <a:t>Fund</a:t>
                </a:r>
                <a:r>
                  <a:rPr lang="en-US" sz="500" b="0" i="0" u="none" strike="noStrike" kern="1200" baseline="0">
                    <a:solidFill>
                      <a:sysClr val="windowText" lastClr="000000"/>
                    </a:solidFill>
                    <a:effectLst/>
                    <a:latin typeface="+mn-lt"/>
                    <a:ea typeface="+mn-ea"/>
                    <a:cs typeface="+mn-cs"/>
                  </a:rPr>
                  <a:t> </a:t>
                </a:r>
                <a:r>
                  <a:rPr lang="en-US" sz="500" b="0" i="0" u="none" strike="noStrike" baseline="0">
                    <a:effectLst/>
                  </a:rPr>
                  <a:t>the</a:t>
                </a:r>
                <a:r>
                  <a:rPr lang="en-US" sz="500" b="0" i="0" u="none" strike="noStrike" kern="1200" baseline="0">
                    <a:solidFill>
                      <a:sysClr val="windowText" lastClr="000000"/>
                    </a:solidFill>
                    <a:effectLst/>
                    <a:latin typeface="+mn-lt"/>
                    <a:ea typeface="+mn-ea"/>
                    <a:cs typeface="+mn-cs"/>
                  </a:rPr>
                  <a:t> </a:t>
                </a:r>
                <a:r>
                  <a:rPr lang="en-US" sz="500" b="0" i="0" u="none" strike="noStrike" baseline="0">
                    <a:effectLst/>
                  </a:rPr>
                  <a:t>Bank</a:t>
                </a:r>
                <a:r>
                  <a:rPr lang="en-US" sz="500" b="0" i="0" u="none" strike="noStrike" kern="1200" baseline="0">
                    <a:solidFill>
                      <a:sysClr val="windowText" lastClr="000000"/>
                    </a:solidFill>
                    <a:effectLst/>
                    <a:latin typeface="+mn-lt"/>
                    <a:ea typeface="+mn-ea"/>
                    <a:cs typeface="+mn-cs"/>
                  </a:rPr>
                  <a:t> </a:t>
                </a:r>
                <a:endParaRPr lang="en-US" sz="500" b="0"/>
              </a:p>
            </c:rich>
          </c:tx>
          <c:layout>
            <c:manualLayout>
              <c:xMode val="edge"/>
              <c:yMode val="edge"/>
              <c:x val="0"/>
              <c:y val="0.28127771144195501"/>
            </c:manualLayout>
          </c:layout>
          <c:overlay val="0"/>
        </c:title>
        <c:numFmt formatCode="0%" sourceLinked="0"/>
        <c:majorTickMark val="out"/>
        <c:minorTickMark val="none"/>
        <c:tickLblPos val="nextTo"/>
        <c:spPr>
          <a:ln w="6350"/>
        </c:spPr>
        <c:txPr>
          <a:bodyPr/>
          <a:lstStyle/>
          <a:p>
            <a:pPr>
              <a:defRPr sz="400"/>
            </a:pPr>
            <a:endParaRPr lang="en-US"/>
          </a:p>
        </c:txPr>
        <c:crossAx val="2114588264"/>
        <c:crosses val="autoZero"/>
        <c:crossBetween val="midCat"/>
        <c:majorUnit val="1"/>
      </c:valAx>
      <c:spPr>
        <a:ln w="6350">
          <a:solidFill>
            <a:schemeClr val="bg1">
              <a:lumMod val="50000"/>
            </a:schemeClr>
          </a:solidFill>
        </a:ln>
      </c:spPr>
    </c:plotArea>
    <c:plotVisOnly val="1"/>
    <c:dispBlanksAs val="gap"/>
    <c:showDLblsOverMax val="0"/>
  </c:chart>
  <c:spPr>
    <a:ln w="6350"/>
    <a:effectLst/>
  </c:sp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77894226636305"/>
          <c:y val="8.4180938446688003E-2"/>
          <c:w val="0.72024746906636705"/>
          <c:h val="0.78661083324287595"/>
        </c:manualLayout>
      </c:layout>
      <c:scatterChart>
        <c:scatterStyle val="smoothMarker"/>
        <c:varyColors val="0"/>
        <c:ser>
          <c:idx val="0"/>
          <c:order val="0"/>
          <c:tx>
            <c:strRef>
              <c:f>T0!$AX$1</c:f>
              <c:strCache>
                <c:ptCount val="1"/>
                <c:pt idx="0">
                  <c:v>Fund if DW not detected</c:v>
                </c:pt>
              </c:strCache>
            </c:strRef>
          </c:tx>
          <c:spPr>
            <a:ln w="6350">
              <a:solidFill>
                <a:srgbClr val="00B0F0"/>
              </a:solidFill>
            </a:ln>
            <a:effectLst/>
          </c:spPr>
          <c:marker>
            <c:symbol val="square"/>
            <c:size val="2"/>
            <c:spPr>
              <a:solidFill>
                <a:srgbClr val="00B0F0"/>
              </a:solidFill>
              <a:ln w="6350">
                <a:noFill/>
              </a:ln>
              <a:effectLst/>
            </c:spPr>
          </c:marker>
          <c:xVal>
            <c:numRef>
              <c:f>T0!$AU$2:$AU$26</c:f>
              <c:numCache>
                <c:formatCode>General</c:formatCode>
                <c:ptCount val="2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</c:numCache>
            </c:numRef>
          </c:xVal>
          <c:yVal>
            <c:numRef>
              <c:f>T0!$AO$77:$AO$101</c:f>
              <c:numCache>
                <c:formatCode>General</c:formatCode>
                <c:ptCount val="25"/>
                <c:pt idx="0">
                  <c:v>0.83333333333333304</c:v>
                </c:pt>
                <c:pt idx="1">
                  <c:v>0.5</c:v>
                </c:pt>
                <c:pt idx="2">
                  <c:v>0.83333333333333304</c:v>
                </c:pt>
                <c:pt idx="3">
                  <c:v>0.66666666666666696</c:v>
                </c:pt>
                <c:pt idx="4">
                  <c:v>1</c:v>
                </c:pt>
                <c:pt idx="5">
                  <c:v>0.66666666666666696</c:v>
                </c:pt>
                <c:pt idx="6">
                  <c:v>0.83333333333333304</c:v>
                </c:pt>
                <c:pt idx="7">
                  <c:v>1</c:v>
                </c:pt>
                <c:pt idx="8">
                  <c:v>0.83333333333333304</c:v>
                </c:pt>
                <c:pt idx="9">
                  <c:v>0.66666666666666696</c:v>
                </c:pt>
                <c:pt idx="10">
                  <c:v>0.66666666666666696</c:v>
                </c:pt>
                <c:pt idx="11">
                  <c:v>0.5</c:v>
                </c:pt>
                <c:pt idx="12">
                  <c:v>0.5</c:v>
                </c:pt>
                <c:pt idx="13">
                  <c:v>0.66666666666666696</c:v>
                </c:pt>
                <c:pt idx="14">
                  <c:v>0.33333333333333298</c:v>
                </c:pt>
                <c:pt idx="15">
                  <c:v>0.33333333333333298</c:v>
                </c:pt>
                <c:pt idx="16">
                  <c:v>0.33333333333333298</c:v>
                </c:pt>
                <c:pt idx="17">
                  <c:v>0</c:v>
                </c:pt>
                <c:pt idx="18">
                  <c:v>0.16666666666666699</c:v>
                </c:pt>
                <c:pt idx="19">
                  <c:v>0.16666666666666699</c:v>
                </c:pt>
                <c:pt idx="20">
                  <c:v>0.33333333333333298</c:v>
                </c:pt>
                <c:pt idx="21">
                  <c:v>0</c:v>
                </c:pt>
                <c:pt idx="22">
                  <c:v>0.33333333333333298</c:v>
                </c:pt>
                <c:pt idx="23">
                  <c:v>0.5</c:v>
                </c:pt>
                <c:pt idx="24">
                  <c:v>0.33333333333333298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83CD-8843-B5BE-8B0601DC4DFE}"/>
            </c:ext>
          </c:extLst>
        </c:ser>
        <c:ser>
          <c:idx val="1"/>
          <c:order val="1"/>
          <c:tx>
            <c:strRef>
              <c:f>T0!$AY$1</c:f>
              <c:strCache>
                <c:ptCount val="1"/>
                <c:pt idx="0">
                  <c:v>Fund if DW detected</c:v>
                </c:pt>
              </c:strCache>
            </c:strRef>
          </c:tx>
          <c:spPr>
            <a:ln w="6350" cmpd="sng">
              <a:solidFill>
                <a:srgbClr val="002060"/>
              </a:solidFill>
            </a:ln>
            <a:effectLst/>
          </c:spPr>
          <c:marker>
            <c:symbol val="square"/>
            <c:size val="2"/>
            <c:spPr>
              <a:solidFill>
                <a:schemeClr val="bg1"/>
              </a:solidFill>
              <a:ln w="3175">
                <a:solidFill>
                  <a:srgbClr val="002060"/>
                </a:solidFill>
              </a:ln>
              <a:effectLst/>
            </c:spPr>
          </c:marker>
          <c:xVal>
            <c:numRef>
              <c:f>T0!$AU$2:$AU$26</c:f>
              <c:numCache>
                <c:formatCode>General</c:formatCode>
                <c:ptCount val="2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</c:numCache>
            </c:numRef>
          </c:xVal>
          <c:yVal>
            <c:numRef>
              <c:f>T0!$AP$77:$AP$101</c:f>
              <c:numCache>
                <c:formatCode>General</c:formatCode>
                <c:ptCount val="25"/>
                <c:pt idx="0">
                  <c:v>0.83333333333333304</c:v>
                </c:pt>
                <c:pt idx="1">
                  <c:v>0.16666666666666699</c:v>
                </c:pt>
                <c:pt idx="2">
                  <c:v>0.66666666666666696</c:v>
                </c:pt>
                <c:pt idx="3">
                  <c:v>0.16666666666666699</c:v>
                </c:pt>
                <c:pt idx="4">
                  <c:v>0.33333333333333298</c:v>
                </c:pt>
                <c:pt idx="5">
                  <c:v>0.66666666666666696</c:v>
                </c:pt>
                <c:pt idx="6">
                  <c:v>0.33333333333333298</c:v>
                </c:pt>
                <c:pt idx="7">
                  <c:v>0.33333333333333298</c:v>
                </c:pt>
                <c:pt idx="8">
                  <c:v>0.33333333333333298</c:v>
                </c:pt>
                <c:pt idx="9">
                  <c:v>0.16666666666666699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0.16666666666666699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0.16666666666666699</c:v>
                </c:pt>
                <c:pt idx="24">
                  <c:v>0.33333333333333298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83CD-8843-B5BE-8B0601DC4DF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078343144"/>
        <c:axId val="2114637304"/>
      </c:scatterChart>
      <c:valAx>
        <c:axId val="2078343144"/>
        <c:scaling>
          <c:orientation val="minMax"/>
          <c:max val="25"/>
          <c:min val="1"/>
        </c:scaling>
        <c:delete val="0"/>
        <c:axPos val="b"/>
        <c:title>
          <c:tx>
            <c:rich>
              <a:bodyPr/>
              <a:lstStyle/>
              <a:p>
                <a:pPr>
                  <a:defRPr sz="500" b="0"/>
                </a:pPr>
                <a:r>
                  <a:rPr lang="en-US" sz="5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rPr>
                  <a:t> </a:t>
                </a:r>
                <a:r>
                  <a:rPr lang="en-US" sz="500" b="0"/>
                  <a:t>Round</a:t>
                </a:r>
              </a:p>
            </c:rich>
          </c:tx>
          <c:layout>
            <c:manualLayout>
              <c:xMode val="edge"/>
              <c:yMode val="edge"/>
              <c:x val="0.40041885008276401"/>
              <c:y val="0.90604453870625601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6350"/>
        </c:spPr>
        <c:txPr>
          <a:bodyPr/>
          <a:lstStyle/>
          <a:p>
            <a:pPr>
              <a:defRPr sz="500"/>
            </a:pPr>
            <a:endParaRPr lang="en-US"/>
          </a:p>
        </c:txPr>
        <c:crossAx val="2114637304"/>
        <c:crosses val="autoZero"/>
        <c:crossBetween val="midCat"/>
        <c:majorUnit val="24"/>
      </c:valAx>
      <c:valAx>
        <c:axId val="2114637304"/>
        <c:scaling>
          <c:orientation val="minMax"/>
          <c:max val="1"/>
        </c:scaling>
        <c:delete val="0"/>
        <c:axPos val="l"/>
        <c:majorGridlines>
          <c:spPr>
            <a:ln w="6350"/>
          </c:spPr>
        </c:majorGridlines>
        <c:title>
          <c:tx>
            <c:rich>
              <a:bodyPr rot="-5400000" vert="horz"/>
              <a:lstStyle/>
              <a:p>
                <a:pPr>
                  <a:defRPr sz="500" b="0"/>
                </a:pPr>
                <a:r>
                  <a:rPr lang="en-US" sz="500" b="0" i="0" u="none" strike="noStrike" baseline="0">
                    <a:effectLst/>
                  </a:rPr>
                  <a:t>Borrow</a:t>
                </a:r>
                <a:r>
                  <a:rPr lang="en-US" sz="500" b="0" i="0" u="none" strike="noStrike" kern="1200" baseline="0">
                    <a:solidFill>
                      <a:sysClr val="windowText" lastClr="000000"/>
                    </a:solidFill>
                    <a:effectLst/>
                    <a:latin typeface="+mn-lt"/>
                    <a:ea typeface="+mn-ea"/>
                    <a:cs typeface="+mn-cs"/>
                  </a:rPr>
                  <a:t> </a:t>
                </a:r>
                <a:r>
                  <a:rPr lang="en-US" sz="500" b="0" i="0" u="none" strike="noStrike" baseline="0">
                    <a:effectLst/>
                  </a:rPr>
                  <a:t>at</a:t>
                </a:r>
                <a:r>
                  <a:rPr lang="en-US" sz="500" b="0" i="0" u="none" strike="noStrike" kern="1200" baseline="0">
                    <a:solidFill>
                      <a:sysClr val="windowText" lastClr="000000"/>
                    </a:solidFill>
                    <a:effectLst/>
                    <a:latin typeface="+mn-lt"/>
                    <a:ea typeface="+mn-ea"/>
                    <a:cs typeface="+mn-cs"/>
                  </a:rPr>
                  <a:t> </a:t>
                </a:r>
                <a:r>
                  <a:rPr lang="en-US" sz="500" b="0" i="0" u="none" strike="noStrike" baseline="0">
                    <a:effectLst/>
                  </a:rPr>
                  <a:t>DW</a:t>
                </a:r>
                <a:endParaRPr lang="en-US" sz="500" b="0"/>
              </a:p>
            </c:rich>
          </c:tx>
          <c:layout>
            <c:manualLayout>
              <c:xMode val="edge"/>
              <c:yMode val="edge"/>
              <c:x val="0"/>
              <c:y val="0.28127771144195501"/>
            </c:manualLayout>
          </c:layout>
          <c:overlay val="0"/>
        </c:title>
        <c:numFmt formatCode="0%" sourceLinked="0"/>
        <c:majorTickMark val="out"/>
        <c:minorTickMark val="none"/>
        <c:tickLblPos val="nextTo"/>
        <c:spPr>
          <a:ln w="6350"/>
        </c:spPr>
        <c:txPr>
          <a:bodyPr/>
          <a:lstStyle/>
          <a:p>
            <a:pPr>
              <a:defRPr sz="400"/>
            </a:pPr>
            <a:endParaRPr lang="en-US"/>
          </a:p>
        </c:txPr>
        <c:crossAx val="2078343144"/>
        <c:crosses val="autoZero"/>
        <c:crossBetween val="midCat"/>
        <c:majorUnit val="1"/>
      </c:valAx>
      <c:spPr>
        <a:ln w="6350">
          <a:solidFill>
            <a:schemeClr val="bg1">
              <a:lumMod val="50000"/>
            </a:schemeClr>
          </a:solidFill>
        </a:ln>
      </c:spPr>
    </c:plotArea>
    <c:plotVisOnly val="1"/>
    <c:dispBlanksAs val="gap"/>
    <c:showDLblsOverMax val="0"/>
  </c:chart>
  <c:spPr>
    <a:ln w="6350"/>
    <a:effectLst/>
  </c:sp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77894226636305"/>
          <c:y val="8.4180938446688003E-2"/>
          <c:w val="0.72024746906636705"/>
          <c:h val="0.78661083324287595"/>
        </c:manualLayout>
      </c:layout>
      <c:scatterChart>
        <c:scatterStyle val="smoothMarker"/>
        <c:varyColors val="0"/>
        <c:ser>
          <c:idx val="0"/>
          <c:order val="0"/>
          <c:tx>
            <c:strRef>
              <c:f>T0!$AX$1</c:f>
              <c:strCache>
                <c:ptCount val="1"/>
                <c:pt idx="0">
                  <c:v>Fund if DW not detected</c:v>
                </c:pt>
              </c:strCache>
            </c:strRef>
          </c:tx>
          <c:spPr>
            <a:ln w="6350">
              <a:solidFill>
                <a:srgbClr val="FF0000"/>
              </a:solidFill>
            </a:ln>
            <a:effectLst/>
          </c:spPr>
          <c:marker>
            <c:symbol val="circle"/>
            <c:size val="2"/>
            <c:spPr>
              <a:solidFill>
                <a:srgbClr val="FF0000"/>
              </a:solidFill>
              <a:ln w="6350">
                <a:solidFill>
                  <a:srgbClr val="FF0000"/>
                </a:solidFill>
              </a:ln>
              <a:effectLst/>
            </c:spPr>
          </c:marker>
          <c:xVal>
            <c:numRef>
              <c:f>T0!$AU$2:$AU$26</c:f>
              <c:numCache>
                <c:formatCode>General</c:formatCode>
                <c:ptCount val="2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</c:numCache>
            </c:numRef>
          </c:xVal>
          <c:yVal>
            <c:numRef>
              <c:f>T0!$AQ$102:$AQ$126</c:f>
              <c:numCache>
                <c:formatCode>General</c:formatCode>
                <c:ptCount val="25"/>
                <c:pt idx="0">
                  <c:v>0.66666666666666696</c:v>
                </c:pt>
                <c:pt idx="1">
                  <c:v>0.83333333333333304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0.83333333333333304</c:v>
                </c:pt>
                <c:pt idx="6">
                  <c:v>0.83333333333333304</c:v>
                </c:pt>
                <c:pt idx="7">
                  <c:v>0.83333333333333304</c:v>
                </c:pt>
                <c:pt idx="8">
                  <c:v>0.66666666666666696</c:v>
                </c:pt>
                <c:pt idx="9">
                  <c:v>1</c:v>
                </c:pt>
                <c:pt idx="10">
                  <c:v>1</c:v>
                </c:pt>
                <c:pt idx="11">
                  <c:v>0.83333333333333304</c:v>
                </c:pt>
                <c:pt idx="12">
                  <c:v>0.66666666666666696</c:v>
                </c:pt>
                <c:pt idx="13">
                  <c:v>1</c:v>
                </c:pt>
                <c:pt idx="14">
                  <c:v>0.66666666666666696</c:v>
                </c:pt>
                <c:pt idx="15">
                  <c:v>0.83333333333333304</c:v>
                </c:pt>
                <c:pt idx="16">
                  <c:v>1</c:v>
                </c:pt>
                <c:pt idx="17">
                  <c:v>0.83333333333333304</c:v>
                </c:pt>
                <c:pt idx="18">
                  <c:v>0.83333333333333304</c:v>
                </c:pt>
                <c:pt idx="19">
                  <c:v>0.83333333333333304</c:v>
                </c:pt>
                <c:pt idx="20">
                  <c:v>1</c:v>
                </c:pt>
                <c:pt idx="21">
                  <c:v>0.83333333333333304</c:v>
                </c:pt>
                <c:pt idx="22">
                  <c:v>0.83333333333333304</c:v>
                </c:pt>
                <c:pt idx="23">
                  <c:v>0.66666666666666696</c:v>
                </c:pt>
                <c:pt idx="24">
                  <c:v>0.83333333333333304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152B-6E41-B65A-3D4FE5DA7E31}"/>
            </c:ext>
          </c:extLst>
        </c:ser>
        <c:ser>
          <c:idx val="1"/>
          <c:order val="1"/>
          <c:tx>
            <c:strRef>
              <c:f>T0!$AY$1</c:f>
              <c:strCache>
                <c:ptCount val="1"/>
                <c:pt idx="0">
                  <c:v>Fund if DW detected</c:v>
                </c:pt>
              </c:strCache>
            </c:strRef>
          </c:tx>
          <c:spPr>
            <a:ln w="6350" cmpd="sng">
              <a:solidFill>
                <a:srgbClr val="FF9300"/>
              </a:solidFill>
            </a:ln>
            <a:effectLst/>
          </c:spPr>
          <c:marker>
            <c:symbol val="circle"/>
            <c:size val="2"/>
            <c:spPr>
              <a:solidFill>
                <a:schemeClr val="bg1"/>
              </a:solidFill>
              <a:ln w="6350">
                <a:solidFill>
                  <a:srgbClr val="FF9300"/>
                </a:solidFill>
              </a:ln>
              <a:effectLst/>
            </c:spPr>
          </c:marker>
          <c:xVal>
            <c:numRef>
              <c:f>T0!$AU$2:$AU$26</c:f>
              <c:numCache>
                <c:formatCode>General</c:formatCode>
                <c:ptCount val="2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</c:numCache>
            </c:numRef>
          </c:xVal>
          <c:yVal>
            <c:numRef>
              <c:f>T0!$AR$102:$AR$126</c:f>
              <c:numCache>
                <c:formatCode>General</c:formatCode>
                <c:ptCount val="25"/>
                <c:pt idx="0">
                  <c:v>0.66666666666666696</c:v>
                </c:pt>
                <c:pt idx="1">
                  <c:v>0.66666666666666696</c:v>
                </c:pt>
                <c:pt idx="2">
                  <c:v>0.5</c:v>
                </c:pt>
                <c:pt idx="3">
                  <c:v>0.5</c:v>
                </c:pt>
                <c:pt idx="4">
                  <c:v>0.66666666666666696</c:v>
                </c:pt>
                <c:pt idx="5">
                  <c:v>0.5</c:v>
                </c:pt>
                <c:pt idx="6">
                  <c:v>0.5</c:v>
                </c:pt>
                <c:pt idx="7">
                  <c:v>0.5</c:v>
                </c:pt>
                <c:pt idx="8">
                  <c:v>0.16666666666666699</c:v>
                </c:pt>
                <c:pt idx="9">
                  <c:v>0.16666666666666699</c:v>
                </c:pt>
                <c:pt idx="10">
                  <c:v>0</c:v>
                </c:pt>
                <c:pt idx="11">
                  <c:v>0.16666666666666699</c:v>
                </c:pt>
                <c:pt idx="12">
                  <c:v>0.16666666666666699</c:v>
                </c:pt>
                <c:pt idx="13">
                  <c:v>0</c:v>
                </c:pt>
                <c:pt idx="14">
                  <c:v>0.16666666666666699</c:v>
                </c:pt>
                <c:pt idx="15">
                  <c:v>0</c:v>
                </c:pt>
                <c:pt idx="16">
                  <c:v>0.16666666666666699</c:v>
                </c:pt>
                <c:pt idx="17">
                  <c:v>0</c:v>
                </c:pt>
                <c:pt idx="18">
                  <c:v>0.16666666666666699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0.16666666666666699</c:v>
                </c:pt>
                <c:pt idx="23">
                  <c:v>0</c:v>
                </c:pt>
                <c:pt idx="24">
                  <c:v>0.16666666666666699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152B-6E41-B65A-3D4FE5DA7E3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-2096281848"/>
        <c:axId val="-2096379688"/>
      </c:scatterChart>
      <c:valAx>
        <c:axId val="-2096281848"/>
        <c:scaling>
          <c:orientation val="minMax"/>
          <c:max val="25"/>
          <c:min val="1"/>
        </c:scaling>
        <c:delete val="0"/>
        <c:axPos val="b"/>
        <c:title>
          <c:tx>
            <c:rich>
              <a:bodyPr/>
              <a:lstStyle/>
              <a:p>
                <a:pPr>
                  <a:defRPr sz="500" b="0"/>
                </a:pPr>
                <a:r>
                  <a:rPr lang="en-US" sz="5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rPr>
                  <a:t> </a:t>
                </a:r>
                <a:r>
                  <a:rPr lang="en-US" sz="500" b="0"/>
                  <a:t>Round</a:t>
                </a:r>
              </a:p>
            </c:rich>
          </c:tx>
          <c:layout>
            <c:manualLayout>
              <c:xMode val="edge"/>
              <c:yMode val="edge"/>
              <c:x val="0.40041885008276401"/>
              <c:y val="0.90604453870625601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6350"/>
        </c:spPr>
        <c:txPr>
          <a:bodyPr/>
          <a:lstStyle/>
          <a:p>
            <a:pPr>
              <a:defRPr sz="500"/>
            </a:pPr>
            <a:endParaRPr lang="en-US"/>
          </a:p>
        </c:txPr>
        <c:crossAx val="-2096379688"/>
        <c:crosses val="autoZero"/>
        <c:crossBetween val="midCat"/>
        <c:majorUnit val="24"/>
      </c:valAx>
      <c:valAx>
        <c:axId val="-2096379688"/>
        <c:scaling>
          <c:orientation val="minMax"/>
          <c:max val="1"/>
        </c:scaling>
        <c:delete val="0"/>
        <c:axPos val="l"/>
        <c:majorGridlines>
          <c:spPr>
            <a:ln w="6350"/>
          </c:spPr>
        </c:majorGridlines>
        <c:title>
          <c:tx>
            <c:rich>
              <a:bodyPr rot="-5400000" vert="horz"/>
              <a:lstStyle/>
              <a:p>
                <a:pPr>
                  <a:defRPr sz="500" b="0"/>
                </a:pPr>
                <a:r>
                  <a:rPr lang="en-US" sz="500" b="0" i="0" u="none" strike="noStrike" baseline="0">
                    <a:effectLst/>
                  </a:rPr>
                  <a:t>Fund</a:t>
                </a:r>
                <a:r>
                  <a:rPr lang="en-US" sz="500" b="0" i="0" u="none" strike="noStrike" kern="1200" baseline="0">
                    <a:solidFill>
                      <a:sysClr val="windowText" lastClr="000000"/>
                    </a:solidFill>
                    <a:effectLst/>
                    <a:latin typeface="+mn-lt"/>
                    <a:ea typeface="+mn-ea"/>
                    <a:cs typeface="+mn-cs"/>
                  </a:rPr>
                  <a:t> </a:t>
                </a:r>
                <a:r>
                  <a:rPr lang="en-US" sz="500" b="0" i="0" u="none" strike="noStrike" baseline="0">
                    <a:effectLst/>
                  </a:rPr>
                  <a:t>the</a:t>
                </a:r>
                <a:r>
                  <a:rPr lang="en-US" sz="500" b="0" i="0" u="none" strike="noStrike" kern="1200" baseline="0">
                    <a:solidFill>
                      <a:sysClr val="windowText" lastClr="000000"/>
                    </a:solidFill>
                    <a:effectLst/>
                    <a:latin typeface="+mn-lt"/>
                    <a:ea typeface="+mn-ea"/>
                    <a:cs typeface="+mn-cs"/>
                  </a:rPr>
                  <a:t> </a:t>
                </a:r>
                <a:r>
                  <a:rPr lang="en-US" sz="500" b="0" i="0" u="none" strike="noStrike" baseline="0">
                    <a:effectLst/>
                  </a:rPr>
                  <a:t>Bank</a:t>
                </a:r>
                <a:r>
                  <a:rPr lang="en-US" sz="500" b="0" i="0" u="none" strike="noStrike" kern="1200" baseline="0">
                    <a:solidFill>
                      <a:sysClr val="windowText" lastClr="000000"/>
                    </a:solidFill>
                    <a:effectLst/>
                    <a:latin typeface="+mn-lt"/>
                    <a:ea typeface="+mn-ea"/>
                    <a:cs typeface="+mn-cs"/>
                  </a:rPr>
                  <a:t> </a:t>
                </a:r>
                <a:endParaRPr lang="en-US" sz="500" b="0"/>
              </a:p>
            </c:rich>
          </c:tx>
          <c:layout>
            <c:manualLayout>
              <c:xMode val="edge"/>
              <c:yMode val="edge"/>
              <c:x val="0"/>
              <c:y val="0.28127771144195501"/>
            </c:manualLayout>
          </c:layout>
          <c:overlay val="0"/>
        </c:title>
        <c:numFmt formatCode="0%" sourceLinked="0"/>
        <c:majorTickMark val="out"/>
        <c:minorTickMark val="none"/>
        <c:tickLblPos val="nextTo"/>
        <c:spPr>
          <a:ln w="6350"/>
        </c:spPr>
        <c:txPr>
          <a:bodyPr/>
          <a:lstStyle/>
          <a:p>
            <a:pPr>
              <a:defRPr sz="400"/>
            </a:pPr>
            <a:endParaRPr lang="en-US"/>
          </a:p>
        </c:txPr>
        <c:crossAx val="-2096281848"/>
        <c:crosses val="autoZero"/>
        <c:crossBetween val="midCat"/>
        <c:majorUnit val="1"/>
      </c:valAx>
      <c:spPr>
        <a:ln w="6350">
          <a:solidFill>
            <a:schemeClr val="bg1">
              <a:lumMod val="50000"/>
            </a:schemeClr>
          </a:solidFill>
        </a:ln>
      </c:spPr>
    </c:plotArea>
    <c:plotVisOnly val="1"/>
    <c:dispBlanksAs val="gap"/>
    <c:showDLblsOverMax val="0"/>
  </c:chart>
  <c:spPr>
    <a:ln w="6350"/>
    <a:effectLst/>
  </c:sp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77894226636305"/>
          <c:y val="8.4180938446688003E-2"/>
          <c:w val="0.72024746906636705"/>
          <c:h val="0.78661083324287595"/>
        </c:manualLayout>
      </c:layout>
      <c:scatterChart>
        <c:scatterStyle val="smoothMarker"/>
        <c:varyColors val="0"/>
        <c:ser>
          <c:idx val="0"/>
          <c:order val="0"/>
          <c:tx>
            <c:strRef>
              <c:f>T0!$AX$1</c:f>
              <c:strCache>
                <c:ptCount val="1"/>
                <c:pt idx="0">
                  <c:v>Fund if DW not detected</c:v>
                </c:pt>
              </c:strCache>
            </c:strRef>
          </c:tx>
          <c:spPr>
            <a:ln w="6350">
              <a:solidFill>
                <a:srgbClr val="00B0F0"/>
              </a:solidFill>
            </a:ln>
            <a:effectLst/>
          </c:spPr>
          <c:marker>
            <c:symbol val="square"/>
            <c:size val="2"/>
            <c:spPr>
              <a:solidFill>
                <a:srgbClr val="00B0F0"/>
              </a:solidFill>
              <a:ln w="6350">
                <a:noFill/>
              </a:ln>
              <a:effectLst/>
            </c:spPr>
          </c:marker>
          <c:xVal>
            <c:numRef>
              <c:f>T0!$AU$2:$AU$26</c:f>
              <c:numCache>
                <c:formatCode>General</c:formatCode>
                <c:ptCount val="2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</c:numCache>
            </c:numRef>
          </c:xVal>
          <c:yVal>
            <c:numRef>
              <c:f>T0!$AO$102:$AO$126</c:f>
              <c:numCache>
                <c:formatCode>General</c:formatCode>
                <c:ptCount val="25"/>
                <c:pt idx="0">
                  <c:v>0.5</c:v>
                </c:pt>
                <c:pt idx="1">
                  <c:v>0.83333333333333304</c:v>
                </c:pt>
                <c:pt idx="2">
                  <c:v>1</c:v>
                </c:pt>
                <c:pt idx="3">
                  <c:v>0.83333333333333304</c:v>
                </c:pt>
                <c:pt idx="4">
                  <c:v>1</c:v>
                </c:pt>
                <c:pt idx="5">
                  <c:v>0.83333333333333304</c:v>
                </c:pt>
                <c:pt idx="6">
                  <c:v>0.66666666666666696</c:v>
                </c:pt>
                <c:pt idx="7">
                  <c:v>0.66666666666666696</c:v>
                </c:pt>
                <c:pt idx="8">
                  <c:v>0.83333333333333304</c:v>
                </c:pt>
                <c:pt idx="9">
                  <c:v>0.83333333333333304</c:v>
                </c:pt>
                <c:pt idx="10">
                  <c:v>0.66666666666666696</c:v>
                </c:pt>
                <c:pt idx="11">
                  <c:v>0.66666666666666696</c:v>
                </c:pt>
                <c:pt idx="12">
                  <c:v>0.66666666666666696</c:v>
                </c:pt>
                <c:pt idx="13">
                  <c:v>0.5</c:v>
                </c:pt>
                <c:pt idx="14">
                  <c:v>0.5</c:v>
                </c:pt>
                <c:pt idx="15">
                  <c:v>0.5</c:v>
                </c:pt>
                <c:pt idx="16">
                  <c:v>0.33333333333333298</c:v>
                </c:pt>
                <c:pt idx="17">
                  <c:v>0.33333333333333298</c:v>
                </c:pt>
                <c:pt idx="18">
                  <c:v>0.16666666666666699</c:v>
                </c:pt>
                <c:pt idx="19">
                  <c:v>0.16666666666666699</c:v>
                </c:pt>
                <c:pt idx="20">
                  <c:v>0.33333333333333298</c:v>
                </c:pt>
                <c:pt idx="21">
                  <c:v>0.16666666666666699</c:v>
                </c:pt>
                <c:pt idx="22">
                  <c:v>0.33333333333333298</c:v>
                </c:pt>
                <c:pt idx="23">
                  <c:v>0.33333333333333298</c:v>
                </c:pt>
                <c:pt idx="24">
                  <c:v>0.5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F474-C246-BE48-C364DB44B682}"/>
            </c:ext>
          </c:extLst>
        </c:ser>
        <c:ser>
          <c:idx val="1"/>
          <c:order val="1"/>
          <c:tx>
            <c:strRef>
              <c:f>T0!$AY$1</c:f>
              <c:strCache>
                <c:ptCount val="1"/>
                <c:pt idx="0">
                  <c:v>Fund if DW detected</c:v>
                </c:pt>
              </c:strCache>
            </c:strRef>
          </c:tx>
          <c:spPr>
            <a:ln w="6350" cmpd="sng">
              <a:solidFill>
                <a:srgbClr val="002060"/>
              </a:solidFill>
            </a:ln>
            <a:effectLst/>
          </c:spPr>
          <c:marker>
            <c:symbol val="square"/>
            <c:size val="2"/>
            <c:spPr>
              <a:solidFill>
                <a:schemeClr val="bg1"/>
              </a:solidFill>
              <a:ln w="3175">
                <a:solidFill>
                  <a:srgbClr val="002060"/>
                </a:solidFill>
              </a:ln>
              <a:effectLst/>
            </c:spPr>
          </c:marker>
          <c:xVal>
            <c:numRef>
              <c:f>T0!$AU$2:$AU$26</c:f>
              <c:numCache>
                <c:formatCode>General</c:formatCode>
                <c:ptCount val="2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</c:numCache>
            </c:numRef>
          </c:xVal>
          <c:yVal>
            <c:numRef>
              <c:f>T0!$AP$27:$AP$51</c:f>
              <c:numCache>
                <c:formatCode>General</c:formatCode>
                <c:ptCount val="25"/>
                <c:pt idx="0">
                  <c:v>0.5</c:v>
                </c:pt>
                <c:pt idx="1">
                  <c:v>0.83333333333333304</c:v>
                </c:pt>
                <c:pt idx="2">
                  <c:v>0.83333333333333304</c:v>
                </c:pt>
                <c:pt idx="3">
                  <c:v>0.5</c:v>
                </c:pt>
                <c:pt idx="4">
                  <c:v>0.66666666666666696</c:v>
                </c:pt>
                <c:pt idx="5">
                  <c:v>0.66666666666666696</c:v>
                </c:pt>
                <c:pt idx="6">
                  <c:v>0</c:v>
                </c:pt>
                <c:pt idx="7">
                  <c:v>0.16666666666666699</c:v>
                </c:pt>
                <c:pt idx="8">
                  <c:v>0.16666666666666699</c:v>
                </c:pt>
                <c:pt idx="9">
                  <c:v>0.16666666666666699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0.16666666666666699</c:v>
                </c:pt>
                <c:pt idx="14">
                  <c:v>0.16666666666666699</c:v>
                </c:pt>
                <c:pt idx="15">
                  <c:v>0</c:v>
                </c:pt>
                <c:pt idx="16">
                  <c:v>0</c:v>
                </c:pt>
                <c:pt idx="17">
                  <c:v>0.33333333333333298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0.16666666666666699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F474-C246-BE48-C364DB44B68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-2096454232"/>
        <c:axId val="-2096446120"/>
      </c:scatterChart>
      <c:valAx>
        <c:axId val="-2096454232"/>
        <c:scaling>
          <c:orientation val="minMax"/>
          <c:max val="25"/>
          <c:min val="1"/>
        </c:scaling>
        <c:delete val="0"/>
        <c:axPos val="b"/>
        <c:title>
          <c:tx>
            <c:rich>
              <a:bodyPr/>
              <a:lstStyle/>
              <a:p>
                <a:pPr>
                  <a:defRPr sz="500" b="0"/>
                </a:pPr>
                <a:r>
                  <a:rPr lang="en-US" sz="5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rPr>
                  <a:t> </a:t>
                </a:r>
                <a:r>
                  <a:rPr lang="en-US" sz="500" b="0"/>
                  <a:t>Round</a:t>
                </a:r>
              </a:p>
            </c:rich>
          </c:tx>
          <c:layout>
            <c:manualLayout>
              <c:xMode val="edge"/>
              <c:yMode val="edge"/>
              <c:x val="0.40041885008276401"/>
              <c:y val="0.90604453870625601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6350"/>
        </c:spPr>
        <c:txPr>
          <a:bodyPr/>
          <a:lstStyle/>
          <a:p>
            <a:pPr>
              <a:defRPr sz="500"/>
            </a:pPr>
            <a:endParaRPr lang="en-US"/>
          </a:p>
        </c:txPr>
        <c:crossAx val="-2096446120"/>
        <c:crosses val="autoZero"/>
        <c:crossBetween val="midCat"/>
        <c:majorUnit val="24"/>
      </c:valAx>
      <c:valAx>
        <c:axId val="-2096446120"/>
        <c:scaling>
          <c:orientation val="minMax"/>
          <c:max val="1"/>
        </c:scaling>
        <c:delete val="0"/>
        <c:axPos val="l"/>
        <c:majorGridlines>
          <c:spPr>
            <a:ln w="6350"/>
          </c:spPr>
        </c:majorGridlines>
        <c:title>
          <c:tx>
            <c:rich>
              <a:bodyPr rot="-5400000" vert="horz"/>
              <a:lstStyle/>
              <a:p>
                <a:pPr>
                  <a:defRPr sz="500" b="0"/>
                </a:pPr>
                <a:r>
                  <a:rPr lang="en-US" sz="500" b="0" i="0" u="none" strike="noStrike" baseline="0">
                    <a:effectLst/>
                  </a:rPr>
                  <a:t>Borrow</a:t>
                </a:r>
                <a:r>
                  <a:rPr lang="en-US" sz="500" b="0" i="0" u="none" strike="noStrike" kern="1200" baseline="0">
                    <a:solidFill>
                      <a:sysClr val="windowText" lastClr="000000"/>
                    </a:solidFill>
                    <a:effectLst/>
                    <a:latin typeface="+mn-lt"/>
                    <a:ea typeface="+mn-ea"/>
                    <a:cs typeface="+mn-cs"/>
                  </a:rPr>
                  <a:t> </a:t>
                </a:r>
                <a:r>
                  <a:rPr lang="en-US" sz="500" b="0" i="0" u="none" strike="noStrike" baseline="0">
                    <a:effectLst/>
                  </a:rPr>
                  <a:t>at</a:t>
                </a:r>
                <a:r>
                  <a:rPr lang="en-US" sz="500" b="0" i="0" u="none" strike="noStrike" kern="1200" baseline="0">
                    <a:solidFill>
                      <a:sysClr val="windowText" lastClr="000000"/>
                    </a:solidFill>
                    <a:effectLst/>
                    <a:latin typeface="+mn-lt"/>
                    <a:ea typeface="+mn-ea"/>
                    <a:cs typeface="+mn-cs"/>
                  </a:rPr>
                  <a:t> </a:t>
                </a:r>
                <a:r>
                  <a:rPr lang="en-US" sz="500" b="0" i="0" u="none" strike="noStrike" baseline="0">
                    <a:effectLst/>
                  </a:rPr>
                  <a:t>DW</a:t>
                </a:r>
                <a:endParaRPr lang="en-US" sz="500" b="0"/>
              </a:p>
            </c:rich>
          </c:tx>
          <c:layout>
            <c:manualLayout>
              <c:xMode val="edge"/>
              <c:yMode val="edge"/>
              <c:x val="0"/>
              <c:y val="0.28127771144195501"/>
            </c:manualLayout>
          </c:layout>
          <c:overlay val="0"/>
        </c:title>
        <c:numFmt formatCode="0%" sourceLinked="0"/>
        <c:majorTickMark val="out"/>
        <c:minorTickMark val="none"/>
        <c:tickLblPos val="nextTo"/>
        <c:spPr>
          <a:ln w="6350"/>
        </c:spPr>
        <c:txPr>
          <a:bodyPr/>
          <a:lstStyle/>
          <a:p>
            <a:pPr>
              <a:defRPr sz="400"/>
            </a:pPr>
            <a:endParaRPr lang="en-US"/>
          </a:p>
        </c:txPr>
        <c:crossAx val="-2096454232"/>
        <c:crosses val="autoZero"/>
        <c:crossBetween val="midCat"/>
        <c:majorUnit val="1"/>
      </c:valAx>
      <c:spPr>
        <a:ln w="6350">
          <a:solidFill>
            <a:schemeClr val="bg1">
              <a:lumMod val="50000"/>
            </a:schemeClr>
          </a:solidFill>
        </a:ln>
      </c:spPr>
    </c:plotArea>
    <c:plotVisOnly val="1"/>
    <c:dispBlanksAs val="gap"/>
    <c:showDLblsOverMax val="0"/>
  </c:chart>
  <c:spPr>
    <a:ln w="6350"/>
    <a:effectLst/>
  </c:spPr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77894226636305"/>
          <c:y val="8.4180938446688003E-2"/>
          <c:w val="0.72024746906636705"/>
          <c:h val="0.78661083324287595"/>
        </c:manualLayout>
      </c:layout>
      <c:scatterChart>
        <c:scatterStyle val="smoothMarker"/>
        <c:varyColors val="0"/>
        <c:ser>
          <c:idx val="0"/>
          <c:order val="0"/>
          <c:tx>
            <c:strRef>
              <c:f>T0!$AX$1</c:f>
              <c:strCache>
                <c:ptCount val="1"/>
                <c:pt idx="0">
                  <c:v>Fund if DW not detected</c:v>
                </c:pt>
              </c:strCache>
            </c:strRef>
          </c:tx>
          <c:spPr>
            <a:ln w="6350">
              <a:solidFill>
                <a:srgbClr val="FF0000"/>
              </a:solidFill>
            </a:ln>
            <a:effectLst/>
          </c:spPr>
          <c:marker>
            <c:symbol val="circle"/>
            <c:size val="2"/>
            <c:spPr>
              <a:solidFill>
                <a:srgbClr val="FF0000"/>
              </a:solidFill>
              <a:ln w="6350">
                <a:solidFill>
                  <a:srgbClr val="FF0000"/>
                </a:solidFill>
              </a:ln>
              <a:effectLst/>
            </c:spPr>
          </c:marker>
          <c:xVal>
            <c:numRef>
              <c:f>T0!$AU$2:$AU$26</c:f>
              <c:numCache>
                <c:formatCode>General</c:formatCode>
                <c:ptCount val="2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</c:numCache>
            </c:numRef>
          </c:xVal>
          <c:yVal>
            <c:numRef>
              <c:f>T0!$AQ$127:$AQ$151</c:f>
              <c:numCache>
                <c:formatCode>General</c:formatCode>
                <c:ptCount val="25"/>
                <c:pt idx="0">
                  <c:v>1</c:v>
                </c:pt>
                <c:pt idx="1">
                  <c:v>0.66666666666666696</c:v>
                </c:pt>
                <c:pt idx="2">
                  <c:v>0.83333333333333304</c:v>
                </c:pt>
                <c:pt idx="3">
                  <c:v>0.83333333333333304</c:v>
                </c:pt>
                <c:pt idx="4">
                  <c:v>1</c:v>
                </c:pt>
                <c:pt idx="5">
                  <c:v>1</c:v>
                </c:pt>
                <c:pt idx="6">
                  <c:v>0.66666666666666696</c:v>
                </c:pt>
                <c:pt idx="7">
                  <c:v>0.66666666666666696</c:v>
                </c:pt>
                <c:pt idx="8">
                  <c:v>0.83333333333333304</c:v>
                </c:pt>
                <c:pt idx="9">
                  <c:v>0.83333333333333304</c:v>
                </c:pt>
                <c:pt idx="10">
                  <c:v>0.83333333333333304</c:v>
                </c:pt>
                <c:pt idx="11">
                  <c:v>0.83333333333333304</c:v>
                </c:pt>
                <c:pt idx="12">
                  <c:v>0.83333333333333304</c:v>
                </c:pt>
                <c:pt idx="13">
                  <c:v>1</c:v>
                </c:pt>
                <c:pt idx="14">
                  <c:v>1</c:v>
                </c:pt>
                <c:pt idx="15">
                  <c:v>0.83333333333333304</c:v>
                </c:pt>
                <c:pt idx="16">
                  <c:v>0.66666666666666696</c:v>
                </c:pt>
                <c:pt idx="17">
                  <c:v>1</c:v>
                </c:pt>
                <c:pt idx="18">
                  <c:v>0.83333333333333304</c:v>
                </c:pt>
                <c:pt idx="19">
                  <c:v>0.83333333333333304</c:v>
                </c:pt>
                <c:pt idx="20">
                  <c:v>0.83333333333333304</c:v>
                </c:pt>
                <c:pt idx="21">
                  <c:v>0.83333333333333304</c:v>
                </c:pt>
                <c:pt idx="22">
                  <c:v>0.83333333333333304</c:v>
                </c:pt>
                <c:pt idx="23">
                  <c:v>1</c:v>
                </c:pt>
                <c:pt idx="24">
                  <c:v>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00FC-8043-8990-82B772CC3B25}"/>
            </c:ext>
          </c:extLst>
        </c:ser>
        <c:ser>
          <c:idx val="1"/>
          <c:order val="1"/>
          <c:tx>
            <c:strRef>
              <c:f>T0!$AY$1</c:f>
              <c:strCache>
                <c:ptCount val="1"/>
                <c:pt idx="0">
                  <c:v>Fund if DW detected</c:v>
                </c:pt>
              </c:strCache>
            </c:strRef>
          </c:tx>
          <c:spPr>
            <a:ln w="6350" cmpd="sng">
              <a:solidFill>
                <a:srgbClr val="FF9300"/>
              </a:solidFill>
            </a:ln>
            <a:effectLst/>
          </c:spPr>
          <c:marker>
            <c:symbol val="circle"/>
            <c:size val="2"/>
            <c:spPr>
              <a:solidFill>
                <a:schemeClr val="bg1"/>
              </a:solidFill>
              <a:ln w="6350">
                <a:solidFill>
                  <a:srgbClr val="FF9300"/>
                </a:solidFill>
              </a:ln>
              <a:effectLst/>
            </c:spPr>
          </c:marker>
          <c:xVal>
            <c:numRef>
              <c:f>T0!$AU$2:$AU$26</c:f>
              <c:numCache>
                <c:formatCode>General</c:formatCode>
                <c:ptCount val="2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</c:numCache>
            </c:numRef>
          </c:xVal>
          <c:yVal>
            <c:numRef>
              <c:f>T0!$AR$127:$AR$151</c:f>
              <c:numCache>
                <c:formatCode>General</c:formatCode>
                <c:ptCount val="25"/>
                <c:pt idx="0">
                  <c:v>0.33333333333333298</c:v>
                </c:pt>
                <c:pt idx="1">
                  <c:v>0.16666666666666699</c:v>
                </c:pt>
                <c:pt idx="2">
                  <c:v>0.5</c:v>
                </c:pt>
                <c:pt idx="3">
                  <c:v>0.33333333333333298</c:v>
                </c:pt>
                <c:pt idx="4">
                  <c:v>0.16666666666666699</c:v>
                </c:pt>
                <c:pt idx="5">
                  <c:v>0</c:v>
                </c:pt>
                <c:pt idx="6">
                  <c:v>0.16666666666666699</c:v>
                </c:pt>
                <c:pt idx="7">
                  <c:v>0</c:v>
                </c:pt>
                <c:pt idx="8">
                  <c:v>0.16666666666666699</c:v>
                </c:pt>
                <c:pt idx="9">
                  <c:v>0</c:v>
                </c:pt>
                <c:pt idx="10">
                  <c:v>0.16666666666666699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0.16666666666666699</c:v>
                </c:pt>
                <c:pt idx="15">
                  <c:v>0.16666666666666699</c:v>
                </c:pt>
                <c:pt idx="16">
                  <c:v>0</c:v>
                </c:pt>
                <c:pt idx="17">
                  <c:v>0</c:v>
                </c:pt>
                <c:pt idx="18">
                  <c:v>0.16666666666666699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00FC-8043-8990-82B772CC3B2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-2096527160"/>
        <c:axId val="-2096543528"/>
      </c:scatterChart>
      <c:valAx>
        <c:axId val="-2096527160"/>
        <c:scaling>
          <c:orientation val="minMax"/>
          <c:max val="25"/>
          <c:min val="1"/>
        </c:scaling>
        <c:delete val="0"/>
        <c:axPos val="b"/>
        <c:title>
          <c:tx>
            <c:rich>
              <a:bodyPr/>
              <a:lstStyle/>
              <a:p>
                <a:pPr>
                  <a:defRPr sz="500" b="0"/>
                </a:pPr>
                <a:r>
                  <a:rPr lang="en-US" sz="5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rPr>
                  <a:t> </a:t>
                </a:r>
                <a:r>
                  <a:rPr lang="en-US" sz="500" b="0"/>
                  <a:t>Round</a:t>
                </a:r>
              </a:p>
            </c:rich>
          </c:tx>
          <c:layout>
            <c:manualLayout>
              <c:xMode val="edge"/>
              <c:yMode val="edge"/>
              <c:x val="0.40041885008276401"/>
              <c:y val="0.90604453870625601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6350"/>
        </c:spPr>
        <c:txPr>
          <a:bodyPr/>
          <a:lstStyle/>
          <a:p>
            <a:pPr>
              <a:defRPr sz="500"/>
            </a:pPr>
            <a:endParaRPr lang="en-US"/>
          </a:p>
        </c:txPr>
        <c:crossAx val="-2096543528"/>
        <c:crosses val="autoZero"/>
        <c:crossBetween val="midCat"/>
        <c:majorUnit val="24"/>
      </c:valAx>
      <c:valAx>
        <c:axId val="-2096543528"/>
        <c:scaling>
          <c:orientation val="minMax"/>
          <c:max val="1"/>
        </c:scaling>
        <c:delete val="0"/>
        <c:axPos val="l"/>
        <c:majorGridlines>
          <c:spPr>
            <a:ln w="6350"/>
          </c:spPr>
        </c:majorGridlines>
        <c:title>
          <c:tx>
            <c:rich>
              <a:bodyPr rot="-5400000" vert="horz"/>
              <a:lstStyle/>
              <a:p>
                <a:pPr>
                  <a:defRPr sz="500" b="0"/>
                </a:pPr>
                <a:r>
                  <a:rPr lang="en-US" sz="500" b="0" i="0" u="none" strike="noStrike" baseline="0">
                    <a:effectLst/>
                  </a:rPr>
                  <a:t>Fund</a:t>
                </a:r>
                <a:r>
                  <a:rPr lang="en-US" sz="500" b="0" i="0" u="none" strike="noStrike" kern="1200" baseline="0">
                    <a:solidFill>
                      <a:sysClr val="windowText" lastClr="000000"/>
                    </a:solidFill>
                    <a:effectLst/>
                    <a:latin typeface="+mn-lt"/>
                    <a:ea typeface="+mn-ea"/>
                    <a:cs typeface="+mn-cs"/>
                  </a:rPr>
                  <a:t> </a:t>
                </a:r>
                <a:r>
                  <a:rPr lang="en-US" sz="500" b="0" i="0" u="none" strike="noStrike" baseline="0">
                    <a:effectLst/>
                  </a:rPr>
                  <a:t>the</a:t>
                </a:r>
                <a:r>
                  <a:rPr lang="en-US" sz="500" b="0" i="0" u="none" strike="noStrike" kern="1200" baseline="0">
                    <a:solidFill>
                      <a:sysClr val="windowText" lastClr="000000"/>
                    </a:solidFill>
                    <a:effectLst/>
                    <a:latin typeface="+mn-lt"/>
                    <a:ea typeface="+mn-ea"/>
                    <a:cs typeface="+mn-cs"/>
                  </a:rPr>
                  <a:t> </a:t>
                </a:r>
                <a:r>
                  <a:rPr lang="en-US" sz="500" b="0" i="0" u="none" strike="noStrike" baseline="0">
                    <a:effectLst/>
                  </a:rPr>
                  <a:t>Bank</a:t>
                </a:r>
                <a:r>
                  <a:rPr lang="en-US" sz="500" b="0" i="0" u="none" strike="noStrike" kern="1200" baseline="0">
                    <a:solidFill>
                      <a:sysClr val="windowText" lastClr="000000"/>
                    </a:solidFill>
                    <a:effectLst/>
                    <a:latin typeface="+mn-lt"/>
                    <a:ea typeface="+mn-ea"/>
                    <a:cs typeface="+mn-cs"/>
                  </a:rPr>
                  <a:t> </a:t>
                </a:r>
                <a:endParaRPr lang="en-US" sz="500" b="0"/>
              </a:p>
            </c:rich>
          </c:tx>
          <c:layout>
            <c:manualLayout>
              <c:xMode val="edge"/>
              <c:yMode val="edge"/>
              <c:x val="0"/>
              <c:y val="0.28127771144195501"/>
            </c:manualLayout>
          </c:layout>
          <c:overlay val="0"/>
        </c:title>
        <c:numFmt formatCode="0%" sourceLinked="0"/>
        <c:majorTickMark val="out"/>
        <c:minorTickMark val="none"/>
        <c:tickLblPos val="nextTo"/>
        <c:spPr>
          <a:ln w="6350"/>
        </c:spPr>
        <c:txPr>
          <a:bodyPr/>
          <a:lstStyle/>
          <a:p>
            <a:pPr>
              <a:defRPr sz="400"/>
            </a:pPr>
            <a:endParaRPr lang="en-US"/>
          </a:p>
        </c:txPr>
        <c:crossAx val="-2096527160"/>
        <c:crosses val="autoZero"/>
        <c:crossBetween val="midCat"/>
        <c:majorUnit val="1"/>
      </c:valAx>
      <c:spPr>
        <a:ln w="6350">
          <a:solidFill>
            <a:schemeClr val="bg1">
              <a:lumMod val="50000"/>
            </a:schemeClr>
          </a:solidFill>
        </a:ln>
      </c:spPr>
    </c:plotArea>
    <c:plotVisOnly val="1"/>
    <c:dispBlanksAs val="gap"/>
    <c:showDLblsOverMax val="0"/>
  </c:chart>
  <c:spPr>
    <a:ln w="6350"/>
    <a:effectLst/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 algn="ctr">
              <a:defRPr/>
            </a:pPr>
            <a:r>
              <a:rPr lang="en-US" sz="1000" b="0" baseline="0"/>
              <a:t>Banks</a:t>
            </a:r>
            <a:r>
              <a:rPr lang="en-US" sz="10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rPr>
              <a:t> </a:t>
            </a:r>
            <a:r>
              <a:rPr lang="en-US" sz="1000" b="0" baseline="0"/>
              <a:t>Behavior</a:t>
            </a:r>
            <a:r>
              <a:rPr lang="en-US" sz="10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rPr>
              <a:t> </a:t>
            </a:r>
            <a:endParaRPr lang="en-US" sz="1000" b="0" baseline="50000"/>
          </a:p>
        </c:rich>
      </c:tx>
      <c:layout>
        <c:manualLayout>
          <c:xMode val="edge"/>
          <c:yMode val="edge"/>
          <c:x val="0.34404906117504602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11745070327748"/>
          <c:y val="8.0491551459293403E-2"/>
          <c:w val="0.85077629719362002"/>
          <c:h val="0.74560155786978199"/>
        </c:manualLayout>
      </c:layout>
      <c:scatterChart>
        <c:scatterStyle val="smoothMarker"/>
        <c:varyColors val="0"/>
        <c:ser>
          <c:idx val="0"/>
          <c:order val="0"/>
          <c:tx>
            <c:strRef>
              <c:f>T0!$AV$1</c:f>
              <c:strCache>
                <c:ptCount val="1"/>
                <c:pt idx="0">
                  <c:v>Borrow if illiquid-solvent</c:v>
                </c:pt>
              </c:strCache>
            </c:strRef>
          </c:tx>
          <c:spPr>
            <a:ln w="12700">
              <a:solidFill>
                <a:srgbClr val="00B0F0"/>
              </a:solidFill>
            </a:ln>
            <a:effectLst/>
          </c:spPr>
          <c:marker>
            <c:symbol val="square"/>
            <c:size val="5"/>
            <c:spPr>
              <a:solidFill>
                <a:srgbClr val="00B0F0"/>
              </a:solidFill>
              <a:ln>
                <a:solidFill>
                  <a:srgbClr val="00B0F0"/>
                </a:solidFill>
              </a:ln>
              <a:effectLst/>
            </c:spPr>
          </c:marker>
          <c:xVal>
            <c:numRef>
              <c:f>T0!$AU$2:$AU$26</c:f>
              <c:numCache>
                <c:formatCode>General</c:formatCode>
                <c:ptCount val="2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</c:numCache>
            </c:numRef>
          </c:xVal>
          <c:yVal>
            <c:numRef>
              <c:f>T0!$AV$2:$AV$26</c:f>
              <c:numCache>
                <c:formatCode>0.0%</c:formatCode>
                <c:ptCount val="25"/>
                <c:pt idx="0">
                  <c:v>0.58333333333333304</c:v>
                </c:pt>
                <c:pt idx="1">
                  <c:v>0.58333333333333304</c:v>
                </c:pt>
                <c:pt idx="2">
                  <c:v>0.63888888888888895</c:v>
                </c:pt>
                <c:pt idx="3">
                  <c:v>0.55555555555555602</c:v>
                </c:pt>
                <c:pt idx="4">
                  <c:v>0.47222222222222199</c:v>
                </c:pt>
                <c:pt idx="5">
                  <c:v>0.47222222222222199</c:v>
                </c:pt>
                <c:pt idx="6">
                  <c:v>0.44444444444444398</c:v>
                </c:pt>
                <c:pt idx="7">
                  <c:v>0.47222222222222199</c:v>
                </c:pt>
                <c:pt idx="8">
                  <c:v>0.44444444444444398</c:v>
                </c:pt>
                <c:pt idx="9">
                  <c:v>0.44444444444444398</c:v>
                </c:pt>
                <c:pt idx="10">
                  <c:v>0.36111111111111099</c:v>
                </c:pt>
                <c:pt idx="11">
                  <c:v>0.30555555555555503</c:v>
                </c:pt>
                <c:pt idx="12">
                  <c:v>0.30555555555555503</c:v>
                </c:pt>
                <c:pt idx="13">
                  <c:v>0.22222222222222199</c:v>
                </c:pt>
                <c:pt idx="14">
                  <c:v>0.13888888888888901</c:v>
                </c:pt>
                <c:pt idx="15">
                  <c:v>0.25</c:v>
                </c:pt>
                <c:pt idx="16">
                  <c:v>0.194444444444444</c:v>
                </c:pt>
                <c:pt idx="17">
                  <c:v>0.22222222222222199</c:v>
                </c:pt>
                <c:pt idx="18">
                  <c:v>0.194444444444444</c:v>
                </c:pt>
                <c:pt idx="19">
                  <c:v>0.13888888888888901</c:v>
                </c:pt>
                <c:pt idx="20">
                  <c:v>0.25</c:v>
                </c:pt>
                <c:pt idx="21">
                  <c:v>0.13888888888888901</c:v>
                </c:pt>
                <c:pt idx="22">
                  <c:v>0.194444444444444</c:v>
                </c:pt>
                <c:pt idx="23">
                  <c:v>0.22222222222222199</c:v>
                </c:pt>
                <c:pt idx="24">
                  <c:v>0.25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DC17-634C-A66A-3637C4D3944D}"/>
            </c:ext>
          </c:extLst>
        </c:ser>
        <c:ser>
          <c:idx val="1"/>
          <c:order val="1"/>
          <c:tx>
            <c:strRef>
              <c:f>T0!$AW$1</c:f>
              <c:strCache>
                <c:ptCount val="1"/>
                <c:pt idx="0">
                  <c:v>Borrow if illiquid-insolvent</c:v>
                </c:pt>
              </c:strCache>
            </c:strRef>
          </c:tx>
          <c:spPr>
            <a:ln w="9525" cmpd="sng">
              <a:solidFill>
                <a:srgbClr val="002060"/>
              </a:solidFill>
            </a:ln>
            <a:effectLst/>
          </c:spPr>
          <c:marker>
            <c:symbol val="square"/>
            <c:size val="5"/>
            <c:spPr>
              <a:solidFill>
                <a:schemeClr val="bg1"/>
              </a:solidFill>
              <a:ln w="12700">
                <a:solidFill>
                  <a:srgbClr val="002060"/>
                </a:solidFill>
              </a:ln>
              <a:effectLst/>
            </c:spPr>
          </c:marker>
          <c:xVal>
            <c:numRef>
              <c:f>T0!$AU$2:$AU$26</c:f>
              <c:numCache>
                <c:formatCode>General</c:formatCode>
                <c:ptCount val="2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</c:numCache>
            </c:numRef>
          </c:xVal>
          <c:yVal>
            <c:numRef>
              <c:f>T0!$AW$2:$AW$26</c:f>
              <c:numCache>
                <c:formatCode>0.0%</c:formatCode>
                <c:ptCount val="25"/>
                <c:pt idx="0">
                  <c:v>0.61111111111111105</c:v>
                </c:pt>
                <c:pt idx="1">
                  <c:v>0.69444444444444497</c:v>
                </c:pt>
                <c:pt idx="2">
                  <c:v>0.72222222222222199</c:v>
                </c:pt>
                <c:pt idx="3">
                  <c:v>0.52777777777777801</c:v>
                </c:pt>
                <c:pt idx="4">
                  <c:v>0.5</c:v>
                </c:pt>
                <c:pt idx="5">
                  <c:v>0.55555555555555602</c:v>
                </c:pt>
                <c:pt idx="6">
                  <c:v>0.36111111111111099</c:v>
                </c:pt>
                <c:pt idx="7">
                  <c:v>0.36111111111111099</c:v>
                </c:pt>
                <c:pt idx="8">
                  <c:v>0.36111111111111099</c:v>
                </c:pt>
                <c:pt idx="9">
                  <c:v>0.27777777777777801</c:v>
                </c:pt>
                <c:pt idx="10">
                  <c:v>0.16666666666666699</c:v>
                </c:pt>
                <c:pt idx="11">
                  <c:v>0.22222222222222199</c:v>
                </c:pt>
                <c:pt idx="12">
                  <c:v>0.16666666666666699</c:v>
                </c:pt>
                <c:pt idx="13">
                  <c:v>0.16666666666666699</c:v>
                </c:pt>
                <c:pt idx="14">
                  <c:v>0.22222222222222199</c:v>
                </c:pt>
                <c:pt idx="15">
                  <c:v>0.194444444444444</c:v>
                </c:pt>
                <c:pt idx="16">
                  <c:v>0.16666666666666699</c:v>
                </c:pt>
                <c:pt idx="17">
                  <c:v>0.25</c:v>
                </c:pt>
                <c:pt idx="18">
                  <c:v>0.16666666666666699</c:v>
                </c:pt>
                <c:pt idx="19">
                  <c:v>0.194444444444444</c:v>
                </c:pt>
                <c:pt idx="20">
                  <c:v>0.25</c:v>
                </c:pt>
                <c:pt idx="21">
                  <c:v>0.13888888888888901</c:v>
                </c:pt>
                <c:pt idx="22">
                  <c:v>0.13888888888888901</c:v>
                </c:pt>
                <c:pt idx="23">
                  <c:v>0.13888888888888901</c:v>
                </c:pt>
                <c:pt idx="24">
                  <c:v>0.194444444444444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DC17-634C-A66A-3637C4D3944D}"/>
            </c:ext>
          </c:extLst>
        </c:ser>
        <c:ser>
          <c:idx val="2"/>
          <c:order val="2"/>
          <c:tx>
            <c:strRef>
              <c:f>T0!$AV$1</c:f>
              <c:strCache>
                <c:ptCount val="1"/>
                <c:pt idx="0">
                  <c:v>Borrow if illiquid-solvent</c:v>
                </c:pt>
              </c:strCache>
            </c:strRef>
          </c:tx>
          <c:spPr>
            <a:ln w="15875">
              <a:solidFill>
                <a:srgbClr val="002060"/>
              </a:solidFill>
              <a:prstDash val="solid"/>
            </a:ln>
          </c:spPr>
          <c:marker>
            <c:symbol val="none"/>
          </c:marker>
          <c:xVal>
            <c:numRef>
              <c:f>T0!$BG$28:$BG$29</c:f>
              <c:numCache>
                <c:formatCode>General</c:formatCode>
                <c:ptCount val="2"/>
                <c:pt idx="0">
                  <c:v>1</c:v>
                </c:pt>
                <c:pt idx="1">
                  <c:v>25</c:v>
                </c:pt>
              </c:numCache>
            </c:numRef>
          </c:xVal>
          <c:yVal>
            <c:numRef>
              <c:f>T0!$BH$28:$BH$29</c:f>
              <c:numCache>
                <c:formatCode>General</c:formatCode>
                <c:ptCount val="2"/>
                <c:pt idx="0">
                  <c:v>1</c:v>
                </c:pt>
                <c:pt idx="1">
                  <c:v>1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2-DC17-634C-A66A-3637C4D3944D}"/>
            </c:ext>
          </c:extLst>
        </c:ser>
        <c:ser>
          <c:idx val="3"/>
          <c:order val="3"/>
          <c:tx>
            <c:strRef>
              <c:f>T0!$AW$1</c:f>
              <c:strCache>
                <c:ptCount val="1"/>
                <c:pt idx="0">
                  <c:v>Borrow if illiquid-insolvent</c:v>
                </c:pt>
              </c:strCache>
            </c:strRef>
          </c:tx>
          <c:spPr>
            <a:ln w="15875">
              <a:solidFill>
                <a:srgbClr val="002060"/>
              </a:solidFill>
            </a:ln>
          </c:spPr>
          <c:marker>
            <c:symbol val="none"/>
          </c:marker>
          <c:xVal>
            <c:numRef>
              <c:f>T0!$BG$31:$BG$32</c:f>
              <c:numCache>
                <c:formatCode>General</c:formatCode>
                <c:ptCount val="2"/>
                <c:pt idx="0">
                  <c:v>1</c:v>
                </c:pt>
                <c:pt idx="1">
                  <c:v>25</c:v>
                </c:pt>
              </c:numCache>
            </c:numRef>
          </c:xVal>
          <c:yVal>
            <c:numRef>
              <c:f>T0!$BH$31:$BH$32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3-DC17-634C-A66A-3637C4D3944D}"/>
            </c:ext>
          </c:extLst>
        </c:ser>
        <c:ser>
          <c:idx val="4"/>
          <c:order val="4"/>
          <c:tx>
            <c:strRef>
              <c:f>T0!$AV$1</c:f>
              <c:strCache>
                <c:ptCount val="1"/>
                <c:pt idx="0">
                  <c:v>Borrow if illiquid-solvent</c:v>
                </c:pt>
              </c:strCache>
            </c:strRef>
          </c:tx>
          <c:spPr>
            <a:ln w="19050">
              <a:solidFill>
                <a:srgbClr val="00B0F0"/>
              </a:solidFill>
              <a:prstDash val="dash"/>
            </a:ln>
          </c:spPr>
          <c:marker>
            <c:symbol val="none"/>
          </c:marker>
          <c:xVal>
            <c:numRef>
              <c:f>T0!$BJ$28:$BJ$29</c:f>
              <c:numCache>
                <c:formatCode>General</c:formatCode>
                <c:ptCount val="2"/>
                <c:pt idx="0">
                  <c:v>1</c:v>
                </c:pt>
                <c:pt idx="1">
                  <c:v>25</c:v>
                </c:pt>
              </c:numCache>
            </c:numRef>
          </c:xVal>
          <c:yVal>
            <c:numRef>
              <c:f>T0!$BK$28:$BK$29</c:f>
              <c:numCache>
                <c:formatCode>General</c:formatCode>
                <c:ptCount val="2"/>
                <c:pt idx="0">
                  <c:v>1</c:v>
                </c:pt>
                <c:pt idx="1">
                  <c:v>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4-DC17-634C-A66A-3637C4D3944D}"/>
            </c:ext>
          </c:extLst>
        </c:ser>
        <c:ser>
          <c:idx val="5"/>
          <c:order val="5"/>
          <c:tx>
            <c:strRef>
              <c:f>T0!$AW$1</c:f>
              <c:strCache>
                <c:ptCount val="1"/>
                <c:pt idx="0">
                  <c:v>Borrow if illiquid-insolvent</c:v>
                </c:pt>
              </c:strCache>
            </c:strRef>
          </c:tx>
          <c:spPr>
            <a:ln w="19050">
              <a:solidFill>
                <a:srgbClr val="00B0F0"/>
              </a:solidFill>
              <a:prstDash val="dash"/>
            </a:ln>
          </c:spPr>
          <c:marker>
            <c:symbol val="none"/>
          </c:marker>
          <c:xVal>
            <c:numRef>
              <c:f>T0!$BJ$31:$BJ$32</c:f>
              <c:numCache>
                <c:formatCode>General</c:formatCode>
                <c:ptCount val="2"/>
                <c:pt idx="0">
                  <c:v>1</c:v>
                </c:pt>
                <c:pt idx="1">
                  <c:v>25</c:v>
                </c:pt>
              </c:numCache>
            </c:numRef>
          </c:xVal>
          <c:yVal>
            <c:numRef>
              <c:f>T0!$BK$31:$BK$32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5-DC17-634C-A66A-3637C4D3944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110404264"/>
        <c:axId val="2114120456"/>
      </c:scatterChart>
      <c:valAx>
        <c:axId val="2110404264"/>
        <c:scaling>
          <c:orientation val="minMax"/>
          <c:max val="25"/>
          <c:min val="1"/>
        </c:scaling>
        <c:delete val="0"/>
        <c:axPos val="b"/>
        <c:title>
          <c:tx>
            <c:rich>
              <a:bodyPr/>
              <a:lstStyle/>
              <a:p>
                <a:pPr>
                  <a:defRPr sz="800" b="0"/>
                </a:pPr>
                <a:r>
                  <a:rPr lang="en-US" sz="800" b="0"/>
                  <a:t>Round</a:t>
                </a:r>
              </a:p>
            </c:rich>
          </c:tx>
          <c:layout>
            <c:manualLayout>
              <c:xMode val="edge"/>
              <c:yMode val="edge"/>
              <c:x val="0.47010498687664098"/>
              <c:y val="0.870281757923557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6350"/>
        </c:spPr>
        <c:txPr>
          <a:bodyPr/>
          <a:lstStyle/>
          <a:p>
            <a:pPr>
              <a:defRPr sz="500"/>
            </a:pPr>
            <a:endParaRPr lang="en-US"/>
          </a:p>
        </c:txPr>
        <c:crossAx val="2114120456"/>
        <c:crosses val="autoZero"/>
        <c:crossBetween val="midCat"/>
        <c:majorUnit val="1"/>
      </c:valAx>
      <c:valAx>
        <c:axId val="2114120456"/>
        <c:scaling>
          <c:orientation val="minMax"/>
          <c:max val="1"/>
          <c:min val="0"/>
        </c:scaling>
        <c:delete val="0"/>
        <c:axPos val="l"/>
        <c:majorGridlines>
          <c:spPr>
            <a:ln w="6350"/>
          </c:spPr>
        </c:majorGridlines>
        <c:title>
          <c:tx>
            <c:rich>
              <a:bodyPr rot="-5400000" vert="horz"/>
              <a:lstStyle/>
              <a:p>
                <a:pPr>
                  <a:defRPr sz="800" b="0"/>
                </a:pPr>
                <a:r>
                  <a:rPr lang="en-US" sz="800" b="0" i="0" u="none" strike="noStrike" baseline="0">
                    <a:effectLst/>
                  </a:rPr>
                  <a:t>Percent</a:t>
                </a:r>
                <a:r>
                  <a:rPr lang="en-US" sz="800" b="0" i="0" u="none" strike="noStrike" kern="1200" baseline="0">
                    <a:solidFill>
                      <a:sysClr val="windowText" lastClr="000000"/>
                    </a:solidFill>
                    <a:effectLst/>
                    <a:latin typeface="+mn-lt"/>
                    <a:ea typeface="+mn-ea"/>
                    <a:cs typeface="+mn-cs"/>
                  </a:rPr>
                  <a:t> </a:t>
                </a:r>
                <a:r>
                  <a:rPr lang="en-US" sz="800" b="0" i="0" u="none" strike="noStrike" baseline="0">
                    <a:effectLst/>
                  </a:rPr>
                  <a:t>of</a:t>
                </a:r>
                <a:r>
                  <a:rPr lang="en-US" sz="800" b="0" i="0" u="none" strike="noStrike" kern="1200" baseline="0">
                    <a:solidFill>
                      <a:sysClr val="windowText" lastClr="000000"/>
                    </a:solidFill>
                    <a:effectLst/>
                    <a:latin typeface="+mn-lt"/>
                    <a:ea typeface="+mn-ea"/>
                    <a:cs typeface="+mn-cs"/>
                  </a:rPr>
                  <a:t> </a:t>
                </a:r>
                <a:r>
                  <a:rPr lang="en-US" sz="800" b="0" i="0" u="none" strike="noStrike" baseline="0">
                    <a:effectLst/>
                  </a:rPr>
                  <a:t>Banks</a:t>
                </a:r>
                <a:r>
                  <a:rPr lang="en-US" sz="800" b="0" i="0" u="none" strike="noStrike" kern="1200" baseline="0">
                    <a:solidFill>
                      <a:sysClr val="windowText" lastClr="000000"/>
                    </a:solidFill>
                    <a:effectLst/>
                    <a:latin typeface="+mn-lt"/>
                    <a:ea typeface="+mn-ea"/>
                    <a:cs typeface="+mn-cs"/>
                  </a:rPr>
                  <a:t> </a:t>
                </a:r>
                <a:r>
                  <a:rPr lang="en-US" sz="800" b="0" i="0" u="none" strike="noStrike" baseline="0">
                    <a:effectLst/>
                  </a:rPr>
                  <a:t>that</a:t>
                </a:r>
                <a:r>
                  <a:rPr lang="en-US" sz="800" b="0" i="0" u="none" strike="noStrike" kern="1200" baseline="0">
                    <a:solidFill>
                      <a:sysClr val="windowText" lastClr="000000"/>
                    </a:solidFill>
                    <a:effectLst/>
                    <a:latin typeface="+mn-lt"/>
                    <a:ea typeface="+mn-ea"/>
                    <a:cs typeface="+mn-cs"/>
                  </a:rPr>
                  <a:t> </a:t>
                </a:r>
                <a:r>
                  <a:rPr lang="en-US" sz="800" b="0" i="0" u="none" strike="noStrike" baseline="0">
                    <a:effectLst/>
                  </a:rPr>
                  <a:t>Borrow</a:t>
                </a:r>
                <a:r>
                  <a:rPr lang="en-US" sz="800" b="0" i="0" u="none" strike="noStrike" kern="1200" baseline="0">
                    <a:solidFill>
                      <a:sysClr val="windowText" lastClr="000000"/>
                    </a:solidFill>
                    <a:effectLst/>
                    <a:latin typeface="+mn-lt"/>
                    <a:ea typeface="+mn-ea"/>
                    <a:cs typeface="+mn-cs"/>
                  </a:rPr>
                  <a:t> </a:t>
                </a:r>
                <a:r>
                  <a:rPr lang="en-US" sz="800" b="0" i="0" u="none" strike="noStrike" baseline="0">
                    <a:effectLst/>
                  </a:rPr>
                  <a:t>at</a:t>
                </a:r>
                <a:r>
                  <a:rPr lang="en-US" sz="800" b="0" i="0" u="none" strike="noStrike" kern="1200" baseline="0">
                    <a:solidFill>
                      <a:sysClr val="windowText" lastClr="000000"/>
                    </a:solidFill>
                    <a:effectLst/>
                    <a:latin typeface="+mn-lt"/>
                    <a:ea typeface="+mn-ea"/>
                    <a:cs typeface="+mn-cs"/>
                  </a:rPr>
                  <a:t> </a:t>
                </a:r>
                <a:r>
                  <a:rPr lang="en-US" sz="800" b="0" i="0" u="none" strike="noStrike" baseline="0">
                    <a:effectLst/>
                  </a:rPr>
                  <a:t>DW</a:t>
                </a:r>
                <a:r>
                  <a:rPr lang="en-US" sz="800" b="0" i="0" u="none" strike="noStrike" kern="1200" baseline="0">
                    <a:solidFill>
                      <a:sysClr val="windowText" lastClr="000000"/>
                    </a:solidFill>
                    <a:effectLst/>
                    <a:latin typeface="+mn-lt"/>
                    <a:ea typeface="+mn-ea"/>
                    <a:cs typeface="+mn-cs"/>
                  </a:rPr>
                  <a:t> </a:t>
                </a:r>
                <a:endParaRPr lang="en-US" sz="800" b="0"/>
              </a:p>
            </c:rich>
          </c:tx>
          <c:layout>
            <c:manualLayout>
              <c:xMode val="edge"/>
              <c:yMode val="edge"/>
              <c:x val="0"/>
              <c:y val="0.126531288852051"/>
            </c:manualLayout>
          </c:layout>
          <c:overlay val="0"/>
        </c:title>
        <c:numFmt formatCode="0%" sourceLinked="0"/>
        <c:majorTickMark val="out"/>
        <c:minorTickMark val="none"/>
        <c:tickLblPos val="nextTo"/>
        <c:spPr>
          <a:ln w="6350"/>
        </c:spPr>
        <c:txPr>
          <a:bodyPr/>
          <a:lstStyle/>
          <a:p>
            <a:pPr>
              <a:defRPr sz="500"/>
            </a:pPr>
            <a:endParaRPr lang="en-US"/>
          </a:p>
        </c:txPr>
        <c:crossAx val="2110404264"/>
        <c:crosses val="autoZero"/>
        <c:crossBetween val="midCat"/>
        <c:majorUnit val="0.1"/>
      </c:valAx>
      <c:spPr>
        <a:ln w="6350">
          <a:solidFill>
            <a:schemeClr val="bg1">
              <a:lumMod val="50000"/>
            </a:schemeClr>
          </a:solidFill>
        </a:ln>
      </c:spPr>
    </c:plotArea>
    <c:legend>
      <c:legendPos val="b"/>
      <c:legendEntry>
        <c:idx val="2"/>
        <c:delete val="1"/>
      </c:legendEntry>
      <c:legendEntry>
        <c:idx val="3"/>
        <c:delete val="1"/>
      </c:legendEntry>
      <c:legendEntry>
        <c:idx val="4"/>
        <c:delete val="1"/>
      </c:legendEntry>
      <c:legendEntry>
        <c:idx val="5"/>
        <c:delete val="1"/>
      </c:legendEntry>
      <c:layout>
        <c:manualLayout>
          <c:xMode val="edge"/>
          <c:yMode val="edge"/>
          <c:x val="0"/>
          <c:y val="0.93273219879773095"/>
          <c:w val="1"/>
          <c:h val="6.1415282934192801E-2"/>
        </c:manualLayout>
      </c:layout>
      <c:overlay val="0"/>
      <c:txPr>
        <a:bodyPr/>
        <a:lstStyle/>
        <a:p>
          <a:pPr>
            <a:defRPr sz="800"/>
          </a:pPr>
          <a:endParaRPr lang="en-US"/>
        </a:p>
      </c:txPr>
    </c:legend>
    <c:plotVisOnly val="1"/>
    <c:dispBlanksAs val="gap"/>
    <c:showDLblsOverMax val="0"/>
  </c:chart>
  <c:spPr>
    <a:ln w="6350"/>
    <a:effectLst/>
  </c:spPr>
  <c:externalData r:id="rId1">
    <c:autoUpdate val="0"/>
  </c:externalData>
  <c:userShapes r:id="rId2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77894226636305"/>
          <c:y val="8.4180938446688003E-2"/>
          <c:w val="0.72024746906636705"/>
          <c:h val="0.78661083324287595"/>
        </c:manualLayout>
      </c:layout>
      <c:scatterChart>
        <c:scatterStyle val="smoothMarker"/>
        <c:varyColors val="0"/>
        <c:ser>
          <c:idx val="0"/>
          <c:order val="0"/>
          <c:tx>
            <c:strRef>
              <c:f>T0!$AX$1</c:f>
              <c:strCache>
                <c:ptCount val="1"/>
                <c:pt idx="0">
                  <c:v>Fund if DW not detected</c:v>
                </c:pt>
              </c:strCache>
            </c:strRef>
          </c:tx>
          <c:spPr>
            <a:ln w="6350">
              <a:solidFill>
                <a:srgbClr val="00B0F0"/>
              </a:solidFill>
            </a:ln>
            <a:effectLst/>
          </c:spPr>
          <c:marker>
            <c:symbol val="square"/>
            <c:size val="2"/>
            <c:spPr>
              <a:solidFill>
                <a:srgbClr val="00B0F0"/>
              </a:solidFill>
              <a:ln w="6350">
                <a:noFill/>
              </a:ln>
              <a:effectLst/>
            </c:spPr>
          </c:marker>
          <c:xVal>
            <c:numRef>
              <c:f>T0!$AU$2:$AU$26</c:f>
              <c:numCache>
                <c:formatCode>General</c:formatCode>
                <c:ptCount val="2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</c:numCache>
            </c:numRef>
          </c:xVal>
          <c:yVal>
            <c:numRef>
              <c:f>T0!$AO$127:$AO$151</c:f>
              <c:numCache>
                <c:formatCode>General</c:formatCode>
                <c:ptCount val="25"/>
                <c:pt idx="0">
                  <c:v>0.33333333333333298</c:v>
                </c:pt>
                <c:pt idx="1">
                  <c:v>0.16666666666666699</c:v>
                </c:pt>
                <c:pt idx="2">
                  <c:v>0.5</c:v>
                </c:pt>
                <c:pt idx="3">
                  <c:v>0.16666666666666699</c:v>
                </c:pt>
                <c:pt idx="4">
                  <c:v>0.16666666666666699</c:v>
                </c:pt>
                <c:pt idx="5">
                  <c:v>0.16666666666666699</c:v>
                </c:pt>
                <c:pt idx="6">
                  <c:v>0.16666666666666699</c:v>
                </c:pt>
                <c:pt idx="7">
                  <c:v>0.16666666666666699</c:v>
                </c:pt>
                <c:pt idx="8">
                  <c:v>0</c:v>
                </c:pt>
                <c:pt idx="9">
                  <c:v>0.16666666666666699</c:v>
                </c:pt>
                <c:pt idx="10">
                  <c:v>0.16666666666666699</c:v>
                </c:pt>
                <c:pt idx="11">
                  <c:v>0.16666666666666699</c:v>
                </c:pt>
                <c:pt idx="12">
                  <c:v>0.16666666666666699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0.16666666666666699</c:v>
                </c:pt>
                <c:pt idx="18">
                  <c:v>0.16666666666666699</c:v>
                </c:pt>
                <c:pt idx="19">
                  <c:v>0</c:v>
                </c:pt>
                <c:pt idx="20">
                  <c:v>0.16666666666666699</c:v>
                </c:pt>
                <c:pt idx="21">
                  <c:v>0.16666666666666699</c:v>
                </c:pt>
                <c:pt idx="22">
                  <c:v>0.16666666666666699</c:v>
                </c:pt>
                <c:pt idx="23">
                  <c:v>0.16666666666666699</c:v>
                </c:pt>
                <c:pt idx="24">
                  <c:v>0.16666666666666699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A92E-0B41-9075-57BB84BC0675}"/>
            </c:ext>
          </c:extLst>
        </c:ser>
        <c:ser>
          <c:idx val="1"/>
          <c:order val="1"/>
          <c:tx>
            <c:strRef>
              <c:f>T0!$AY$1</c:f>
              <c:strCache>
                <c:ptCount val="1"/>
                <c:pt idx="0">
                  <c:v>Fund if DW detected</c:v>
                </c:pt>
              </c:strCache>
            </c:strRef>
          </c:tx>
          <c:spPr>
            <a:ln w="6350" cmpd="sng">
              <a:solidFill>
                <a:srgbClr val="002060"/>
              </a:solidFill>
            </a:ln>
            <a:effectLst/>
          </c:spPr>
          <c:marker>
            <c:symbol val="square"/>
            <c:size val="2"/>
            <c:spPr>
              <a:solidFill>
                <a:schemeClr val="bg1"/>
              </a:solidFill>
              <a:ln w="3175">
                <a:solidFill>
                  <a:srgbClr val="002060"/>
                </a:solidFill>
              </a:ln>
              <a:effectLst/>
            </c:spPr>
          </c:marker>
          <c:xVal>
            <c:numRef>
              <c:f>T0!$AU$2:$AU$26</c:f>
              <c:numCache>
                <c:formatCode>General</c:formatCode>
                <c:ptCount val="2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</c:numCache>
            </c:numRef>
          </c:xVal>
          <c:yVal>
            <c:numRef>
              <c:f>T0!$AP$127:$AP$151</c:f>
              <c:numCache>
                <c:formatCode>General</c:formatCode>
                <c:ptCount val="25"/>
                <c:pt idx="0">
                  <c:v>0.66666666666666696</c:v>
                </c:pt>
                <c:pt idx="1">
                  <c:v>0.83333333333333304</c:v>
                </c:pt>
                <c:pt idx="2">
                  <c:v>0.83333333333333304</c:v>
                </c:pt>
                <c:pt idx="3">
                  <c:v>0.83333333333333304</c:v>
                </c:pt>
                <c:pt idx="4">
                  <c:v>0.66666666666666696</c:v>
                </c:pt>
                <c:pt idx="5">
                  <c:v>0.83333333333333304</c:v>
                </c:pt>
                <c:pt idx="6">
                  <c:v>0.83333333333333304</c:v>
                </c:pt>
                <c:pt idx="7">
                  <c:v>0.66666666666666696</c:v>
                </c:pt>
                <c:pt idx="8">
                  <c:v>0.5</c:v>
                </c:pt>
                <c:pt idx="9">
                  <c:v>0.33333333333333298</c:v>
                </c:pt>
                <c:pt idx="10">
                  <c:v>0.33333333333333298</c:v>
                </c:pt>
                <c:pt idx="11">
                  <c:v>0.5</c:v>
                </c:pt>
                <c:pt idx="12">
                  <c:v>0.33333333333333298</c:v>
                </c:pt>
                <c:pt idx="13">
                  <c:v>0.33333333333333298</c:v>
                </c:pt>
                <c:pt idx="14">
                  <c:v>0.5</c:v>
                </c:pt>
                <c:pt idx="15">
                  <c:v>0.33333333333333298</c:v>
                </c:pt>
                <c:pt idx="16">
                  <c:v>0.5</c:v>
                </c:pt>
                <c:pt idx="17">
                  <c:v>0.33333333333333298</c:v>
                </c:pt>
                <c:pt idx="18">
                  <c:v>0.33333333333333298</c:v>
                </c:pt>
                <c:pt idx="19">
                  <c:v>0.33333333333333298</c:v>
                </c:pt>
                <c:pt idx="20">
                  <c:v>0.5</c:v>
                </c:pt>
                <c:pt idx="21">
                  <c:v>0.33333333333333298</c:v>
                </c:pt>
                <c:pt idx="22">
                  <c:v>0.33333333333333298</c:v>
                </c:pt>
                <c:pt idx="23">
                  <c:v>0.33333333333333298</c:v>
                </c:pt>
                <c:pt idx="24">
                  <c:v>0.16666666666666699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A92E-0B41-9075-57BB84BC067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-2096231176"/>
        <c:axId val="-2096146920"/>
      </c:scatterChart>
      <c:valAx>
        <c:axId val="-2096231176"/>
        <c:scaling>
          <c:orientation val="minMax"/>
          <c:max val="25"/>
          <c:min val="1"/>
        </c:scaling>
        <c:delete val="0"/>
        <c:axPos val="b"/>
        <c:title>
          <c:tx>
            <c:rich>
              <a:bodyPr/>
              <a:lstStyle/>
              <a:p>
                <a:pPr>
                  <a:defRPr sz="500" b="0"/>
                </a:pPr>
                <a:r>
                  <a:rPr lang="en-US" sz="5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rPr>
                  <a:t> </a:t>
                </a:r>
                <a:r>
                  <a:rPr lang="en-US" sz="500" b="0"/>
                  <a:t>Round</a:t>
                </a:r>
              </a:p>
            </c:rich>
          </c:tx>
          <c:layout>
            <c:manualLayout>
              <c:xMode val="edge"/>
              <c:yMode val="edge"/>
              <c:x val="0.40041885008276401"/>
              <c:y val="0.90604453870625601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6350"/>
        </c:spPr>
        <c:txPr>
          <a:bodyPr/>
          <a:lstStyle/>
          <a:p>
            <a:pPr>
              <a:defRPr sz="500"/>
            </a:pPr>
            <a:endParaRPr lang="en-US"/>
          </a:p>
        </c:txPr>
        <c:crossAx val="-2096146920"/>
        <c:crosses val="autoZero"/>
        <c:crossBetween val="midCat"/>
        <c:majorUnit val="24"/>
      </c:valAx>
      <c:valAx>
        <c:axId val="-2096146920"/>
        <c:scaling>
          <c:orientation val="minMax"/>
          <c:max val="1"/>
        </c:scaling>
        <c:delete val="0"/>
        <c:axPos val="l"/>
        <c:majorGridlines>
          <c:spPr>
            <a:ln w="6350"/>
          </c:spPr>
        </c:majorGridlines>
        <c:title>
          <c:tx>
            <c:rich>
              <a:bodyPr rot="-5400000" vert="horz"/>
              <a:lstStyle/>
              <a:p>
                <a:pPr>
                  <a:defRPr sz="500" b="0"/>
                </a:pPr>
                <a:r>
                  <a:rPr lang="en-US" sz="500" b="0" i="0" u="none" strike="noStrike" baseline="0">
                    <a:effectLst/>
                  </a:rPr>
                  <a:t>Borrow</a:t>
                </a:r>
                <a:r>
                  <a:rPr lang="en-US" sz="500" b="0" i="0" u="none" strike="noStrike" kern="1200" baseline="0">
                    <a:solidFill>
                      <a:sysClr val="windowText" lastClr="000000"/>
                    </a:solidFill>
                    <a:effectLst/>
                    <a:latin typeface="+mn-lt"/>
                    <a:ea typeface="+mn-ea"/>
                    <a:cs typeface="+mn-cs"/>
                  </a:rPr>
                  <a:t> </a:t>
                </a:r>
                <a:r>
                  <a:rPr lang="en-US" sz="500" b="0" i="0" u="none" strike="noStrike" baseline="0">
                    <a:effectLst/>
                  </a:rPr>
                  <a:t>at</a:t>
                </a:r>
                <a:r>
                  <a:rPr lang="en-US" sz="500" b="0" i="0" u="none" strike="noStrike" kern="1200" baseline="0">
                    <a:solidFill>
                      <a:sysClr val="windowText" lastClr="000000"/>
                    </a:solidFill>
                    <a:effectLst/>
                    <a:latin typeface="+mn-lt"/>
                    <a:ea typeface="+mn-ea"/>
                    <a:cs typeface="+mn-cs"/>
                  </a:rPr>
                  <a:t> </a:t>
                </a:r>
                <a:r>
                  <a:rPr lang="en-US" sz="500" b="0" i="0" u="none" strike="noStrike" baseline="0">
                    <a:effectLst/>
                  </a:rPr>
                  <a:t>DW</a:t>
                </a:r>
                <a:endParaRPr lang="en-US" sz="500" b="0"/>
              </a:p>
            </c:rich>
          </c:tx>
          <c:layout>
            <c:manualLayout>
              <c:xMode val="edge"/>
              <c:yMode val="edge"/>
              <c:x val="0"/>
              <c:y val="0.28127771144195501"/>
            </c:manualLayout>
          </c:layout>
          <c:overlay val="0"/>
        </c:title>
        <c:numFmt formatCode="0%" sourceLinked="0"/>
        <c:majorTickMark val="out"/>
        <c:minorTickMark val="none"/>
        <c:tickLblPos val="nextTo"/>
        <c:spPr>
          <a:ln w="6350"/>
        </c:spPr>
        <c:txPr>
          <a:bodyPr/>
          <a:lstStyle/>
          <a:p>
            <a:pPr>
              <a:defRPr sz="400"/>
            </a:pPr>
            <a:endParaRPr lang="en-US"/>
          </a:p>
        </c:txPr>
        <c:crossAx val="-2096231176"/>
        <c:crosses val="autoZero"/>
        <c:crossBetween val="midCat"/>
        <c:majorUnit val="1"/>
      </c:valAx>
      <c:spPr>
        <a:ln w="6350">
          <a:solidFill>
            <a:schemeClr val="bg1">
              <a:lumMod val="50000"/>
            </a:schemeClr>
          </a:solidFill>
        </a:ln>
      </c:spPr>
    </c:plotArea>
    <c:plotVisOnly val="1"/>
    <c:dispBlanksAs val="gap"/>
    <c:showDLblsOverMax val="0"/>
  </c:chart>
  <c:spPr>
    <a:ln w="6350"/>
    <a:effectLst/>
  </c:spPr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77894226636305"/>
          <c:y val="8.4180938446688003E-2"/>
          <c:w val="0.72024746906636705"/>
          <c:h val="0.78661083324287595"/>
        </c:manualLayout>
      </c:layout>
      <c:scatterChart>
        <c:scatterStyle val="smoothMarker"/>
        <c:varyColors val="0"/>
        <c:ser>
          <c:idx val="0"/>
          <c:order val="0"/>
          <c:tx>
            <c:strRef>
              <c:f>T0!$AX$1</c:f>
              <c:strCache>
                <c:ptCount val="1"/>
                <c:pt idx="0">
                  <c:v>Fund if DW not detected</c:v>
                </c:pt>
              </c:strCache>
            </c:strRef>
          </c:tx>
          <c:spPr>
            <a:ln w="6350">
              <a:solidFill>
                <a:srgbClr val="FF0000"/>
              </a:solidFill>
            </a:ln>
            <a:effectLst/>
          </c:spPr>
          <c:marker>
            <c:symbol val="circle"/>
            <c:size val="2"/>
            <c:spPr>
              <a:solidFill>
                <a:srgbClr val="FF0000"/>
              </a:solidFill>
              <a:ln w="6350">
                <a:solidFill>
                  <a:srgbClr val="FF0000"/>
                </a:solidFill>
              </a:ln>
              <a:effectLst/>
            </c:spPr>
          </c:marker>
          <c:xVal>
            <c:numRef>
              <c:f>T0!$AU$2:$AU$26</c:f>
              <c:numCache>
                <c:formatCode>General</c:formatCode>
                <c:ptCount val="2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</c:numCache>
            </c:numRef>
          </c:xVal>
          <c:yVal>
            <c:numRef>
              <c:f>'T1'!$AQ$2:$AQ$26</c:f>
              <c:numCache>
                <c:formatCode>0.0%</c:formatCode>
                <c:ptCount val="25"/>
                <c:pt idx="0">
                  <c:v>0.66666666666666696</c:v>
                </c:pt>
                <c:pt idx="1">
                  <c:v>0.83333333333333304</c:v>
                </c:pt>
                <c:pt idx="2">
                  <c:v>0.83333333333333304</c:v>
                </c:pt>
                <c:pt idx="3">
                  <c:v>0.83333333333333304</c:v>
                </c:pt>
                <c:pt idx="4">
                  <c:v>1</c:v>
                </c:pt>
                <c:pt idx="5">
                  <c:v>0.66666666666666696</c:v>
                </c:pt>
                <c:pt idx="6">
                  <c:v>0.83333333333333304</c:v>
                </c:pt>
                <c:pt idx="7">
                  <c:v>0.83333333333333304</c:v>
                </c:pt>
                <c:pt idx="8">
                  <c:v>1</c:v>
                </c:pt>
                <c:pt idx="9">
                  <c:v>0.83333333333333304</c:v>
                </c:pt>
                <c:pt idx="10">
                  <c:v>1</c:v>
                </c:pt>
                <c:pt idx="11">
                  <c:v>0.83333333333333304</c:v>
                </c:pt>
                <c:pt idx="12">
                  <c:v>1</c:v>
                </c:pt>
                <c:pt idx="13">
                  <c:v>1</c:v>
                </c:pt>
                <c:pt idx="14">
                  <c:v>0.83333333333333304</c:v>
                </c:pt>
                <c:pt idx="15">
                  <c:v>1</c:v>
                </c:pt>
                <c:pt idx="16">
                  <c:v>1</c:v>
                </c:pt>
                <c:pt idx="17">
                  <c:v>0.83333333333333304</c:v>
                </c:pt>
                <c:pt idx="18">
                  <c:v>0.83333333333333304</c:v>
                </c:pt>
                <c:pt idx="19">
                  <c:v>1</c:v>
                </c:pt>
                <c:pt idx="20">
                  <c:v>1</c:v>
                </c:pt>
                <c:pt idx="21">
                  <c:v>0.83333333333333304</c:v>
                </c:pt>
                <c:pt idx="22">
                  <c:v>1</c:v>
                </c:pt>
                <c:pt idx="23">
                  <c:v>0.66666666666666696</c:v>
                </c:pt>
                <c:pt idx="24">
                  <c:v>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8002-EF46-A104-66CE3543CCA2}"/>
            </c:ext>
          </c:extLst>
        </c:ser>
        <c:ser>
          <c:idx val="1"/>
          <c:order val="1"/>
          <c:tx>
            <c:strRef>
              <c:f>T0!$AY$1</c:f>
              <c:strCache>
                <c:ptCount val="1"/>
                <c:pt idx="0">
                  <c:v>Fund if DW detected</c:v>
                </c:pt>
              </c:strCache>
            </c:strRef>
          </c:tx>
          <c:spPr>
            <a:ln w="6350" cmpd="sng">
              <a:solidFill>
                <a:srgbClr val="FF9300"/>
              </a:solidFill>
            </a:ln>
            <a:effectLst/>
          </c:spPr>
          <c:marker>
            <c:symbol val="circle"/>
            <c:size val="2"/>
            <c:spPr>
              <a:solidFill>
                <a:schemeClr val="bg1"/>
              </a:solidFill>
              <a:ln w="6350">
                <a:solidFill>
                  <a:srgbClr val="FF9300"/>
                </a:solidFill>
              </a:ln>
              <a:effectLst/>
            </c:spPr>
          </c:marker>
          <c:xVal>
            <c:numRef>
              <c:f>T0!$AU$2:$AU$26</c:f>
              <c:numCache>
                <c:formatCode>General</c:formatCode>
                <c:ptCount val="2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</c:numCache>
            </c:numRef>
          </c:xVal>
          <c:yVal>
            <c:numRef>
              <c:f>'T1'!$AR$2:$AR$26</c:f>
              <c:numCache>
                <c:formatCode>0.0%</c:formatCode>
                <c:ptCount val="25"/>
                <c:pt idx="0">
                  <c:v>0.5</c:v>
                </c:pt>
                <c:pt idx="1">
                  <c:v>0.5</c:v>
                </c:pt>
                <c:pt idx="2">
                  <c:v>0.33333333333333298</c:v>
                </c:pt>
                <c:pt idx="3">
                  <c:v>0</c:v>
                </c:pt>
                <c:pt idx="4">
                  <c:v>0.16666666666666699</c:v>
                </c:pt>
                <c:pt idx="5">
                  <c:v>0</c:v>
                </c:pt>
                <c:pt idx="6">
                  <c:v>0</c:v>
                </c:pt>
                <c:pt idx="7">
                  <c:v>0.16666666666666699</c:v>
                </c:pt>
                <c:pt idx="8">
                  <c:v>0.16666666666666699</c:v>
                </c:pt>
                <c:pt idx="9">
                  <c:v>0.16666666666666699</c:v>
                </c:pt>
                <c:pt idx="10">
                  <c:v>0.16666666666666699</c:v>
                </c:pt>
                <c:pt idx="11">
                  <c:v>0.33333333333333298</c:v>
                </c:pt>
                <c:pt idx="12">
                  <c:v>0.16666666666666699</c:v>
                </c:pt>
                <c:pt idx="13">
                  <c:v>0</c:v>
                </c:pt>
                <c:pt idx="14">
                  <c:v>0.16666666666666699</c:v>
                </c:pt>
                <c:pt idx="15">
                  <c:v>0</c:v>
                </c:pt>
                <c:pt idx="16">
                  <c:v>0.16666666666666699</c:v>
                </c:pt>
                <c:pt idx="17">
                  <c:v>0.16666666666666699</c:v>
                </c:pt>
                <c:pt idx="18">
                  <c:v>0</c:v>
                </c:pt>
                <c:pt idx="19">
                  <c:v>0.16666666666666699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8002-EF46-A104-66CE3543CCA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-2096685880"/>
        <c:axId val="-2096694152"/>
      </c:scatterChart>
      <c:valAx>
        <c:axId val="-2096685880"/>
        <c:scaling>
          <c:orientation val="minMax"/>
          <c:max val="25"/>
          <c:min val="1"/>
        </c:scaling>
        <c:delete val="0"/>
        <c:axPos val="b"/>
        <c:title>
          <c:tx>
            <c:rich>
              <a:bodyPr/>
              <a:lstStyle/>
              <a:p>
                <a:pPr>
                  <a:defRPr sz="500" b="0"/>
                </a:pPr>
                <a:r>
                  <a:rPr lang="en-US" sz="5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rPr>
                  <a:t> </a:t>
                </a:r>
                <a:r>
                  <a:rPr lang="en-US" sz="500" b="0"/>
                  <a:t>Round</a:t>
                </a:r>
              </a:p>
            </c:rich>
          </c:tx>
          <c:layout>
            <c:manualLayout>
              <c:xMode val="edge"/>
              <c:yMode val="edge"/>
              <c:x val="0.40041885008276401"/>
              <c:y val="0.90604453870625601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6350"/>
        </c:spPr>
        <c:txPr>
          <a:bodyPr/>
          <a:lstStyle/>
          <a:p>
            <a:pPr>
              <a:defRPr sz="500"/>
            </a:pPr>
            <a:endParaRPr lang="en-US"/>
          </a:p>
        </c:txPr>
        <c:crossAx val="-2096694152"/>
        <c:crosses val="autoZero"/>
        <c:crossBetween val="midCat"/>
        <c:majorUnit val="24"/>
      </c:valAx>
      <c:valAx>
        <c:axId val="-2096694152"/>
        <c:scaling>
          <c:orientation val="minMax"/>
          <c:max val="1"/>
        </c:scaling>
        <c:delete val="0"/>
        <c:axPos val="l"/>
        <c:majorGridlines>
          <c:spPr>
            <a:ln w="6350"/>
          </c:spPr>
        </c:majorGridlines>
        <c:title>
          <c:tx>
            <c:rich>
              <a:bodyPr rot="-5400000" vert="horz"/>
              <a:lstStyle/>
              <a:p>
                <a:pPr>
                  <a:defRPr sz="500" b="0"/>
                </a:pPr>
                <a:r>
                  <a:rPr lang="en-US" sz="500" b="0" i="0" u="none" strike="noStrike" baseline="0">
                    <a:effectLst/>
                  </a:rPr>
                  <a:t>Fund</a:t>
                </a:r>
                <a:r>
                  <a:rPr lang="en-US" sz="500" b="0" i="0" u="none" strike="noStrike" kern="1200" baseline="0">
                    <a:solidFill>
                      <a:sysClr val="windowText" lastClr="000000"/>
                    </a:solidFill>
                    <a:effectLst/>
                    <a:latin typeface="+mn-lt"/>
                    <a:ea typeface="+mn-ea"/>
                    <a:cs typeface="+mn-cs"/>
                  </a:rPr>
                  <a:t> </a:t>
                </a:r>
                <a:r>
                  <a:rPr lang="en-US" sz="500" b="0" i="0" u="none" strike="noStrike" baseline="0">
                    <a:effectLst/>
                  </a:rPr>
                  <a:t>the</a:t>
                </a:r>
                <a:r>
                  <a:rPr lang="en-US" sz="500" b="0" i="0" u="none" strike="noStrike" kern="1200" baseline="0">
                    <a:solidFill>
                      <a:sysClr val="windowText" lastClr="000000"/>
                    </a:solidFill>
                    <a:effectLst/>
                    <a:latin typeface="+mn-lt"/>
                    <a:ea typeface="+mn-ea"/>
                    <a:cs typeface="+mn-cs"/>
                  </a:rPr>
                  <a:t> </a:t>
                </a:r>
                <a:r>
                  <a:rPr lang="en-US" sz="500" b="0" i="0" u="none" strike="noStrike" baseline="0">
                    <a:effectLst/>
                  </a:rPr>
                  <a:t>Bank</a:t>
                </a:r>
                <a:r>
                  <a:rPr lang="en-US" sz="500" b="0" i="0" u="none" strike="noStrike" kern="1200" baseline="0">
                    <a:solidFill>
                      <a:sysClr val="windowText" lastClr="000000"/>
                    </a:solidFill>
                    <a:effectLst/>
                    <a:latin typeface="+mn-lt"/>
                    <a:ea typeface="+mn-ea"/>
                    <a:cs typeface="+mn-cs"/>
                  </a:rPr>
                  <a:t> </a:t>
                </a:r>
                <a:endParaRPr lang="en-US" sz="500" b="0"/>
              </a:p>
            </c:rich>
          </c:tx>
          <c:layout>
            <c:manualLayout>
              <c:xMode val="edge"/>
              <c:yMode val="edge"/>
              <c:x val="0"/>
              <c:y val="0.28127771144195501"/>
            </c:manualLayout>
          </c:layout>
          <c:overlay val="0"/>
        </c:title>
        <c:numFmt formatCode="0%" sourceLinked="0"/>
        <c:majorTickMark val="out"/>
        <c:minorTickMark val="none"/>
        <c:tickLblPos val="nextTo"/>
        <c:spPr>
          <a:ln w="6350"/>
        </c:spPr>
        <c:txPr>
          <a:bodyPr/>
          <a:lstStyle/>
          <a:p>
            <a:pPr>
              <a:defRPr sz="400"/>
            </a:pPr>
            <a:endParaRPr lang="en-US"/>
          </a:p>
        </c:txPr>
        <c:crossAx val="-2096685880"/>
        <c:crosses val="autoZero"/>
        <c:crossBetween val="midCat"/>
        <c:majorUnit val="1"/>
      </c:valAx>
      <c:spPr>
        <a:ln w="6350">
          <a:solidFill>
            <a:schemeClr val="bg1">
              <a:lumMod val="50000"/>
            </a:schemeClr>
          </a:solidFill>
        </a:ln>
      </c:spPr>
    </c:plotArea>
    <c:plotVisOnly val="1"/>
    <c:dispBlanksAs val="gap"/>
    <c:showDLblsOverMax val="0"/>
  </c:chart>
  <c:spPr>
    <a:ln w="6350"/>
    <a:effectLst/>
  </c:spPr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77894226636305"/>
          <c:y val="8.4180938446688003E-2"/>
          <c:w val="0.72024746906636705"/>
          <c:h val="0.78661083324287595"/>
        </c:manualLayout>
      </c:layout>
      <c:scatterChart>
        <c:scatterStyle val="smoothMarker"/>
        <c:varyColors val="0"/>
        <c:ser>
          <c:idx val="0"/>
          <c:order val="0"/>
          <c:tx>
            <c:strRef>
              <c:f>T0!$AX$1</c:f>
              <c:strCache>
                <c:ptCount val="1"/>
                <c:pt idx="0">
                  <c:v>Fund if DW not detected</c:v>
                </c:pt>
              </c:strCache>
            </c:strRef>
          </c:tx>
          <c:spPr>
            <a:ln w="6350">
              <a:solidFill>
                <a:srgbClr val="00B0F0"/>
              </a:solidFill>
            </a:ln>
            <a:effectLst/>
          </c:spPr>
          <c:marker>
            <c:symbol val="square"/>
            <c:size val="2"/>
            <c:spPr>
              <a:solidFill>
                <a:srgbClr val="00B0F0"/>
              </a:solidFill>
              <a:ln w="6350">
                <a:noFill/>
              </a:ln>
              <a:effectLst/>
            </c:spPr>
          </c:marker>
          <c:xVal>
            <c:numRef>
              <c:f>'T1'!$AU$2:$AU$26</c:f>
              <c:numCache>
                <c:formatCode>General</c:formatCode>
                <c:ptCount val="2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</c:numCache>
            </c:numRef>
          </c:xVal>
          <c:yVal>
            <c:numRef>
              <c:f>'T1'!$AO$2:$AO$26</c:f>
              <c:numCache>
                <c:formatCode>0.0%</c:formatCode>
                <c:ptCount val="25"/>
                <c:pt idx="0">
                  <c:v>0.5</c:v>
                </c:pt>
                <c:pt idx="1">
                  <c:v>0.33333333333333298</c:v>
                </c:pt>
                <c:pt idx="2">
                  <c:v>0.16666666666666699</c:v>
                </c:pt>
                <c:pt idx="3">
                  <c:v>0.16666666666666699</c:v>
                </c:pt>
                <c:pt idx="4">
                  <c:v>0.16666666666666699</c:v>
                </c:pt>
                <c:pt idx="5">
                  <c:v>0.16666666666666699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0.16666666666666699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F2CA-A241-8BDB-41BADE2E64A8}"/>
            </c:ext>
          </c:extLst>
        </c:ser>
        <c:ser>
          <c:idx val="1"/>
          <c:order val="1"/>
          <c:tx>
            <c:strRef>
              <c:f>T0!$AY$1</c:f>
              <c:strCache>
                <c:ptCount val="1"/>
                <c:pt idx="0">
                  <c:v>Fund if DW detected</c:v>
                </c:pt>
              </c:strCache>
            </c:strRef>
          </c:tx>
          <c:spPr>
            <a:ln w="6350" cmpd="sng">
              <a:solidFill>
                <a:srgbClr val="002060"/>
              </a:solidFill>
            </a:ln>
            <a:effectLst/>
          </c:spPr>
          <c:marker>
            <c:symbol val="square"/>
            <c:size val="2"/>
            <c:spPr>
              <a:solidFill>
                <a:schemeClr val="bg1"/>
              </a:solidFill>
              <a:ln w="3175">
                <a:solidFill>
                  <a:srgbClr val="002060"/>
                </a:solidFill>
              </a:ln>
              <a:effectLst/>
            </c:spPr>
          </c:marker>
          <c:xVal>
            <c:numRef>
              <c:f>'T1'!$AU$2:$AU$26</c:f>
              <c:numCache>
                <c:formatCode>General</c:formatCode>
                <c:ptCount val="2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</c:numCache>
            </c:numRef>
          </c:xVal>
          <c:yVal>
            <c:numRef>
              <c:f>'T1'!$AP$2:$AP$26</c:f>
              <c:numCache>
                <c:formatCode>0.0%</c:formatCode>
                <c:ptCount val="25"/>
                <c:pt idx="0">
                  <c:v>0.66666666666666696</c:v>
                </c:pt>
                <c:pt idx="1">
                  <c:v>0.66666666666666696</c:v>
                </c:pt>
                <c:pt idx="2">
                  <c:v>0.83333333333333304</c:v>
                </c:pt>
                <c:pt idx="3">
                  <c:v>0.66666666666666696</c:v>
                </c:pt>
                <c:pt idx="4">
                  <c:v>0.33333333333333298</c:v>
                </c:pt>
                <c:pt idx="5">
                  <c:v>0.5</c:v>
                </c:pt>
                <c:pt idx="6">
                  <c:v>0.33333333333333298</c:v>
                </c:pt>
                <c:pt idx="7">
                  <c:v>0.16666666666666699</c:v>
                </c:pt>
                <c:pt idx="8">
                  <c:v>0.5</c:v>
                </c:pt>
                <c:pt idx="9">
                  <c:v>0.33333333333333298</c:v>
                </c:pt>
                <c:pt idx="10">
                  <c:v>0.33333333333333298</c:v>
                </c:pt>
                <c:pt idx="11">
                  <c:v>0.33333333333333298</c:v>
                </c:pt>
                <c:pt idx="12">
                  <c:v>0.33333333333333298</c:v>
                </c:pt>
                <c:pt idx="13">
                  <c:v>0.33333333333333298</c:v>
                </c:pt>
                <c:pt idx="14">
                  <c:v>0.16666666666666699</c:v>
                </c:pt>
                <c:pt idx="15">
                  <c:v>0.33333333333333298</c:v>
                </c:pt>
                <c:pt idx="16">
                  <c:v>0.16666666666666699</c:v>
                </c:pt>
                <c:pt idx="17">
                  <c:v>0.16666666666666699</c:v>
                </c:pt>
                <c:pt idx="18">
                  <c:v>0.16666666666666699</c:v>
                </c:pt>
                <c:pt idx="19">
                  <c:v>0.33333333333333298</c:v>
                </c:pt>
                <c:pt idx="20">
                  <c:v>0.16666666666666699</c:v>
                </c:pt>
                <c:pt idx="21">
                  <c:v>0.16666666666666699</c:v>
                </c:pt>
                <c:pt idx="22">
                  <c:v>0.33333333333333298</c:v>
                </c:pt>
                <c:pt idx="23">
                  <c:v>0</c:v>
                </c:pt>
                <c:pt idx="24">
                  <c:v>0.33333333333333298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F2CA-A241-8BDB-41BADE2E64A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-2096727736"/>
        <c:axId val="-2096735992"/>
      </c:scatterChart>
      <c:valAx>
        <c:axId val="-2096727736"/>
        <c:scaling>
          <c:orientation val="minMax"/>
          <c:max val="25"/>
          <c:min val="1"/>
        </c:scaling>
        <c:delete val="0"/>
        <c:axPos val="b"/>
        <c:title>
          <c:tx>
            <c:rich>
              <a:bodyPr/>
              <a:lstStyle/>
              <a:p>
                <a:pPr>
                  <a:defRPr sz="500" b="0"/>
                </a:pPr>
                <a:r>
                  <a:rPr lang="en-US" sz="5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rPr>
                  <a:t> </a:t>
                </a:r>
                <a:r>
                  <a:rPr lang="en-US" sz="500" b="0"/>
                  <a:t>Round</a:t>
                </a:r>
              </a:p>
            </c:rich>
          </c:tx>
          <c:layout>
            <c:manualLayout>
              <c:xMode val="edge"/>
              <c:yMode val="edge"/>
              <c:x val="0.40041885008276401"/>
              <c:y val="0.90604453870625601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6350"/>
        </c:spPr>
        <c:txPr>
          <a:bodyPr/>
          <a:lstStyle/>
          <a:p>
            <a:pPr>
              <a:defRPr sz="500"/>
            </a:pPr>
            <a:endParaRPr lang="en-US"/>
          </a:p>
        </c:txPr>
        <c:crossAx val="-2096735992"/>
        <c:crosses val="autoZero"/>
        <c:crossBetween val="midCat"/>
        <c:majorUnit val="24"/>
      </c:valAx>
      <c:valAx>
        <c:axId val="-2096735992"/>
        <c:scaling>
          <c:orientation val="minMax"/>
          <c:max val="1"/>
        </c:scaling>
        <c:delete val="0"/>
        <c:axPos val="l"/>
        <c:majorGridlines>
          <c:spPr>
            <a:ln w="6350"/>
          </c:spPr>
        </c:majorGridlines>
        <c:title>
          <c:tx>
            <c:rich>
              <a:bodyPr rot="-5400000" vert="horz"/>
              <a:lstStyle/>
              <a:p>
                <a:pPr>
                  <a:defRPr sz="500" b="0"/>
                </a:pPr>
                <a:r>
                  <a:rPr lang="en-US" sz="500" b="0" i="0" u="none" strike="noStrike" baseline="0">
                    <a:effectLst/>
                  </a:rPr>
                  <a:t>Borrow</a:t>
                </a:r>
                <a:r>
                  <a:rPr lang="en-US" sz="500" b="0" i="0" u="none" strike="noStrike" kern="1200" baseline="0">
                    <a:solidFill>
                      <a:sysClr val="windowText" lastClr="000000"/>
                    </a:solidFill>
                    <a:effectLst/>
                    <a:latin typeface="+mn-lt"/>
                    <a:ea typeface="+mn-ea"/>
                    <a:cs typeface="+mn-cs"/>
                  </a:rPr>
                  <a:t> </a:t>
                </a:r>
                <a:r>
                  <a:rPr lang="en-US" sz="500" b="0" i="0" u="none" strike="noStrike" baseline="0">
                    <a:effectLst/>
                  </a:rPr>
                  <a:t>at</a:t>
                </a:r>
                <a:r>
                  <a:rPr lang="en-US" sz="500" b="0" i="0" u="none" strike="noStrike" kern="1200" baseline="0">
                    <a:solidFill>
                      <a:sysClr val="windowText" lastClr="000000"/>
                    </a:solidFill>
                    <a:effectLst/>
                    <a:latin typeface="+mn-lt"/>
                    <a:ea typeface="+mn-ea"/>
                    <a:cs typeface="+mn-cs"/>
                  </a:rPr>
                  <a:t> </a:t>
                </a:r>
                <a:r>
                  <a:rPr lang="en-US" sz="500" b="0" i="0" u="none" strike="noStrike" baseline="0">
                    <a:effectLst/>
                  </a:rPr>
                  <a:t>DW</a:t>
                </a:r>
                <a:endParaRPr lang="en-US" sz="500" b="0"/>
              </a:p>
            </c:rich>
          </c:tx>
          <c:layout>
            <c:manualLayout>
              <c:xMode val="edge"/>
              <c:yMode val="edge"/>
              <c:x val="0"/>
              <c:y val="0.28127771144195501"/>
            </c:manualLayout>
          </c:layout>
          <c:overlay val="0"/>
        </c:title>
        <c:numFmt formatCode="0%" sourceLinked="0"/>
        <c:majorTickMark val="out"/>
        <c:minorTickMark val="none"/>
        <c:tickLblPos val="nextTo"/>
        <c:spPr>
          <a:ln w="6350"/>
        </c:spPr>
        <c:txPr>
          <a:bodyPr/>
          <a:lstStyle/>
          <a:p>
            <a:pPr>
              <a:defRPr sz="400"/>
            </a:pPr>
            <a:endParaRPr lang="en-US"/>
          </a:p>
        </c:txPr>
        <c:crossAx val="-2096727736"/>
        <c:crosses val="autoZero"/>
        <c:crossBetween val="midCat"/>
        <c:majorUnit val="1"/>
      </c:valAx>
      <c:spPr>
        <a:ln w="6350">
          <a:solidFill>
            <a:schemeClr val="bg1">
              <a:lumMod val="50000"/>
            </a:schemeClr>
          </a:solidFill>
        </a:ln>
      </c:spPr>
    </c:plotArea>
    <c:plotVisOnly val="1"/>
    <c:dispBlanksAs val="gap"/>
    <c:showDLblsOverMax val="0"/>
  </c:chart>
  <c:spPr>
    <a:ln w="6350"/>
    <a:effectLst/>
  </c:spPr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77894226636305"/>
          <c:y val="8.4180938446688003E-2"/>
          <c:w val="0.72024746906636705"/>
          <c:h val="0.78661083324287595"/>
        </c:manualLayout>
      </c:layout>
      <c:scatterChart>
        <c:scatterStyle val="smoothMarker"/>
        <c:varyColors val="0"/>
        <c:ser>
          <c:idx val="0"/>
          <c:order val="0"/>
          <c:tx>
            <c:strRef>
              <c:f>T0!$AX$1</c:f>
              <c:strCache>
                <c:ptCount val="1"/>
                <c:pt idx="0">
                  <c:v>Fund if DW not detected</c:v>
                </c:pt>
              </c:strCache>
            </c:strRef>
          </c:tx>
          <c:spPr>
            <a:ln w="6350">
              <a:solidFill>
                <a:srgbClr val="FF0000"/>
              </a:solidFill>
            </a:ln>
            <a:effectLst/>
          </c:spPr>
          <c:marker>
            <c:symbol val="circle"/>
            <c:size val="2"/>
            <c:spPr>
              <a:solidFill>
                <a:srgbClr val="FF0000"/>
              </a:solidFill>
              <a:ln w="6350">
                <a:solidFill>
                  <a:srgbClr val="FF0000"/>
                </a:solidFill>
              </a:ln>
              <a:effectLst/>
            </c:spPr>
          </c:marker>
          <c:xVal>
            <c:numRef>
              <c:f>'T1'!$AU$2:$AU$26</c:f>
              <c:numCache>
                <c:formatCode>General</c:formatCode>
                <c:ptCount val="2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</c:numCache>
            </c:numRef>
          </c:xVal>
          <c:yVal>
            <c:numRef>
              <c:f>'T1'!$AQ$27:$AQ$51</c:f>
              <c:numCache>
                <c:formatCode>0.0%</c:formatCode>
                <c:ptCount val="25"/>
                <c:pt idx="0">
                  <c:v>0.66666666666666696</c:v>
                </c:pt>
                <c:pt idx="1">
                  <c:v>0.66666666666666696</c:v>
                </c:pt>
                <c:pt idx="2">
                  <c:v>0.66666666666666696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0.83333333333333304</c:v>
                </c:pt>
                <c:pt idx="11">
                  <c:v>0.66666666666666696</c:v>
                </c:pt>
                <c:pt idx="12">
                  <c:v>0.83333333333333304</c:v>
                </c:pt>
                <c:pt idx="13">
                  <c:v>1</c:v>
                </c:pt>
                <c:pt idx="14">
                  <c:v>0.66666666666666696</c:v>
                </c:pt>
                <c:pt idx="15">
                  <c:v>1</c:v>
                </c:pt>
                <c:pt idx="16">
                  <c:v>0.83333333333333304</c:v>
                </c:pt>
                <c:pt idx="17">
                  <c:v>0.83333333333333304</c:v>
                </c:pt>
                <c:pt idx="18">
                  <c:v>0.66666666666666696</c:v>
                </c:pt>
                <c:pt idx="19">
                  <c:v>0.83333333333333304</c:v>
                </c:pt>
                <c:pt idx="20">
                  <c:v>0.66666666666666696</c:v>
                </c:pt>
                <c:pt idx="21">
                  <c:v>0.83333333333333304</c:v>
                </c:pt>
                <c:pt idx="22">
                  <c:v>1</c:v>
                </c:pt>
                <c:pt idx="23">
                  <c:v>0.83333333333333304</c:v>
                </c:pt>
                <c:pt idx="24">
                  <c:v>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7596-D047-9E03-133ECD020192}"/>
            </c:ext>
          </c:extLst>
        </c:ser>
        <c:ser>
          <c:idx val="1"/>
          <c:order val="1"/>
          <c:tx>
            <c:strRef>
              <c:f>T0!$AY$1</c:f>
              <c:strCache>
                <c:ptCount val="1"/>
                <c:pt idx="0">
                  <c:v>Fund if DW detected</c:v>
                </c:pt>
              </c:strCache>
            </c:strRef>
          </c:tx>
          <c:spPr>
            <a:ln w="6350" cmpd="sng">
              <a:solidFill>
                <a:srgbClr val="FF9300"/>
              </a:solidFill>
            </a:ln>
            <a:effectLst/>
          </c:spPr>
          <c:marker>
            <c:symbol val="circle"/>
            <c:size val="2"/>
            <c:spPr>
              <a:solidFill>
                <a:schemeClr val="bg1"/>
              </a:solidFill>
              <a:ln w="6350">
                <a:solidFill>
                  <a:srgbClr val="FF9300"/>
                </a:solidFill>
              </a:ln>
              <a:effectLst/>
            </c:spPr>
          </c:marker>
          <c:xVal>
            <c:numRef>
              <c:f>T0!$AU$2:$AU$26</c:f>
              <c:numCache>
                <c:formatCode>General</c:formatCode>
                <c:ptCount val="2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</c:numCache>
            </c:numRef>
          </c:xVal>
          <c:yVal>
            <c:numRef>
              <c:f>'T1'!$AR$27:$AR$51</c:f>
              <c:numCache>
                <c:formatCode>0.0%</c:formatCode>
                <c:ptCount val="25"/>
                <c:pt idx="0">
                  <c:v>0.66666666666666696</c:v>
                </c:pt>
                <c:pt idx="1">
                  <c:v>0.66666666666666696</c:v>
                </c:pt>
                <c:pt idx="2">
                  <c:v>0.16666666666666699</c:v>
                </c:pt>
                <c:pt idx="3">
                  <c:v>0.16666666666666699</c:v>
                </c:pt>
                <c:pt idx="4">
                  <c:v>0.33333333333333298</c:v>
                </c:pt>
                <c:pt idx="5">
                  <c:v>0.16666666666666699</c:v>
                </c:pt>
                <c:pt idx="6">
                  <c:v>0</c:v>
                </c:pt>
                <c:pt idx="7">
                  <c:v>0.16666666666666699</c:v>
                </c:pt>
                <c:pt idx="8">
                  <c:v>0.16666666666666699</c:v>
                </c:pt>
                <c:pt idx="9">
                  <c:v>0.16666666666666699</c:v>
                </c:pt>
                <c:pt idx="10">
                  <c:v>0.16666666666666699</c:v>
                </c:pt>
                <c:pt idx="11">
                  <c:v>0.16666666666666699</c:v>
                </c:pt>
                <c:pt idx="12">
                  <c:v>0.33333333333333298</c:v>
                </c:pt>
                <c:pt idx="13">
                  <c:v>0</c:v>
                </c:pt>
                <c:pt idx="14">
                  <c:v>0.16666666666666699</c:v>
                </c:pt>
                <c:pt idx="15">
                  <c:v>0.16666666666666699</c:v>
                </c:pt>
                <c:pt idx="16">
                  <c:v>0</c:v>
                </c:pt>
                <c:pt idx="17">
                  <c:v>0</c:v>
                </c:pt>
                <c:pt idx="18">
                  <c:v>0.16666666666666699</c:v>
                </c:pt>
                <c:pt idx="19">
                  <c:v>0</c:v>
                </c:pt>
                <c:pt idx="20">
                  <c:v>0.16666666666666699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0.33333333333333298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7596-D047-9E03-133ECD02019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-2096770088"/>
        <c:axId val="-2096778392"/>
      </c:scatterChart>
      <c:valAx>
        <c:axId val="-2096770088"/>
        <c:scaling>
          <c:orientation val="minMax"/>
          <c:max val="25"/>
          <c:min val="1"/>
        </c:scaling>
        <c:delete val="0"/>
        <c:axPos val="b"/>
        <c:title>
          <c:tx>
            <c:rich>
              <a:bodyPr/>
              <a:lstStyle/>
              <a:p>
                <a:pPr>
                  <a:defRPr sz="500" b="0"/>
                </a:pPr>
                <a:r>
                  <a:rPr lang="en-US" sz="5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rPr>
                  <a:t> </a:t>
                </a:r>
                <a:r>
                  <a:rPr lang="en-US" sz="500" b="0"/>
                  <a:t>Round</a:t>
                </a:r>
              </a:p>
            </c:rich>
          </c:tx>
          <c:layout>
            <c:manualLayout>
              <c:xMode val="edge"/>
              <c:yMode val="edge"/>
              <c:x val="0.40041885008276401"/>
              <c:y val="0.90604453870625601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6350"/>
        </c:spPr>
        <c:txPr>
          <a:bodyPr/>
          <a:lstStyle/>
          <a:p>
            <a:pPr>
              <a:defRPr sz="500"/>
            </a:pPr>
            <a:endParaRPr lang="en-US"/>
          </a:p>
        </c:txPr>
        <c:crossAx val="-2096778392"/>
        <c:crosses val="autoZero"/>
        <c:crossBetween val="midCat"/>
        <c:majorUnit val="24"/>
      </c:valAx>
      <c:valAx>
        <c:axId val="-2096778392"/>
        <c:scaling>
          <c:orientation val="minMax"/>
          <c:max val="1"/>
        </c:scaling>
        <c:delete val="0"/>
        <c:axPos val="l"/>
        <c:majorGridlines>
          <c:spPr>
            <a:ln w="6350"/>
          </c:spPr>
        </c:majorGridlines>
        <c:title>
          <c:tx>
            <c:rich>
              <a:bodyPr rot="-5400000" vert="horz"/>
              <a:lstStyle/>
              <a:p>
                <a:pPr>
                  <a:defRPr sz="500" b="0"/>
                </a:pPr>
                <a:r>
                  <a:rPr lang="en-US" sz="500" b="0" i="0" u="none" strike="noStrike" baseline="0">
                    <a:effectLst/>
                  </a:rPr>
                  <a:t>Fund</a:t>
                </a:r>
                <a:r>
                  <a:rPr lang="en-US" sz="500" b="0" i="0" u="none" strike="noStrike" kern="1200" baseline="0">
                    <a:solidFill>
                      <a:sysClr val="windowText" lastClr="000000"/>
                    </a:solidFill>
                    <a:effectLst/>
                    <a:latin typeface="+mn-lt"/>
                    <a:ea typeface="+mn-ea"/>
                    <a:cs typeface="+mn-cs"/>
                  </a:rPr>
                  <a:t> </a:t>
                </a:r>
                <a:r>
                  <a:rPr lang="en-US" sz="500" b="0" i="0" u="none" strike="noStrike" baseline="0">
                    <a:effectLst/>
                  </a:rPr>
                  <a:t>the</a:t>
                </a:r>
                <a:r>
                  <a:rPr lang="en-US" sz="500" b="0" i="0" u="none" strike="noStrike" kern="1200" baseline="0">
                    <a:solidFill>
                      <a:sysClr val="windowText" lastClr="000000"/>
                    </a:solidFill>
                    <a:effectLst/>
                    <a:latin typeface="+mn-lt"/>
                    <a:ea typeface="+mn-ea"/>
                    <a:cs typeface="+mn-cs"/>
                  </a:rPr>
                  <a:t> </a:t>
                </a:r>
                <a:r>
                  <a:rPr lang="en-US" sz="500" b="0" i="0" u="none" strike="noStrike" baseline="0">
                    <a:effectLst/>
                  </a:rPr>
                  <a:t>Bank</a:t>
                </a:r>
                <a:r>
                  <a:rPr lang="en-US" sz="500" b="0" i="0" u="none" strike="noStrike" kern="1200" baseline="0">
                    <a:solidFill>
                      <a:sysClr val="windowText" lastClr="000000"/>
                    </a:solidFill>
                    <a:effectLst/>
                    <a:latin typeface="+mn-lt"/>
                    <a:ea typeface="+mn-ea"/>
                    <a:cs typeface="+mn-cs"/>
                  </a:rPr>
                  <a:t> </a:t>
                </a:r>
                <a:endParaRPr lang="en-US" sz="500" b="0"/>
              </a:p>
            </c:rich>
          </c:tx>
          <c:layout>
            <c:manualLayout>
              <c:xMode val="edge"/>
              <c:yMode val="edge"/>
              <c:x val="0"/>
              <c:y val="0.28127771144195501"/>
            </c:manualLayout>
          </c:layout>
          <c:overlay val="0"/>
        </c:title>
        <c:numFmt formatCode="0%" sourceLinked="0"/>
        <c:majorTickMark val="out"/>
        <c:minorTickMark val="none"/>
        <c:tickLblPos val="nextTo"/>
        <c:spPr>
          <a:ln w="6350"/>
        </c:spPr>
        <c:txPr>
          <a:bodyPr/>
          <a:lstStyle/>
          <a:p>
            <a:pPr>
              <a:defRPr sz="400"/>
            </a:pPr>
            <a:endParaRPr lang="en-US"/>
          </a:p>
        </c:txPr>
        <c:crossAx val="-2096770088"/>
        <c:crosses val="autoZero"/>
        <c:crossBetween val="midCat"/>
        <c:majorUnit val="1"/>
      </c:valAx>
      <c:spPr>
        <a:ln w="6350">
          <a:solidFill>
            <a:schemeClr val="bg1">
              <a:lumMod val="50000"/>
            </a:schemeClr>
          </a:solidFill>
        </a:ln>
      </c:spPr>
    </c:plotArea>
    <c:plotVisOnly val="1"/>
    <c:dispBlanksAs val="gap"/>
    <c:showDLblsOverMax val="0"/>
  </c:chart>
  <c:spPr>
    <a:ln w="6350"/>
    <a:effectLst/>
  </c:spPr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77894226636305"/>
          <c:y val="8.4180938446688003E-2"/>
          <c:w val="0.72024746906636705"/>
          <c:h val="0.78661083324287595"/>
        </c:manualLayout>
      </c:layout>
      <c:scatterChart>
        <c:scatterStyle val="smoothMarker"/>
        <c:varyColors val="0"/>
        <c:ser>
          <c:idx val="0"/>
          <c:order val="0"/>
          <c:tx>
            <c:strRef>
              <c:f>T0!$AX$1</c:f>
              <c:strCache>
                <c:ptCount val="1"/>
                <c:pt idx="0">
                  <c:v>Fund if DW not detected</c:v>
                </c:pt>
              </c:strCache>
            </c:strRef>
          </c:tx>
          <c:spPr>
            <a:ln w="6350">
              <a:solidFill>
                <a:srgbClr val="00B0F0"/>
              </a:solidFill>
            </a:ln>
            <a:effectLst/>
          </c:spPr>
          <c:marker>
            <c:symbol val="square"/>
            <c:size val="2"/>
            <c:spPr>
              <a:solidFill>
                <a:srgbClr val="00B0F0"/>
              </a:solidFill>
              <a:ln w="6350">
                <a:noFill/>
              </a:ln>
              <a:effectLst/>
            </c:spPr>
          </c:marker>
          <c:xVal>
            <c:numRef>
              <c:f>T0!$AU$2:$AU$26</c:f>
              <c:numCache>
                <c:formatCode>General</c:formatCode>
                <c:ptCount val="2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</c:numCache>
            </c:numRef>
          </c:xVal>
          <c:yVal>
            <c:numRef>
              <c:f>'T1'!$AO$27:$AO$51</c:f>
              <c:numCache>
                <c:formatCode>0.0%</c:formatCode>
                <c:ptCount val="25"/>
                <c:pt idx="0">
                  <c:v>0.66666666666666696</c:v>
                </c:pt>
                <c:pt idx="1">
                  <c:v>0.66666666666666696</c:v>
                </c:pt>
                <c:pt idx="2">
                  <c:v>0.5</c:v>
                </c:pt>
                <c:pt idx="3">
                  <c:v>0.5</c:v>
                </c:pt>
                <c:pt idx="4">
                  <c:v>0.33333333333333298</c:v>
                </c:pt>
                <c:pt idx="5">
                  <c:v>0.33333333333333298</c:v>
                </c:pt>
                <c:pt idx="6">
                  <c:v>0.16666666666666699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0.16666666666666699</c:v>
                </c:pt>
                <c:pt idx="11">
                  <c:v>0.16666666666666699</c:v>
                </c:pt>
                <c:pt idx="12">
                  <c:v>0</c:v>
                </c:pt>
                <c:pt idx="13">
                  <c:v>0.16666666666666699</c:v>
                </c:pt>
                <c:pt idx="14">
                  <c:v>0.16666666666666699</c:v>
                </c:pt>
                <c:pt idx="15">
                  <c:v>0.16666666666666699</c:v>
                </c:pt>
                <c:pt idx="16">
                  <c:v>0.16666666666666699</c:v>
                </c:pt>
                <c:pt idx="17">
                  <c:v>0.16666666666666699</c:v>
                </c:pt>
                <c:pt idx="18">
                  <c:v>0.16666666666666699</c:v>
                </c:pt>
                <c:pt idx="19">
                  <c:v>0.16666666666666699</c:v>
                </c:pt>
                <c:pt idx="20">
                  <c:v>0.16666666666666699</c:v>
                </c:pt>
                <c:pt idx="21">
                  <c:v>0.16666666666666699</c:v>
                </c:pt>
                <c:pt idx="22">
                  <c:v>0.16666666666666699</c:v>
                </c:pt>
                <c:pt idx="23">
                  <c:v>0.16666666666666699</c:v>
                </c:pt>
                <c:pt idx="24">
                  <c:v>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D710-F442-995E-6414F77BCCE7}"/>
            </c:ext>
          </c:extLst>
        </c:ser>
        <c:ser>
          <c:idx val="1"/>
          <c:order val="1"/>
          <c:tx>
            <c:strRef>
              <c:f>T0!$AY$1</c:f>
              <c:strCache>
                <c:ptCount val="1"/>
                <c:pt idx="0">
                  <c:v>Fund if DW detected</c:v>
                </c:pt>
              </c:strCache>
            </c:strRef>
          </c:tx>
          <c:spPr>
            <a:ln w="6350" cmpd="sng">
              <a:solidFill>
                <a:srgbClr val="002060"/>
              </a:solidFill>
            </a:ln>
            <a:effectLst/>
          </c:spPr>
          <c:marker>
            <c:symbol val="square"/>
            <c:size val="2"/>
            <c:spPr>
              <a:solidFill>
                <a:schemeClr val="bg1"/>
              </a:solidFill>
              <a:ln w="3175">
                <a:solidFill>
                  <a:srgbClr val="002060"/>
                </a:solidFill>
              </a:ln>
              <a:effectLst/>
            </c:spPr>
          </c:marker>
          <c:xVal>
            <c:numRef>
              <c:f>T0!$AU$2:$AU$26</c:f>
              <c:numCache>
                <c:formatCode>General</c:formatCode>
                <c:ptCount val="2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</c:numCache>
            </c:numRef>
          </c:xVal>
          <c:yVal>
            <c:numRef>
              <c:f>'T1'!$AP$27:$AP$51</c:f>
              <c:numCache>
                <c:formatCode>0.0%</c:formatCode>
                <c:ptCount val="25"/>
                <c:pt idx="0">
                  <c:v>0.5</c:v>
                </c:pt>
                <c:pt idx="1">
                  <c:v>0.33333333333333298</c:v>
                </c:pt>
                <c:pt idx="2">
                  <c:v>0.66666666666666696</c:v>
                </c:pt>
                <c:pt idx="3">
                  <c:v>0.33333333333333298</c:v>
                </c:pt>
                <c:pt idx="4">
                  <c:v>0.16666666666666699</c:v>
                </c:pt>
                <c:pt idx="5">
                  <c:v>0.16666666666666699</c:v>
                </c:pt>
                <c:pt idx="6">
                  <c:v>0.16666666666666699</c:v>
                </c:pt>
                <c:pt idx="7">
                  <c:v>0.16666666666666699</c:v>
                </c:pt>
                <c:pt idx="8">
                  <c:v>0.33333333333333298</c:v>
                </c:pt>
                <c:pt idx="9">
                  <c:v>0.33333333333333298</c:v>
                </c:pt>
                <c:pt idx="10">
                  <c:v>0.5</c:v>
                </c:pt>
                <c:pt idx="11">
                  <c:v>0.33333333333333298</c:v>
                </c:pt>
                <c:pt idx="12">
                  <c:v>0.5</c:v>
                </c:pt>
                <c:pt idx="13">
                  <c:v>0.33333333333333298</c:v>
                </c:pt>
                <c:pt idx="14">
                  <c:v>0.33333333333333298</c:v>
                </c:pt>
                <c:pt idx="15">
                  <c:v>0.5</c:v>
                </c:pt>
                <c:pt idx="16">
                  <c:v>0.33333333333333298</c:v>
                </c:pt>
                <c:pt idx="17">
                  <c:v>0.5</c:v>
                </c:pt>
                <c:pt idx="18">
                  <c:v>0.16666666666666699</c:v>
                </c:pt>
                <c:pt idx="19">
                  <c:v>0.16666666666666699</c:v>
                </c:pt>
                <c:pt idx="20">
                  <c:v>0.33333333333333298</c:v>
                </c:pt>
                <c:pt idx="21">
                  <c:v>0.5</c:v>
                </c:pt>
                <c:pt idx="22">
                  <c:v>0.16666666666666699</c:v>
                </c:pt>
                <c:pt idx="23">
                  <c:v>0</c:v>
                </c:pt>
                <c:pt idx="24">
                  <c:v>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D710-F442-995E-6414F77BCCE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-2096812072"/>
        <c:axId val="-2096820376"/>
      </c:scatterChart>
      <c:valAx>
        <c:axId val="-2096812072"/>
        <c:scaling>
          <c:orientation val="minMax"/>
          <c:max val="25"/>
          <c:min val="1"/>
        </c:scaling>
        <c:delete val="0"/>
        <c:axPos val="b"/>
        <c:title>
          <c:tx>
            <c:rich>
              <a:bodyPr/>
              <a:lstStyle/>
              <a:p>
                <a:pPr>
                  <a:defRPr sz="500" b="0"/>
                </a:pPr>
                <a:r>
                  <a:rPr lang="en-US" sz="5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rPr>
                  <a:t> </a:t>
                </a:r>
                <a:r>
                  <a:rPr lang="en-US" sz="500" b="0"/>
                  <a:t>Round</a:t>
                </a:r>
              </a:p>
            </c:rich>
          </c:tx>
          <c:layout>
            <c:manualLayout>
              <c:xMode val="edge"/>
              <c:yMode val="edge"/>
              <c:x val="0.40041885008276401"/>
              <c:y val="0.90604453870625601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6350"/>
        </c:spPr>
        <c:txPr>
          <a:bodyPr/>
          <a:lstStyle/>
          <a:p>
            <a:pPr>
              <a:defRPr sz="500"/>
            </a:pPr>
            <a:endParaRPr lang="en-US"/>
          </a:p>
        </c:txPr>
        <c:crossAx val="-2096820376"/>
        <c:crosses val="autoZero"/>
        <c:crossBetween val="midCat"/>
        <c:majorUnit val="24"/>
      </c:valAx>
      <c:valAx>
        <c:axId val="-2096820376"/>
        <c:scaling>
          <c:orientation val="minMax"/>
          <c:max val="1"/>
        </c:scaling>
        <c:delete val="0"/>
        <c:axPos val="l"/>
        <c:majorGridlines>
          <c:spPr>
            <a:ln w="6350"/>
          </c:spPr>
        </c:majorGridlines>
        <c:title>
          <c:tx>
            <c:rich>
              <a:bodyPr rot="-5400000" vert="horz"/>
              <a:lstStyle/>
              <a:p>
                <a:pPr>
                  <a:defRPr sz="500" b="0"/>
                </a:pPr>
                <a:r>
                  <a:rPr lang="en-US" sz="500" b="0" i="0" u="none" strike="noStrike" baseline="0">
                    <a:effectLst/>
                  </a:rPr>
                  <a:t>Borrow</a:t>
                </a:r>
                <a:r>
                  <a:rPr lang="en-US" sz="500" b="0" i="0" u="none" strike="noStrike" kern="1200" baseline="0">
                    <a:solidFill>
                      <a:sysClr val="windowText" lastClr="000000"/>
                    </a:solidFill>
                    <a:effectLst/>
                    <a:latin typeface="+mn-lt"/>
                    <a:ea typeface="+mn-ea"/>
                    <a:cs typeface="+mn-cs"/>
                  </a:rPr>
                  <a:t> </a:t>
                </a:r>
                <a:r>
                  <a:rPr lang="en-US" sz="500" b="0" i="0" u="none" strike="noStrike" baseline="0">
                    <a:effectLst/>
                  </a:rPr>
                  <a:t>at</a:t>
                </a:r>
                <a:r>
                  <a:rPr lang="en-US" sz="500" b="0" i="0" u="none" strike="noStrike" kern="1200" baseline="0">
                    <a:solidFill>
                      <a:sysClr val="windowText" lastClr="000000"/>
                    </a:solidFill>
                    <a:effectLst/>
                    <a:latin typeface="+mn-lt"/>
                    <a:ea typeface="+mn-ea"/>
                    <a:cs typeface="+mn-cs"/>
                  </a:rPr>
                  <a:t> </a:t>
                </a:r>
                <a:r>
                  <a:rPr lang="en-US" sz="500" b="0" i="0" u="none" strike="noStrike" baseline="0">
                    <a:effectLst/>
                  </a:rPr>
                  <a:t>DW</a:t>
                </a:r>
                <a:endParaRPr lang="en-US" sz="500" b="0"/>
              </a:p>
            </c:rich>
          </c:tx>
          <c:layout>
            <c:manualLayout>
              <c:xMode val="edge"/>
              <c:yMode val="edge"/>
              <c:x val="0"/>
              <c:y val="0.28127771144195501"/>
            </c:manualLayout>
          </c:layout>
          <c:overlay val="0"/>
        </c:title>
        <c:numFmt formatCode="0%" sourceLinked="0"/>
        <c:majorTickMark val="out"/>
        <c:minorTickMark val="none"/>
        <c:tickLblPos val="nextTo"/>
        <c:spPr>
          <a:ln w="6350"/>
        </c:spPr>
        <c:txPr>
          <a:bodyPr/>
          <a:lstStyle/>
          <a:p>
            <a:pPr>
              <a:defRPr sz="400"/>
            </a:pPr>
            <a:endParaRPr lang="en-US"/>
          </a:p>
        </c:txPr>
        <c:crossAx val="-2096812072"/>
        <c:crosses val="autoZero"/>
        <c:crossBetween val="midCat"/>
        <c:majorUnit val="1"/>
      </c:valAx>
      <c:spPr>
        <a:ln w="6350">
          <a:solidFill>
            <a:schemeClr val="bg1">
              <a:lumMod val="50000"/>
            </a:schemeClr>
          </a:solidFill>
        </a:ln>
      </c:spPr>
    </c:plotArea>
    <c:plotVisOnly val="1"/>
    <c:dispBlanksAs val="gap"/>
    <c:showDLblsOverMax val="0"/>
  </c:chart>
  <c:spPr>
    <a:ln w="6350"/>
    <a:effectLst/>
  </c:spPr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77894226636305"/>
          <c:y val="8.4180938446688003E-2"/>
          <c:w val="0.72024746906636705"/>
          <c:h val="0.78661083324287595"/>
        </c:manualLayout>
      </c:layout>
      <c:scatterChart>
        <c:scatterStyle val="smoothMarker"/>
        <c:varyColors val="0"/>
        <c:ser>
          <c:idx val="0"/>
          <c:order val="0"/>
          <c:tx>
            <c:strRef>
              <c:f>T0!$AX$1</c:f>
              <c:strCache>
                <c:ptCount val="1"/>
                <c:pt idx="0">
                  <c:v>Fund if DW not detected</c:v>
                </c:pt>
              </c:strCache>
            </c:strRef>
          </c:tx>
          <c:spPr>
            <a:ln w="6350">
              <a:solidFill>
                <a:srgbClr val="FF0000"/>
              </a:solidFill>
            </a:ln>
            <a:effectLst/>
          </c:spPr>
          <c:marker>
            <c:symbol val="circle"/>
            <c:size val="2"/>
            <c:spPr>
              <a:solidFill>
                <a:srgbClr val="FF0000"/>
              </a:solidFill>
              <a:ln w="6350">
                <a:solidFill>
                  <a:srgbClr val="FF0000"/>
                </a:solidFill>
              </a:ln>
              <a:effectLst/>
            </c:spPr>
          </c:marker>
          <c:xVal>
            <c:numRef>
              <c:f>T0!$AU$2:$AU$26</c:f>
              <c:numCache>
                <c:formatCode>General</c:formatCode>
                <c:ptCount val="2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</c:numCache>
            </c:numRef>
          </c:xVal>
          <c:yVal>
            <c:numRef>
              <c:f>'T1'!$AQ$52:$AQ$76</c:f>
              <c:numCache>
                <c:formatCode>0.0%</c:formatCode>
                <c:ptCount val="25"/>
                <c:pt idx="0">
                  <c:v>1</c:v>
                </c:pt>
                <c:pt idx="1">
                  <c:v>0.66666666666666696</c:v>
                </c:pt>
                <c:pt idx="2">
                  <c:v>0.66666666666666696</c:v>
                </c:pt>
                <c:pt idx="3">
                  <c:v>1</c:v>
                </c:pt>
                <c:pt idx="4">
                  <c:v>0.83333333333333304</c:v>
                </c:pt>
                <c:pt idx="5">
                  <c:v>0.83333333333333304</c:v>
                </c:pt>
                <c:pt idx="6">
                  <c:v>0.83333333333333304</c:v>
                </c:pt>
                <c:pt idx="7">
                  <c:v>1</c:v>
                </c:pt>
                <c:pt idx="8">
                  <c:v>0.83333333333333304</c:v>
                </c:pt>
                <c:pt idx="9">
                  <c:v>0.83333333333333304</c:v>
                </c:pt>
                <c:pt idx="10">
                  <c:v>0.66666666666666696</c:v>
                </c:pt>
                <c:pt idx="11">
                  <c:v>0.66666666666666696</c:v>
                </c:pt>
                <c:pt idx="12">
                  <c:v>1</c:v>
                </c:pt>
                <c:pt idx="13">
                  <c:v>0.83333333333333304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0.66666666666666696</c:v>
                </c:pt>
                <c:pt idx="18">
                  <c:v>1</c:v>
                </c:pt>
                <c:pt idx="19">
                  <c:v>0.66666666666666696</c:v>
                </c:pt>
                <c:pt idx="20">
                  <c:v>0.83333333333333304</c:v>
                </c:pt>
                <c:pt idx="21">
                  <c:v>0.66666666666666696</c:v>
                </c:pt>
                <c:pt idx="22">
                  <c:v>1</c:v>
                </c:pt>
                <c:pt idx="23">
                  <c:v>0.83333333333333304</c:v>
                </c:pt>
                <c:pt idx="24">
                  <c:v>0.5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0486-804D-9959-7EEF4BECD0ED}"/>
            </c:ext>
          </c:extLst>
        </c:ser>
        <c:ser>
          <c:idx val="1"/>
          <c:order val="1"/>
          <c:tx>
            <c:strRef>
              <c:f>T0!$AY$1</c:f>
              <c:strCache>
                <c:ptCount val="1"/>
                <c:pt idx="0">
                  <c:v>Fund if DW detected</c:v>
                </c:pt>
              </c:strCache>
            </c:strRef>
          </c:tx>
          <c:spPr>
            <a:ln w="6350" cmpd="sng">
              <a:solidFill>
                <a:srgbClr val="FF9300"/>
              </a:solidFill>
            </a:ln>
            <a:effectLst/>
          </c:spPr>
          <c:marker>
            <c:symbol val="circle"/>
            <c:size val="2"/>
            <c:spPr>
              <a:solidFill>
                <a:schemeClr val="bg1"/>
              </a:solidFill>
              <a:ln w="6350">
                <a:solidFill>
                  <a:srgbClr val="FF9300"/>
                </a:solidFill>
              </a:ln>
              <a:effectLst/>
            </c:spPr>
          </c:marker>
          <c:xVal>
            <c:numRef>
              <c:f>T0!$AU$2:$AU$26</c:f>
              <c:numCache>
                <c:formatCode>General</c:formatCode>
                <c:ptCount val="2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</c:numCache>
            </c:numRef>
          </c:xVal>
          <c:yVal>
            <c:numRef>
              <c:f>'T1'!$AR$52:$AR$76</c:f>
              <c:numCache>
                <c:formatCode>0.0%</c:formatCode>
                <c:ptCount val="25"/>
                <c:pt idx="0">
                  <c:v>0.33333333333333298</c:v>
                </c:pt>
                <c:pt idx="1">
                  <c:v>0</c:v>
                </c:pt>
                <c:pt idx="2">
                  <c:v>0.33333333333333298</c:v>
                </c:pt>
                <c:pt idx="3">
                  <c:v>0.33333333333333298</c:v>
                </c:pt>
                <c:pt idx="4">
                  <c:v>0.33333333333333298</c:v>
                </c:pt>
                <c:pt idx="5">
                  <c:v>0</c:v>
                </c:pt>
                <c:pt idx="6">
                  <c:v>0.16666666666666699</c:v>
                </c:pt>
                <c:pt idx="7">
                  <c:v>0.16666666666666699</c:v>
                </c:pt>
                <c:pt idx="8">
                  <c:v>0.16666666666666699</c:v>
                </c:pt>
                <c:pt idx="9">
                  <c:v>0</c:v>
                </c:pt>
                <c:pt idx="10">
                  <c:v>0</c:v>
                </c:pt>
                <c:pt idx="11">
                  <c:v>0.16666666666666699</c:v>
                </c:pt>
                <c:pt idx="12">
                  <c:v>0</c:v>
                </c:pt>
                <c:pt idx="13">
                  <c:v>0</c:v>
                </c:pt>
                <c:pt idx="14">
                  <c:v>0.16666666666666699</c:v>
                </c:pt>
                <c:pt idx="15">
                  <c:v>0</c:v>
                </c:pt>
                <c:pt idx="16">
                  <c:v>0.16666666666666699</c:v>
                </c:pt>
                <c:pt idx="17">
                  <c:v>0</c:v>
                </c:pt>
                <c:pt idx="18">
                  <c:v>0.16666666666666699</c:v>
                </c:pt>
                <c:pt idx="19">
                  <c:v>0.16666666666666699</c:v>
                </c:pt>
                <c:pt idx="20">
                  <c:v>0.16666666666666699</c:v>
                </c:pt>
                <c:pt idx="21">
                  <c:v>0.16666666666666699</c:v>
                </c:pt>
                <c:pt idx="22">
                  <c:v>0.16666666666666699</c:v>
                </c:pt>
                <c:pt idx="23">
                  <c:v>0.16666666666666699</c:v>
                </c:pt>
                <c:pt idx="24">
                  <c:v>0.16666666666666699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0486-804D-9959-7EEF4BECD0E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-2096854440"/>
        <c:axId val="-2096862616"/>
      </c:scatterChart>
      <c:valAx>
        <c:axId val="-2096854440"/>
        <c:scaling>
          <c:orientation val="minMax"/>
          <c:max val="25"/>
          <c:min val="1"/>
        </c:scaling>
        <c:delete val="0"/>
        <c:axPos val="b"/>
        <c:title>
          <c:tx>
            <c:rich>
              <a:bodyPr/>
              <a:lstStyle/>
              <a:p>
                <a:pPr>
                  <a:defRPr sz="500" b="0"/>
                </a:pPr>
                <a:r>
                  <a:rPr lang="en-US" sz="5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rPr>
                  <a:t> </a:t>
                </a:r>
                <a:r>
                  <a:rPr lang="en-US" sz="500" b="0"/>
                  <a:t>Round</a:t>
                </a:r>
              </a:p>
            </c:rich>
          </c:tx>
          <c:layout>
            <c:manualLayout>
              <c:xMode val="edge"/>
              <c:yMode val="edge"/>
              <c:x val="0.40041885008276401"/>
              <c:y val="0.90604453870625601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6350"/>
        </c:spPr>
        <c:txPr>
          <a:bodyPr/>
          <a:lstStyle/>
          <a:p>
            <a:pPr>
              <a:defRPr sz="500"/>
            </a:pPr>
            <a:endParaRPr lang="en-US"/>
          </a:p>
        </c:txPr>
        <c:crossAx val="-2096862616"/>
        <c:crosses val="autoZero"/>
        <c:crossBetween val="midCat"/>
        <c:majorUnit val="24"/>
      </c:valAx>
      <c:valAx>
        <c:axId val="-2096862616"/>
        <c:scaling>
          <c:orientation val="minMax"/>
          <c:max val="1"/>
        </c:scaling>
        <c:delete val="0"/>
        <c:axPos val="l"/>
        <c:majorGridlines>
          <c:spPr>
            <a:ln w="6350"/>
          </c:spPr>
        </c:majorGridlines>
        <c:title>
          <c:tx>
            <c:rich>
              <a:bodyPr rot="-5400000" vert="horz"/>
              <a:lstStyle/>
              <a:p>
                <a:pPr>
                  <a:defRPr sz="500" b="0"/>
                </a:pPr>
                <a:r>
                  <a:rPr lang="en-US" sz="500" b="0" i="0" u="none" strike="noStrike" baseline="0">
                    <a:effectLst/>
                  </a:rPr>
                  <a:t>Fund</a:t>
                </a:r>
                <a:r>
                  <a:rPr lang="en-US" sz="500" b="0" i="0" u="none" strike="noStrike" kern="1200" baseline="0">
                    <a:solidFill>
                      <a:sysClr val="windowText" lastClr="000000"/>
                    </a:solidFill>
                    <a:effectLst/>
                    <a:latin typeface="+mn-lt"/>
                    <a:ea typeface="+mn-ea"/>
                    <a:cs typeface="+mn-cs"/>
                  </a:rPr>
                  <a:t> </a:t>
                </a:r>
                <a:r>
                  <a:rPr lang="en-US" sz="500" b="0" i="0" u="none" strike="noStrike" baseline="0">
                    <a:effectLst/>
                  </a:rPr>
                  <a:t>the</a:t>
                </a:r>
                <a:r>
                  <a:rPr lang="en-US" sz="500" b="0" i="0" u="none" strike="noStrike" kern="1200" baseline="0">
                    <a:solidFill>
                      <a:sysClr val="windowText" lastClr="000000"/>
                    </a:solidFill>
                    <a:effectLst/>
                    <a:latin typeface="+mn-lt"/>
                    <a:ea typeface="+mn-ea"/>
                    <a:cs typeface="+mn-cs"/>
                  </a:rPr>
                  <a:t> </a:t>
                </a:r>
                <a:r>
                  <a:rPr lang="en-US" sz="500" b="0" i="0" u="none" strike="noStrike" baseline="0">
                    <a:effectLst/>
                  </a:rPr>
                  <a:t>Bank</a:t>
                </a:r>
                <a:r>
                  <a:rPr lang="en-US" sz="500" b="0" i="0" u="none" strike="noStrike" kern="1200" baseline="0">
                    <a:solidFill>
                      <a:sysClr val="windowText" lastClr="000000"/>
                    </a:solidFill>
                    <a:effectLst/>
                    <a:latin typeface="+mn-lt"/>
                    <a:ea typeface="+mn-ea"/>
                    <a:cs typeface="+mn-cs"/>
                  </a:rPr>
                  <a:t> </a:t>
                </a:r>
                <a:endParaRPr lang="en-US" sz="500" b="0"/>
              </a:p>
            </c:rich>
          </c:tx>
          <c:layout>
            <c:manualLayout>
              <c:xMode val="edge"/>
              <c:yMode val="edge"/>
              <c:x val="0"/>
              <c:y val="0.28127771144195501"/>
            </c:manualLayout>
          </c:layout>
          <c:overlay val="0"/>
        </c:title>
        <c:numFmt formatCode="0%" sourceLinked="0"/>
        <c:majorTickMark val="out"/>
        <c:minorTickMark val="none"/>
        <c:tickLblPos val="nextTo"/>
        <c:spPr>
          <a:ln w="6350"/>
        </c:spPr>
        <c:txPr>
          <a:bodyPr/>
          <a:lstStyle/>
          <a:p>
            <a:pPr>
              <a:defRPr sz="400"/>
            </a:pPr>
            <a:endParaRPr lang="en-US"/>
          </a:p>
        </c:txPr>
        <c:crossAx val="-2096854440"/>
        <c:crosses val="autoZero"/>
        <c:crossBetween val="midCat"/>
        <c:majorUnit val="1"/>
      </c:valAx>
      <c:spPr>
        <a:ln w="6350">
          <a:solidFill>
            <a:schemeClr val="bg1">
              <a:lumMod val="50000"/>
            </a:schemeClr>
          </a:solidFill>
        </a:ln>
      </c:spPr>
    </c:plotArea>
    <c:plotVisOnly val="1"/>
    <c:dispBlanksAs val="gap"/>
    <c:showDLblsOverMax val="0"/>
  </c:chart>
  <c:spPr>
    <a:ln w="6350"/>
    <a:effectLst/>
  </c:spPr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77894226636305"/>
          <c:y val="8.4180938446688003E-2"/>
          <c:w val="0.72024746906636705"/>
          <c:h val="0.78661083324287595"/>
        </c:manualLayout>
      </c:layout>
      <c:scatterChart>
        <c:scatterStyle val="smoothMarker"/>
        <c:varyColors val="0"/>
        <c:ser>
          <c:idx val="0"/>
          <c:order val="0"/>
          <c:tx>
            <c:strRef>
              <c:f>T0!$AX$1</c:f>
              <c:strCache>
                <c:ptCount val="1"/>
                <c:pt idx="0">
                  <c:v>Fund if DW not detected</c:v>
                </c:pt>
              </c:strCache>
            </c:strRef>
          </c:tx>
          <c:spPr>
            <a:ln w="6350">
              <a:solidFill>
                <a:srgbClr val="00B0F0"/>
              </a:solidFill>
            </a:ln>
            <a:effectLst/>
          </c:spPr>
          <c:marker>
            <c:symbol val="square"/>
            <c:size val="2"/>
            <c:spPr>
              <a:solidFill>
                <a:srgbClr val="00B0F0"/>
              </a:solidFill>
              <a:ln w="6350">
                <a:noFill/>
              </a:ln>
              <a:effectLst/>
            </c:spPr>
          </c:marker>
          <c:xVal>
            <c:numRef>
              <c:f>T0!$AU$2:$AU$26</c:f>
              <c:numCache>
                <c:formatCode>General</c:formatCode>
                <c:ptCount val="2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</c:numCache>
            </c:numRef>
          </c:xVal>
          <c:yVal>
            <c:numRef>
              <c:f>'T1'!$AO$52:$AO$76</c:f>
              <c:numCache>
                <c:formatCode>0.0%</c:formatCode>
                <c:ptCount val="25"/>
                <c:pt idx="0">
                  <c:v>0.83333333333333304</c:v>
                </c:pt>
                <c:pt idx="1">
                  <c:v>0.83333333333333304</c:v>
                </c:pt>
                <c:pt idx="2">
                  <c:v>0.83333333333333304</c:v>
                </c:pt>
                <c:pt idx="3">
                  <c:v>0.66666666666666696</c:v>
                </c:pt>
                <c:pt idx="4">
                  <c:v>0.83333333333333304</c:v>
                </c:pt>
                <c:pt idx="5">
                  <c:v>0.66666666666666696</c:v>
                </c:pt>
                <c:pt idx="6">
                  <c:v>0.66666666666666696</c:v>
                </c:pt>
                <c:pt idx="7">
                  <c:v>0.5</c:v>
                </c:pt>
                <c:pt idx="8">
                  <c:v>0.33333333333333298</c:v>
                </c:pt>
                <c:pt idx="9">
                  <c:v>0.33333333333333298</c:v>
                </c:pt>
                <c:pt idx="10">
                  <c:v>0.33333333333333298</c:v>
                </c:pt>
                <c:pt idx="11">
                  <c:v>0.66666666666666696</c:v>
                </c:pt>
                <c:pt idx="12">
                  <c:v>0.66666666666666696</c:v>
                </c:pt>
                <c:pt idx="13">
                  <c:v>0.5</c:v>
                </c:pt>
                <c:pt idx="14">
                  <c:v>0.5</c:v>
                </c:pt>
                <c:pt idx="15">
                  <c:v>0.5</c:v>
                </c:pt>
                <c:pt idx="16">
                  <c:v>0.33333333333333298</c:v>
                </c:pt>
                <c:pt idx="17">
                  <c:v>0.33333333333333298</c:v>
                </c:pt>
                <c:pt idx="18">
                  <c:v>0.33333333333333298</c:v>
                </c:pt>
                <c:pt idx="19">
                  <c:v>0.33333333333333298</c:v>
                </c:pt>
                <c:pt idx="20">
                  <c:v>0.66666666666666696</c:v>
                </c:pt>
                <c:pt idx="21">
                  <c:v>0.16666666666666699</c:v>
                </c:pt>
                <c:pt idx="22">
                  <c:v>0.16666666666666699</c:v>
                </c:pt>
                <c:pt idx="23">
                  <c:v>0.16666666666666699</c:v>
                </c:pt>
                <c:pt idx="24">
                  <c:v>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8CC5-DE4C-A19C-CB184DB82731}"/>
            </c:ext>
          </c:extLst>
        </c:ser>
        <c:ser>
          <c:idx val="1"/>
          <c:order val="1"/>
          <c:tx>
            <c:strRef>
              <c:f>T0!$AY$1</c:f>
              <c:strCache>
                <c:ptCount val="1"/>
                <c:pt idx="0">
                  <c:v>Fund if DW detected</c:v>
                </c:pt>
              </c:strCache>
            </c:strRef>
          </c:tx>
          <c:spPr>
            <a:ln w="6350" cmpd="sng">
              <a:solidFill>
                <a:srgbClr val="002060"/>
              </a:solidFill>
            </a:ln>
            <a:effectLst/>
          </c:spPr>
          <c:marker>
            <c:symbol val="square"/>
            <c:size val="2"/>
            <c:spPr>
              <a:solidFill>
                <a:schemeClr val="bg1"/>
              </a:solidFill>
              <a:ln w="3175">
                <a:solidFill>
                  <a:srgbClr val="002060"/>
                </a:solidFill>
              </a:ln>
              <a:effectLst/>
            </c:spPr>
          </c:marker>
          <c:xVal>
            <c:numRef>
              <c:f>T0!$AU$2:$AU$26</c:f>
              <c:numCache>
                <c:formatCode>General</c:formatCode>
                <c:ptCount val="2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</c:numCache>
            </c:numRef>
          </c:xVal>
          <c:yVal>
            <c:numRef>
              <c:f>'T1'!$AP$52:$AP$76</c:f>
              <c:numCache>
                <c:formatCode>0.0%</c:formatCode>
                <c:ptCount val="25"/>
                <c:pt idx="0">
                  <c:v>0.5</c:v>
                </c:pt>
                <c:pt idx="1">
                  <c:v>0.33333333333333298</c:v>
                </c:pt>
                <c:pt idx="2">
                  <c:v>0.5</c:v>
                </c:pt>
                <c:pt idx="3">
                  <c:v>0.33333333333333298</c:v>
                </c:pt>
                <c:pt idx="4">
                  <c:v>0.33333333333333298</c:v>
                </c:pt>
                <c:pt idx="5">
                  <c:v>0.16666666666666699</c:v>
                </c:pt>
                <c:pt idx="6">
                  <c:v>0.16666666666666699</c:v>
                </c:pt>
                <c:pt idx="7">
                  <c:v>0.33333333333333298</c:v>
                </c:pt>
                <c:pt idx="8">
                  <c:v>0.16666666666666699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0.16666666666666699</c:v>
                </c:pt>
                <c:pt idx="14">
                  <c:v>0.33333333333333298</c:v>
                </c:pt>
                <c:pt idx="15">
                  <c:v>0.16666666666666699</c:v>
                </c:pt>
                <c:pt idx="16">
                  <c:v>0.33333333333333298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0.16666666666666699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8CC5-DE4C-A19C-CB184DB8273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-2096895912"/>
        <c:axId val="-2096904120"/>
      </c:scatterChart>
      <c:valAx>
        <c:axId val="-2096895912"/>
        <c:scaling>
          <c:orientation val="minMax"/>
          <c:max val="25"/>
          <c:min val="1"/>
        </c:scaling>
        <c:delete val="0"/>
        <c:axPos val="b"/>
        <c:title>
          <c:tx>
            <c:rich>
              <a:bodyPr/>
              <a:lstStyle/>
              <a:p>
                <a:pPr>
                  <a:defRPr sz="500" b="0"/>
                </a:pPr>
                <a:r>
                  <a:rPr lang="en-US" sz="5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rPr>
                  <a:t> </a:t>
                </a:r>
                <a:r>
                  <a:rPr lang="en-US" sz="500" b="0"/>
                  <a:t>Round</a:t>
                </a:r>
              </a:p>
            </c:rich>
          </c:tx>
          <c:layout>
            <c:manualLayout>
              <c:xMode val="edge"/>
              <c:yMode val="edge"/>
              <c:x val="0.40041885008276401"/>
              <c:y val="0.90604453870625601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6350"/>
        </c:spPr>
        <c:txPr>
          <a:bodyPr/>
          <a:lstStyle/>
          <a:p>
            <a:pPr>
              <a:defRPr sz="500"/>
            </a:pPr>
            <a:endParaRPr lang="en-US"/>
          </a:p>
        </c:txPr>
        <c:crossAx val="-2096904120"/>
        <c:crosses val="autoZero"/>
        <c:crossBetween val="midCat"/>
        <c:majorUnit val="24"/>
      </c:valAx>
      <c:valAx>
        <c:axId val="-2096904120"/>
        <c:scaling>
          <c:orientation val="minMax"/>
          <c:max val="1"/>
        </c:scaling>
        <c:delete val="0"/>
        <c:axPos val="l"/>
        <c:majorGridlines>
          <c:spPr>
            <a:ln w="6350"/>
          </c:spPr>
        </c:majorGridlines>
        <c:title>
          <c:tx>
            <c:rich>
              <a:bodyPr rot="-5400000" vert="horz"/>
              <a:lstStyle/>
              <a:p>
                <a:pPr>
                  <a:defRPr sz="500" b="0"/>
                </a:pPr>
                <a:r>
                  <a:rPr lang="en-US" sz="500" b="0" i="0" u="none" strike="noStrike" baseline="0">
                    <a:effectLst/>
                  </a:rPr>
                  <a:t>Borrow</a:t>
                </a:r>
                <a:r>
                  <a:rPr lang="en-US" sz="500" b="0" i="0" u="none" strike="noStrike" kern="1200" baseline="0">
                    <a:solidFill>
                      <a:sysClr val="windowText" lastClr="000000"/>
                    </a:solidFill>
                    <a:effectLst/>
                    <a:latin typeface="+mn-lt"/>
                    <a:ea typeface="+mn-ea"/>
                    <a:cs typeface="+mn-cs"/>
                  </a:rPr>
                  <a:t> </a:t>
                </a:r>
                <a:r>
                  <a:rPr lang="en-US" sz="500" b="0" i="0" u="none" strike="noStrike" baseline="0">
                    <a:effectLst/>
                  </a:rPr>
                  <a:t>at</a:t>
                </a:r>
                <a:r>
                  <a:rPr lang="en-US" sz="500" b="0" i="0" u="none" strike="noStrike" kern="1200" baseline="0">
                    <a:solidFill>
                      <a:sysClr val="windowText" lastClr="000000"/>
                    </a:solidFill>
                    <a:effectLst/>
                    <a:latin typeface="+mn-lt"/>
                    <a:ea typeface="+mn-ea"/>
                    <a:cs typeface="+mn-cs"/>
                  </a:rPr>
                  <a:t> </a:t>
                </a:r>
                <a:r>
                  <a:rPr lang="en-US" sz="500" b="0" i="0" u="none" strike="noStrike" baseline="0">
                    <a:effectLst/>
                  </a:rPr>
                  <a:t>DW</a:t>
                </a:r>
                <a:endParaRPr lang="en-US" sz="500" b="0"/>
              </a:p>
            </c:rich>
          </c:tx>
          <c:layout>
            <c:manualLayout>
              <c:xMode val="edge"/>
              <c:yMode val="edge"/>
              <c:x val="0"/>
              <c:y val="0.28127771144195501"/>
            </c:manualLayout>
          </c:layout>
          <c:overlay val="0"/>
        </c:title>
        <c:numFmt formatCode="0%" sourceLinked="0"/>
        <c:majorTickMark val="out"/>
        <c:minorTickMark val="none"/>
        <c:tickLblPos val="nextTo"/>
        <c:spPr>
          <a:ln w="6350"/>
        </c:spPr>
        <c:txPr>
          <a:bodyPr/>
          <a:lstStyle/>
          <a:p>
            <a:pPr>
              <a:defRPr sz="400"/>
            </a:pPr>
            <a:endParaRPr lang="en-US"/>
          </a:p>
        </c:txPr>
        <c:crossAx val="-2096895912"/>
        <c:crosses val="autoZero"/>
        <c:crossBetween val="midCat"/>
        <c:majorUnit val="1"/>
      </c:valAx>
      <c:spPr>
        <a:ln w="6350">
          <a:solidFill>
            <a:schemeClr val="bg1">
              <a:lumMod val="50000"/>
            </a:schemeClr>
          </a:solidFill>
        </a:ln>
      </c:spPr>
    </c:plotArea>
    <c:plotVisOnly val="1"/>
    <c:dispBlanksAs val="gap"/>
    <c:showDLblsOverMax val="0"/>
  </c:chart>
  <c:spPr>
    <a:ln w="6350"/>
    <a:effectLst/>
  </c:spPr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77894226636305"/>
          <c:y val="8.4180938446688003E-2"/>
          <c:w val="0.72024746906636705"/>
          <c:h val="0.78661083324287595"/>
        </c:manualLayout>
      </c:layout>
      <c:scatterChart>
        <c:scatterStyle val="smoothMarker"/>
        <c:varyColors val="0"/>
        <c:ser>
          <c:idx val="0"/>
          <c:order val="0"/>
          <c:tx>
            <c:strRef>
              <c:f>T0!$AX$1</c:f>
              <c:strCache>
                <c:ptCount val="1"/>
                <c:pt idx="0">
                  <c:v>Fund if DW not detected</c:v>
                </c:pt>
              </c:strCache>
            </c:strRef>
          </c:tx>
          <c:spPr>
            <a:ln w="6350">
              <a:solidFill>
                <a:srgbClr val="FF0000"/>
              </a:solidFill>
            </a:ln>
            <a:effectLst/>
          </c:spPr>
          <c:marker>
            <c:symbol val="circle"/>
            <c:size val="2"/>
            <c:spPr>
              <a:solidFill>
                <a:srgbClr val="FF0000"/>
              </a:solidFill>
              <a:ln w="6350">
                <a:solidFill>
                  <a:srgbClr val="FF0000"/>
                </a:solidFill>
              </a:ln>
              <a:effectLst/>
            </c:spPr>
          </c:marker>
          <c:xVal>
            <c:numRef>
              <c:f>T0!$AU$2:$AU$26</c:f>
              <c:numCache>
                <c:formatCode>General</c:formatCode>
                <c:ptCount val="2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</c:numCache>
            </c:numRef>
          </c:xVal>
          <c:yVal>
            <c:numRef>
              <c:f>'T1'!$AQ$77:$AQ$101</c:f>
              <c:numCache>
                <c:formatCode>0.0%</c:formatCode>
                <c:ptCount val="25"/>
                <c:pt idx="0">
                  <c:v>0.66666666666666696</c:v>
                </c:pt>
                <c:pt idx="1">
                  <c:v>0.83333333333333304</c:v>
                </c:pt>
                <c:pt idx="2">
                  <c:v>0.83333333333333304</c:v>
                </c:pt>
                <c:pt idx="3">
                  <c:v>1</c:v>
                </c:pt>
                <c:pt idx="4">
                  <c:v>0.83333333333333304</c:v>
                </c:pt>
                <c:pt idx="5">
                  <c:v>0.83333333333333304</c:v>
                </c:pt>
                <c:pt idx="6">
                  <c:v>0.66666666666666696</c:v>
                </c:pt>
                <c:pt idx="7">
                  <c:v>0.83333333333333304</c:v>
                </c:pt>
                <c:pt idx="8">
                  <c:v>1</c:v>
                </c:pt>
                <c:pt idx="9">
                  <c:v>0.83333333333333304</c:v>
                </c:pt>
                <c:pt idx="10">
                  <c:v>0.83333333333333304</c:v>
                </c:pt>
                <c:pt idx="11">
                  <c:v>1</c:v>
                </c:pt>
                <c:pt idx="12">
                  <c:v>0.83333333333333304</c:v>
                </c:pt>
                <c:pt idx="13">
                  <c:v>1</c:v>
                </c:pt>
                <c:pt idx="14">
                  <c:v>0.66666666666666696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0.83333333333333304</c:v>
                </c:pt>
                <c:pt idx="19">
                  <c:v>0.83333333333333304</c:v>
                </c:pt>
                <c:pt idx="20">
                  <c:v>1</c:v>
                </c:pt>
                <c:pt idx="21">
                  <c:v>0.83333333333333304</c:v>
                </c:pt>
                <c:pt idx="22">
                  <c:v>0.83333333333333304</c:v>
                </c:pt>
                <c:pt idx="23">
                  <c:v>0.83333333333333304</c:v>
                </c:pt>
                <c:pt idx="24">
                  <c:v>0.83333333333333304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BD8A-2440-9D24-3D5D72E66150}"/>
            </c:ext>
          </c:extLst>
        </c:ser>
        <c:ser>
          <c:idx val="1"/>
          <c:order val="1"/>
          <c:tx>
            <c:strRef>
              <c:f>T0!$AY$1</c:f>
              <c:strCache>
                <c:ptCount val="1"/>
                <c:pt idx="0">
                  <c:v>Fund if DW detected</c:v>
                </c:pt>
              </c:strCache>
            </c:strRef>
          </c:tx>
          <c:spPr>
            <a:ln w="6350" cmpd="sng">
              <a:solidFill>
                <a:srgbClr val="FF9300"/>
              </a:solidFill>
            </a:ln>
            <a:effectLst/>
          </c:spPr>
          <c:marker>
            <c:symbol val="circle"/>
            <c:size val="2"/>
            <c:spPr>
              <a:solidFill>
                <a:schemeClr val="bg1"/>
              </a:solidFill>
              <a:ln w="6350">
                <a:solidFill>
                  <a:srgbClr val="FF9300"/>
                </a:solidFill>
              </a:ln>
              <a:effectLst/>
            </c:spPr>
          </c:marker>
          <c:xVal>
            <c:numRef>
              <c:f>T0!$AU$2:$AU$26</c:f>
              <c:numCache>
                <c:formatCode>General</c:formatCode>
                <c:ptCount val="2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</c:numCache>
            </c:numRef>
          </c:xVal>
          <c:yVal>
            <c:numRef>
              <c:f>'T1'!$AR$77:$AR$101</c:f>
              <c:numCache>
                <c:formatCode>0.0%</c:formatCode>
                <c:ptCount val="25"/>
                <c:pt idx="0">
                  <c:v>0.33333333333333298</c:v>
                </c:pt>
                <c:pt idx="1">
                  <c:v>0.33333333333333298</c:v>
                </c:pt>
                <c:pt idx="2">
                  <c:v>0.16666666666666699</c:v>
                </c:pt>
                <c:pt idx="3">
                  <c:v>0.33333333333333298</c:v>
                </c:pt>
                <c:pt idx="4">
                  <c:v>0.16666666666666699</c:v>
                </c:pt>
                <c:pt idx="5">
                  <c:v>0</c:v>
                </c:pt>
                <c:pt idx="6">
                  <c:v>0</c:v>
                </c:pt>
                <c:pt idx="7">
                  <c:v>0.33333333333333298</c:v>
                </c:pt>
                <c:pt idx="8">
                  <c:v>0.16666666666666699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0.16666666666666699</c:v>
                </c:pt>
                <c:pt idx="13">
                  <c:v>0</c:v>
                </c:pt>
                <c:pt idx="14">
                  <c:v>0.16666666666666699</c:v>
                </c:pt>
                <c:pt idx="15">
                  <c:v>0</c:v>
                </c:pt>
                <c:pt idx="16">
                  <c:v>0</c:v>
                </c:pt>
                <c:pt idx="17">
                  <c:v>0.16666666666666699</c:v>
                </c:pt>
                <c:pt idx="18">
                  <c:v>0</c:v>
                </c:pt>
                <c:pt idx="19">
                  <c:v>0</c:v>
                </c:pt>
                <c:pt idx="20">
                  <c:v>0.16666666666666699</c:v>
                </c:pt>
                <c:pt idx="21">
                  <c:v>0.16666666666666699</c:v>
                </c:pt>
                <c:pt idx="22">
                  <c:v>0.16666666666666699</c:v>
                </c:pt>
                <c:pt idx="23">
                  <c:v>0</c:v>
                </c:pt>
                <c:pt idx="24">
                  <c:v>0.16666666666666699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BD8A-2440-9D24-3D5D72E6615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-2096938200"/>
        <c:axId val="-2096946504"/>
      </c:scatterChart>
      <c:valAx>
        <c:axId val="-2096938200"/>
        <c:scaling>
          <c:orientation val="minMax"/>
          <c:max val="25"/>
          <c:min val="1"/>
        </c:scaling>
        <c:delete val="0"/>
        <c:axPos val="b"/>
        <c:title>
          <c:tx>
            <c:rich>
              <a:bodyPr/>
              <a:lstStyle/>
              <a:p>
                <a:pPr>
                  <a:defRPr sz="500" b="0"/>
                </a:pPr>
                <a:r>
                  <a:rPr lang="en-US" sz="5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rPr>
                  <a:t> </a:t>
                </a:r>
                <a:r>
                  <a:rPr lang="en-US" sz="500" b="0"/>
                  <a:t>Round</a:t>
                </a:r>
              </a:p>
            </c:rich>
          </c:tx>
          <c:layout>
            <c:manualLayout>
              <c:xMode val="edge"/>
              <c:yMode val="edge"/>
              <c:x val="0.40041885008276401"/>
              <c:y val="0.90604453870625601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6350"/>
        </c:spPr>
        <c:txPr>
          <a:bodyPr/>
          <a:lstStyle/>
          <a:p>
            <a:pPr>
              <a:defRPr sz="500"/>
            </a:pPr>
            <a:endParaRPr lang="en-US"/>
          </a:p>
        </c:txPr>
        <c:crossAx val="-2096946504"/>
        <c:crosses val="autoZero"/>
        <c:crossBetween val="midCat"/>
        <c:majorUnit val="24"/>
      </c:valAx>
      <c:valAx>
        <c:axId val="-2096946504"/>
        <c:scaling>
          <c:orientation val="minMax"/>
          <c:max val="1"/>
        </c:scaling>
        <c:delete val="0"/>
        <c:axPos val="l"/>
        <c:majorGridlines>
          <c:spPr>
            <a:ln w="6350"/>
          </c:spPr>
        </c:majorGridlines>
        <c:title>
          <c:tx>
            <c:rich>
              <a:bodyPr rot="-5400000" vert="horz"/>
              <a:lstStyle/>
              <a:p>
                <a:pPr>
                  <a:defRPr sz="500" b="0"/>
                </a:pPr>
                <a:r>
                  <a:rPr lang="en-US" sz="500" b="0" i="0" u="none" strike="noStrike" baseline="0">
                    <a:effectLst/>
                  </a:rPr>
                  <a:t>Fund</a:t>
                </a:r>
                <a:r>
                  <a:rPr lang="en-US" sz="500" b="0" i="0" u="none" strike="noStrike" kern="1200" baseline="0">
                    <a:solidFill>
                      <a:sysClr val="windowText" lastClr="000000"/>
                    </a:solidFill>
                    <a:effectLst/>
                    <a:latin typeface="+mn-lt"/>
                    <a:ea typeface="+mn-ea"/>
                    <a:cs typeface="+mn-cs"/>
                  </a:rPr>
                  <a:t> </a:t>
                </a:r>
                <a:r>
                  <a:rPr lang="en-US" sz="500" b="0" i="0" u="none" strike="noStrike" baseline="0">
                    <a:effectLst/>
                  </a:rPr>
                  <a:t>the</a:t>
                </a:r>
                <a:r>
                  <a:rPr lang="en-US" sz="500" b="0" i="0" u="none" strike="noStrike" kern="1200" baseline="0">
                    <a:solidFill>
                      <a:sysClr val="windowText" lastClr="000000"/>
                    </a:solidFill>
                    <a:effectLst/>
                    <a:latin typeface="+mn-lt"/>
                    <a:ea typeface="+mn-ea"/>
                    <a:cs typeface="+mn-cs"/>
                  </a:rPr>
                  <a:t> </a:t>
                </a:r>
                <a:r>
                  <a:rPr lang="en-US" sz="500" b="0" i="0" u="none" strike="noStrike" baseline="0">
                    <a:effectLst/>
                  </a:rPr>
                  <a:t>Bank</a:t>
                </a:r>
                <a:r>
                  <a:rPr lang="en-US" sz="500" b="0" i="0" u="none" strike="noStrike" kern="1200" baseline="0">
                    <a:solidFill>
                      <a:sysClr val="windowText" lastClr="000000"/>
                    </a:solidFill>
                    <a:effectLst/>
                    <a:latin typeface="+mn-lt"/>
                    <a:ea typeface="+mn-ea"/>
                    <a:cs typeface="+mn-cs"/>
                  </a:rPr>
                  <a:t> </a:t>
                </a:r>
                <a:endParaRPr lang="en-US" sz="500" b="0"/>
              </a:p>
            </c:rich>
          </c:tx>
          <c:layout>
            <c:manualLayout>
              <c:xMode val="edge"/>
              <c:yMode val="edge"/>
              <c:x val="0"/>
              <c:y val="0.28127771144195501"/>
            </c:manualLayout>
          </c:layout>
          <c:overlay val="0"/>
        </c:title>
        <c:numFmt formatCode="0%" sourceLinked="0"/>
        <c:majorTickMark val="out"/>
        <c:minorTickMark val="none"/>
        <c:tickLblPos val="nextTo"/>
        <c:spPr>
          <a:ln w="6350"/>
        </c:spPr>
        <c:txPr>
          <a:bodyPr/>
          <a:lstStyle/>
          <a:p>
            <a:pPr>
              <a:defRPr sz="400"/>
            </a:pPr>
            <a:endParaRPr lang="en-US"/>
          </a:p>
        </c:txPr>
        <c:crossAx val="-2096938200"/>
        <c:crosses val="autoZero"/>
        <c:crossBetween val="midCat"/>
        <c:majorUnit val="1"/>
      </c:valAx>
      <c:spPr>
        <a:ln w="6350">
          <a:solidFill>
            <a:schemeClr val="bg1">
              <a:lumMod val="50000"/>
            </a:schemeClr>
          </a:solidFill>
        </a:ln>
      </c:spPr>
    </c:plotArea>
    <c:plotVisOnly val="1"/>
    <c:dispBlanksAs val="gap"/>
    <c:showDLblsOverMax val="0"/>
  </c:chart>
  <c:spPr>
    <a:ln w="6350"/>
    <a:effectLst/>
  </c:spPr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77894226636305"/>
          <c:y val="8.4180938446688003E-2"/>
          <c:w val="0.72024746906636705"/>
          <c:h val="0.78661083324287595"/>
        </c:manualLayout>
      </c:layout>
      <c:scatterChart>
        <c:scatterStyle val="smoothMarker"/>
        <c:varyColors val="0"/>
        <c:ser>
          <c:idx val="0"/>
          <c:order val="0"/>
          <c:tx>
            <c:strRef>
              <c:f>T0!$AX$1</c:f>
              <c:strCache>
                <c:ptCount val="1"/>
                <c:pt idx="0">
                  <c:v>Fund if DW not detected</c:v>
                </c:pt>
              </c:strCache>
            </c:strRef>
          </c:tx>
          <c:spPr>
            <a:ln w="6350">
              <a:solidFill>
                <a:srgbClr val="00B0F0"/>
              </a:solidFill>
            </a:ln>
            <a:effectLst/>
          </c:spPr>
          <c:marker>
            <c:symbol val="square"/>
            <c:size val="2"/>
            <c:spPr>
              <a:solidFill>
                <a:srgbClr val="00B0F0"/>
              </a:solidFill>
              <a:ln w="6350">
                <a:noFill/>
              </a:ln>
              <a:effectLst/>
            </c:spPr>
          </c:marker>
          <c:xVal>
            <c:numRef>
              <c:f>T0!$AU$2:$AU$26</c:f>
              <c:numCache>
                <c:formatCode>General</c:formatCode>
                <c:ptCount val="2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</c:numCache>
            </c:numRef>
          </c:xVal>
          <c:yVal>
            <c:numRef>
              <c:f>'T1'!$AO$77:$AO$101</c:f>
              <c:numCache>
                <c:formatCode>0.0%</c:formatCode>
                <c:ptCount val="25"/>
                <c:pt idx="0">
                  <c:v>0.5</c:v>
                </c:pt>
                <c:pt idx="1">
                  <c:v>0.5</c:v>
                </c:pt>
                <c:pt idx="2">
                  <c:v>0.66666666666666696</c:v>
                </c:pt>
                <c:pt idx="3">
                  <c:v>0.16666666666666699</c:v>
                </c:pt>
                <c:pt idx="4">
                  <c:v>0.5</c:v>
                </c:pt>
                <c:pt idx="5">
                  <c:v>0.5</c:v>
                </c:pt>
                <c:pt idx="6">
                  <c:v>0.5</c:v>
                </c:pt>
                <c:pt idx="7">
                  <c:v>0.33333333333333298</c:v>
                </c:pt>
                <c:pt idx="8">
                  <c:v>0.33333333333333298</c:v>
                </c:pt>
                <c:pt idx="9">
                  <c:v>0.33333333333333298</c:v>
                </c:pt>
                <c:pt idx="10">
                  <c:v>0.33333333333333298</c:v>
                </c:pt>
                <c:pt idx="11">
                  <c:v>0.16666666666666699</c:v>
                </c:pt>
                <c:pt idx="12">
                  <c:v>0</c:v>
                </c:pt>
                <c:pt idx="13">
                  <c:v>0</c:v>
                </c:pt>
                <c:pt idx="14">
                  <c:v>0.16666666666666699</c:v>
                </c:pt>
                <c:pt idx="15">
                  <c:v>0.33333333333333298</c:v>
                </c:pt>
                <c:pt idx="16">
                  <c:v>0.16666666666666699</c:v>
                </c:pt>
                <c:pt idx="17">
                  <c:v>0</c:v>
                </c:pt>
                <c:pt idx="18">
                  <c:v>0.16666666666666699</c:v>
                </c:pt>
                <c:pt idx="19">
                  <c:v>0</c:v>
                </c:pt>
                <c:pt idx="20">
                  <c:v>0</c:v>
                </c:pt>
                <c:pt idx="21">
                  <c:v>0.16666666666666699</c:v>
                </c:pt>
                <c:pt idx="22">
                  <c:v>0</c:v>
                </c:pt>
                <c:pt idx="23">
                  <c:v>0.16666666666666699</c:v>
                </c:pt>
                <c:pt idx="24">
                  <c:v>0.16666666666666699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7FD7-7A42-808E-A1F918174E4A}"/>
            </c:ext>
          </c:extLst>
        </c:ser>
        <c:ser>
          <c:idx val="1"/>
          <c:order val="1"/>
          <c:tx>
            <c:strRef>
              <c:f>T0!$AY$1</c:f>
              <c:strCache>
                <c:ptCount val="1"/>
                <c:pt idx="0">
                  <c:v>Fund if DW detected</c:v>
                </c:pt>
              </c:strCache>
            </c:strRef>
          </c:tx>
          <c:spPr>
            <a:ln w="6350" cmpd="sng">
              <a:solidFill>
                <a:srgbClr val="002060"/>
              </a:solidFill>
            </a:ln>
            <a:effectLst/>
          </c:spPr>
          <c:marker>
            <c:symbol val="square"/>
            <c:size val="2"/>
            <c:spPr>
              <a:solidFill>
                <a:schemeClr val="bg1"/>
              </a:solidFill>
              <a:ln w="3175">
                <a:solidFill>
                  <a:srgbClr val="002060"/>
                </a:solidFill>
              </a:ln>
              <a:effectLst/>
            </c:spPr>
          </c:marker>
          <c:xVal>
            <c:numRef>
              <c:f>T0!$AU$2:$AU$26</c:f>
              <c:numCache>
                <c:formatCode>General</c:formatCode>
                <c:ptCount val="2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</c:numCache>
            </c:numRef>
          </c:xVal>
          <c:yVal>
            <c:numRef>
              <c:f>'T1'!$AP$77:$AP$101</c:f>
              <c:numCache>
                <c:formatCode>0.0%</c:formatCode>
                <c:ptCount val="25"/>
                <c:pt idx="0">
                  <c:v>0.83333333333333304</c:v>
                </c:pt>
                <c:pt idx="1">
                  <c:v>1</c:v>
                </c:pt>
                <c:pt idx="2">
                  <c:v>1</c:v>
                </c:pt>
                <c:pt idx="3">
                  <c:v>0.66666666666666696</c:v>
                </c:pt>
                <c:pt idx="4">
                  <c:v>0.66666666666666696</c:v>
                </c:pt>
                <c:pt idx="5">
                  <c:v>0.66666666666666696</c:v>
                </c:pt>
                <c:pt idx="6">
                  <c:v>0.66666666666666696</c:v>
                </c:pt>
                <c:pt idx="7">
                  <c:v>0.66666666666666696</c:v>
                </c:pt>
                <c:pt idx="8">
                  <c:v>0.33333333333333298</c:v>
                </c:pt>
                <c:pt idx="9">
                  <c:v>0.16666666666666699</c:v>
                </c:pt>
                <c:pt idx="10">
                  <c:v>0.5</c:v>
                </c:pt>
                <c:pt idx="11">
                  <c:v>0.33333333333333298</c:v>
                </c:pt>
                <c:pt idx="12">
                  <c:v>0.5</c:v>
                </c:pt>
                <c:pt idx="13">
                  <c:v>0.33333333333333298</c:v>
                </c:pt>
                <c:pt idx="14">
                  <c:v>0.33333333333333298</c:v>
                </c:pt>
                <c:pt idx="15">
                  <c:v>0.5</c:v>
                </c:pt>
                <c:pt idx="16">
                  <c:v>0.5</c:v>
                </c:pt>
                <c:pt idx="17">
                  <c:v>0.5</c:v>
                </c:pt>
                <c:pt idx="18">
                  <c:v>0.66666666666666696</c:v>
                </c:pt>
                <c:pt idx="19">
                  <c:v>0.5</c:v>
                </c:pt>
                <c:pt idx="20">
                  <c:v>0.33333333333333298</c:v>
                </c:pt>
                <c:pt idx="21">
                  <c:v>0.16666666666666699</c:v>
                </c:pt>
                <c:pt idx="22">
                  <c:v>0.33333333333333298</c:v>
                </c:pt>
                <c:pt idx="23">
                  <c:v>0.33333333333333298</c:v>
                </c:pt>
                <c:pt idx="24">
                  <c:v>0.16666666666666699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7FD7-7A42-808E-A1F918174E4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-2096979912"/>
        <c:axId val="-2096988120"/>
      </c:scatterChart>
      <c:valAx>
        <c:axId val="-2096979912"/>
        <c:scaling>
          <c:orientation val="minMax"/>
          <c:max val="25"/>
          <c:min val="1"/>
        </c:scaling>
        <c:delete val="0"/>
        <c:axPos val="b"/>
        <c:title>
          <c:tx>
            <c:rich>
              <a:bodyPr/>
              <a:lstStyle/>
              <a:p>
                <a:pPr>
                  <a:defRPr sz="500" b="0"/>
                </a:pPr>
                <a:r>
                  <a:rPr lang="en-US" sz="5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rPr>
                  <a:t> </a:t>
                </a:r>
                <a:r>
                  <a:rPr lang="en-US" sz="500" b="0"/>
                  <a:t>Round</a:t>
                </a:r>
              </a:p>
            </c:rich>
          </c:tx>
          <c:layout>
            <c:manualLayout>
              <c:xMode val="edge"/>
              <c:yMode val="edge"/>
              <c:x val="0.40041885008276401"/>
              <c:y val="0.90604453870625601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6350"/>
        </c:spPr>
        <c:txPr>
          <a:bodyPr/>
          <a:lstStyle/>
          <a:p>
            <a:pPr>
              <a:defRPr sz="500"/>
            </a:pPr>
            <a:endParaRPr lang="en-US"/>
          </a:p>
        </c:txPr>
        <c:crossAx val="-2096988120"/>
        <c:crosses val="autoZero"/>
        <c:crossBetween val="midCat"/>
        <c:majorUnit val="24"/>
      </c:valAx>
      <c:valAx>
        <c:axId val="-2096988120"/>
        <c:scaling>
          <c:orientation val="minMax"/>
          <c:max val="1"/>
        </c:scaling>
        <c:delete val="0"/>
        <c:axPos val="l"/>
        <c:majorGridlines>
          <c:spPr>
            <a:ln w="6350"/>
          </c:spPr>
        </c:majorGridlines>
        <c:title>
          <c:tx>
            <c:rich>
              <a:bodyPr rot="-5400000" vert="horz"/>
              <a:lstStyle/>
              <a:p>
                <a:pPr>
                  <a:defRPr sz="500" b="0"/>
                </a:pPr>
                <a:r>
                  <a:rPr lang="en-US" sz="500" b="0" i="0" u="none" strike="noStrike" baseline="0">
                    <a:effectLst/>
                  </a:rPr>
                  <a:t>Borrow</a:t>
                </a:r>
                <a:r>
                  <a:rPr lang="en-US" sz="500" b="0" i="0" u="none" strike="noStrike" kern="1200" baseline="0">
                    <a:solidFill>
                      <a:sysClr val="windowText" lastClr="000000"/>
                    </a:solidFill>
                    <a:effectLst/>
                    <a:latin typeface="+mn-lt"/>
                    <a:ea typeface="+mn-ea"/>
                    <a:cs typeface="+mn-cs"/>
                  </a:rPr>
                  <a:t> </a:t>
                </a:r>
                <a:r>
                  <a:rPr lang="en-US" sz="500" b="0" i="0" u="none" strike="noStrike" baseline="0">
                    <a:effectLst/>
                  </a:rPr>
                  <a:t>at</a:t>
                </a:r>
                <a:r>
                  <a:rPr lang="en-US" sz="500" b="0" i="0" u="none" strike="noStrike" kern="1200" baseline="0">
                    <a:solidFill>
                      <a:sysClr val="windowText" lastClr="000000"/>
                    </a:solidFill>
                    <a:effectLst/>
                    <a:latin typeface="+mn-lt"/>
                    <a:ea typeface="+mn-ea"/>
                    <a:cs typeface="+mn-cs"/>
                  </a:rPr>
                  <a:t> </a:t>
                </a:r>
                <a:r>
                  <a:rPr lang="en-US" sz="500" b="0" i="0" u="none" strike="noStrike" baseline="0">
                    <a:effectLst/>
                  </a:rPr>
                  <a:t>DW</a:t>
                </a:r>
                <a:endParaRPr lang="en-US" sz="500" b="0"/>
              </a:p>
            </c:rich>
          </c:tx>
          <c:layout>
            <c:manualLayout>
              <c:xMode val="edge"/>
              <c:yMode val="edge"/>
              <c:x val="0"/>
              <c:y val="0.28127771144195501"/>
            </c:manualLayout>
          </c:layout>
          <c:overlay val="0"/>
        </c:title>
        <c:numFmt formatCode="0%" sourceLinked="0"/>
        <c:majorTickMark val="out"/>
        <c:minorTickMark val="none"/>
        <c:tickLblPos val="nextTo"/>
        <c:spPr>
          <a:ln w="6350"/>
        </c:spPr>
        <c:txPr>
          <a:bodyPr/>
          <a:lstStyle/>
          <a:p>
            <a:pPr>
              <a:defRPr sz="400"/>
            </a:pPr>
            <a:endParaRPr lang="en-US"/>
          </a:p>
        </c:txPr>
        <c:crossAx val="-2096979912"/>
        <c:crosses val="autoZero"/>
        <c:crossBetween val="midCat"/>
        <c:majorUnit val="1"/>
      </c:valAx>
      <c:spPr>
        <a:ln w="6350">
          <a:solidFill>
            <a:schemeClr val="bg1">
              <a:lumMod val="50000"/>
            </a:schemeClr>
          </a:solidFill>
        </a:ln>
      </c:spPr>
    </c:plotArea>
    <c:plotVisOnly val="1"/>
    <c:dispBlanksAs val="gap"/>
    <c:showDLblsOverMax val="0"/>
  </c:chart>
  <c:spPr>
    <a:ln w="6350"/>
    <a:effectLst/>
  </c:spPr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77894226636305"/>
          <c:y val="8.4180938446688003E-2"/>
          <c:w val="0.72024746906636705"/>
          <c:h val="0.78661083324287595"/>
        </c:manualLayout>
      </c:layout>
      <c:scatterChart>
        <c:scatterStyle val="smoothMarker"/>
        <c:varyColors val="0"/>
        <c:ser>
          <c:idx val="0"/>
          <c:order val="0"/>
          <c:tx>
            <c:strRef>
              <c:f>T0!$AX$1</c:f>
              <c:strCache>
                <c:ptCount val="1"/>
                <c:pt idx="0">
                  <c:v>Fund if DW not detected</c:v>
                </c:pt>
              </c:strCache>
            </c:strRef>
          </c:tx>
          <c:spPr>
            <a:ln w="6350">
              <a:solidFill>
                <a:srgbClr val="FF0000"/>
              </a:solidFill>
            </a:ln>
            <a:effectLst/>
          </c:spPr>
          <c:marker>
            <c:symbol val="circle"/>
            <c:size val="2"/>
            <c:spPr>
              <a:solidFill>
                <a:srgbClr val="FF0000"/>
              </a:solidFill>
              <a:ln w="6350">
                <a:solidFill>
                  <a:srgbClr val="FF0000"/>
                </a:solidFill>
              </a:ln>
              <a:effectLst/>
            </c:spPr>
          </c:marker>
          <c:xVal>
            <c:numRef>
              <c:f>T0!$AU$2:$AU$26</c:f>
              <c:numCache>
                <c:formatCode>General</c:formatCode>
                <c:ptCount val="2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</c:numCache>
            </c:numRef>
          </c:xVal>
          <c:yVal>
            <c:numRef>
              <c:f>'T1'!$AQ$102:$AQ$126</c:f>
              <c:numCache>
                <c:formatCode>0.0%</c:formatCode>
                <c:ptCount val="25"/>
                <c:pt idx="0">
                  <c:v>0.5</c:v>
                </c:pt>
                <c:pt idx="1">
                  <c:v>0.66666666666666696</c:v>
                </c:pt>
                <c:pt idx="2">
                  <c:v>0.66666666666666696</c:v>
                </c:pt>
                <c:pt idx="3">
                  <c:v>0.83333333333333304</c:v>
                </c:pt>
                <c:pt idx="4">
                  <c:v>0.83333333333333304</c:v>
                </c:pt>
                <c:pt idx="5">
                  <c:v>0.66666666666666696</c:v>
                </c:pt>
                <c:pt idx="6">
                  <c:v>0.66666666666666696</c:v>
                </c:pt>
                <c:pt idx="7">
                  <c:v>0.83333333333333304</c:v>
                </c:pt>
                <c:pt idx="8">
                  <c:v>0.66666666666666696</c:v>
                </c:pt>
                <c:pt idx="9">
                  <c:v>0.83333333333333304</c:v>
                </c:pt>
                <c:pt idx="10">
                  <c:v>0.83333333333333304</c:v>
                </c:pt>
                <c:pt idx="11">
                  <c:v>1</c:v>
                </c:pt>
                <c:pt idx="12">
                  <c:v>0.66666666666666696</c:v>
                </c:pt>
                <c:pt idx="13">
                  <c:v>0.66666666666666696</c:v>
                </c:pt>
                <c:pt idx="14">
                  <c:v>0.66666666666666696</c:v>
                </c:pt>
                <c:pt idx="15">
                  <c:v>1</c:v>
                </c:pt>
                <c:pt idx="16">
                  <c:v>1</c:v>
                </c:pt>
                <c:pt idx="17">
                  <c:v>0.33333333333333298</c:v>
                </c:pt>
                <c:pt idx="18">
                  <c:v>0.66666666666666696</c:v>
                </c:pt>
                <c:pt idx="19">
                  <c:v>0.66666666666666696</c:v>
                </c:pt>
                <c:pt idx="20">
                  <c:v>0.66666666666666696</c:v>
                </c:pt>
                <c:pt idx="21">
                  <c:v>0.83333333333333304</c:v>
                </c:pt>
                <c:pt idx="22">
                  <c:v>0.83333333333333304</c:v>
                </c:pt>
                <c:pt idx="23">
                  <c:v>0.66666666666666696</c:v>
                </c:pt>
                <c:pt idx="24">
                  <c:v>0.66666666666666696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FFAF-EF4D-A8C9-A24A705DD672}"/>
            </c:ext>
          </c:extLst>
        </c:ser>
        <c:ser>
          <c:idx val="1"/>
          <c:order val="1"/>
          <c:tx>
            <c:strRef>
              <c:f>T0!$AY$1</c:f>
              <c:strCache>
                <c:ptCount val="1"/>
                <c:pt idx="0">
                  <c:v>Fund if DW detected</c:v>
                </c:pt>
              </c:strCache>
            </c:strRef>
          </c:tx>
          <c:spPr>
            <a:ln w="6350" cmpd="sng">
              <a:solidFill>
                <a:srgbClr val="FF9300"/>
              </a:solidFill>
            </a:ln>
            <a:effectLst/>
          </c:spPr>
          <c:marker>
            <c:symbol val="circle"/>
            <c:size val="2"/>
            <c:spPr>
              <a:solidFill>
                <a:schemeClr val="bg1"/>
              </a:solidFill>
              <a:ln w="6350">
                <a:solidFill>
                  <a:srgbClr val="FF9300"/>
                </a:solidFill>
              </a:ln>
              <a:effectLst/>
            </c:spPr>
          </c:marker>
          <c:xVal>
            <c:numRef>
              <c:f>T0!$AU$2:$AU$26</c:f>
              <c:numCache>
                <c:formatCode>General</c:formatCode>
                <c:ptCount val="2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</c:numCache>
            </c:numRef>
          </c:xVal>
          <c:yVal>
            <c:numRef>
              <c:f>'T1'!$AR$102:$AR$126</c:f>
              <c:numCache>
                <c:formatCode>0.0%</c:formatCode>
                <c:ptCount val="25"/>
                <c:pt idx="0">
                  <c:v>0</c:v>
                </c:pt>
                <c:pt idx="1">
                  <c:v>0.16666666666666699</c:v>
                </c:pt>
                <c:pt idx="2">
                  <c:v>0.5</c:v>
                </c:pt>
                <c:pt idx="3">
                  <c:v>0</c:v>
                </c:pt>
                <c:pt idx="4">
                  <c:v>0.33333333333333298</c:v>
                </c:pt>
                <c:pt idx="5">
                  <c:v>0.33333333333333298</c:v>
                </c:pt>
                <c:pt idx="6">
                  <c:v>0.5</c:v>
                </c:pt>
                <c:pt idx="7">
                  <c:v>0.16666666666666699</c:v>
                </c:pt>
                <c:pt idx="8">
                  <c:v>0</c:v>
                </c:pt>
                <c:pt idx="9">
                  <c:v>0.16666666666666699</c:v>
                </c:pt>
                <c:pt idx="10">
                  <c:v>0.5</c:v>
                </c:pt>
                <c:pt idx="11">
                  <c:v>0.5</c:v>
                </c:pt>
                <c:pt idx="12">
                  <c:v>0.5</c:v>
                </c:pt>
                <c:pt idx="13">
                  <c:v>0.5</c:v>
                </c:pt>
                <c:pt idx="14">
                  <c:v>0.16666666666666699</c:v>
                </c:pt>
                <c:pt idx="15">
                  <c:v>0.5</c:v>
                </c:pt>
                <c:pt idx="16">
                  <c:v>0.33333333333333298</c:v>
                </c:pt>
                <c:pt idx="17">
                  <c:v>0.5</c:v>
                </c:pt>
                <c:pt idx="18">
                  <c:v>0.5</c:v>
                </c:pt>
                <c:pt idx="19">
                  <c:v>0.5</c:v>
                </c:pt>
                <c:pt idx="20">
                  <c:v>0.33333333333333298</c:v>
                </c:pt>
                <c:pt idx="21">
                  <c:v>0.5</c:v>
                </c:pt>
                <c:pt idx="22">
                  <c:v>0.16666666666666699</c:v>
                </c:pt>
                <c:pt idx="23">
                  <c:v>0.33333333333333298</c:v>
                </c:pt>
                <c:pt idx="24">
                  <c:v>0.33333333333333298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FFAF-EF4D-A8C9-A24A705DD67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-2097022296"/>
        <c:axId val="-2097030504"/>
      </c:scatterChart>
      <c:valAx>
        <c:axId val="-2097022296"/>
        <c:scaling>
          <c:orientation val="minMax"/>
          <c:max val="25"/>
          <c:min val="1"/>
        </c:scaling>
        <c:delete val="0"/>
        <c:axPos val="b"/>
        <c:title>
          <c:tx>
            <c:rich>
              <a:bodyPr/>
              <a:lstStyle/>
              <a:p>
                <a:pPr>
                  <a:defRPr sz="500" b="0"/>
                </a:pPr>
                <a:r>
                  <a:rPr lang="en-US" sz="5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rPr>
                  <a:t> </a:t>
                </a:r>
                <a:r>
                  <a:rPr lang="en-US" sz="500" b="0"/>
                  <a:t>Round</a:t>
                </a:r>
              </a:p>
            </c:rich>
          </c:tx>
          <c:layout>
            <c:manualLayout>
              <c:xMode val="edge"/>
              <c:yMode val="edge"/>
              <c:x val="0.40041885008276401"/>
              <c:y val="0.90604453870625601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6350"/>
        </c:spPr>
        <c:txPr>
          <a:bodyPr/>
          <a:lstStyle/>
          <a:p>
            <a:pPr>
              <a:defRPr sz="500"/>
            </a:pPr>
            <a:endParaRPr lang="en-US"/>
          </a:p>
        </c:txPr>
        <c:crossAx val="-2097030504"/>
        <c:crosses val="autoZero"/>
        <c:crossBetween val="midCat"/>
        <c:majorUnit val="24"/>
      </c:valAx>
      <c:valAx>
        <c:axId val="-2097030504"/>
        <c:scaling>
          <c:orientation val="minMax"/>
          <c:max val="1"/>
        </c:scaling>
        <c:delete val="0"/>
        <c:axPos val="l"/>
        <c:majorGridlines>
          <c:spPr>
            <a:ln w="6350"/>
          </c:spPr>
        </c:majorGridlines>
        <c:title>
          <c:tx>
            <c:rich>
              <a:bodyPr rot="-5400000" vert="horz"/>
              <a:lstStyle/>
              <a:p>
                <a:pPr>
                  <a:defRPr sz="500" b="0"/>
                </a:pPr>
                <a:r>
                  <a:rPr lang="en-US" sz="500" b="0" i="0" u="none" strike="noStrike" baseline="0">
                    <a:effectLst/>
                  </a:rPr>
                  <a:t>Fund</a:t>
                </a:r>
                <a:r>
                  <a:rPr lang="en-US" sz="500" b="0" i="0" u="none" strike="noStrike" kern="1200" baseline="0">
                    <a:solidFill>
                      <a:sysClr val="windowText" lastClr="000000"/>
                    </a:solidFill>
                    <a:effectLst/>
                    <a:latin typeface="+mn-lt"/>
                    <a:ea typeface="+mn-ea"/>
                    <a:cs typeface="+mn-cs"/>
                  </a:rPr>
                  <a:t> </a:t>
                </a:r>
                <a:r>
                  <a:rPr lang="en-US" sz="500" b="0" i="0" u="none" strike="noStrike" baseline="0">
                    <a:effectLst/>
                  </a:rPr>
                  <a:t>the</a:t>
                </a:r>
                <a:r>
                  <a:rPr lang="en-US" sz="500" b="0" i="0" u="none" strike="noStrike" kern="1200" baseline="0">
                    <a:solidFill>
                      <a:sysClr val="windowText" lastClr="000000"/>
                    </a:solidFill>
                    <a:effectLst/>
                    <a:latin typeface="+mn-lt"/>
                    <a:ea typeface="+mn-ea"/>
                    <a:cs typeface="+mn-cs"/>
                  </a:rPr>
                  <a:t> </a:t>
                </a:r>
                <a:r>
                  <a:rPr lang="en-US" sz="500" b="0" i="0" u="none" strike="noStrike" baseline="0">
                    <a:effectLst/>
                  </a:rPr>
                  <a:t>Bank</a:t>
                </a:r>
                <a:r>
                  <a:rPr lang="en-US" sz="500" b="0" i="0" u="none" strike="noStrike" kern="1200" baseline="0">
                    <a:solidFill>
                      <a:sysClr val="windowText" lastClr="000000"/>
                    </a:solidFill>
                    <a:effectLst/>
                    <a:latin typeface="+mn-lt"/>
                    <a:ea typeface="+mn-ea"/>
                    <a:cs typeface="+mn-cs"/>
                  </a:rPr>
                  <a:t> </a:t>
                </a:r>
                <a:endParaRPr lang="en-US" sz="500" b="0"/>
              </a:p>
            </c:rich>
          </c:tx>
          <c:layout>
            <c:manualLayout>
              <c:xMode val="edge"/>
              <c:yMode val="edge"/>
              <c:x val="0"/>
              <c:y val="0.28127771144195501"/>
            </c:manualLayout>
          </c:layout>
          <c:overlay val="0"/>
        </c:title>
        <c:numFmt formatCode="0%" sourceLinked="0"/>
        <c:majorTickMark val="out"/>
        <c:minorTickMark val="none"/>
        <c:tickLblPos val="nextTo"/>
        <c:spPr>
          <a:ln w="6350"/>
        </c:spPr>
        <c:txPr>
          <a:bodyPr/>
          <a:lstStyle/>
          <a:p>
            <a:pPr>
              <a:defRPr sz="400"/>
            </a:pPr>
            <a:endParaRPr lang="en-US"/>
          </a:p>
        </c:txPr>
        <c:crossAx val="-2097022296"/>
        <c:crosses val="autoZero"/>
        <c:crossBetween val="midCat"/>
        <c:majorUnit val="1"/>
      </c:valAx>
      <c:spPr>
        <a:ln w="6350">
          <a:solidFill>
            <a:schemeClr val="bg1">
              <a:lumMod val="50000"/>
            </a:schemeClr>
          </a:solidFill>
        </a:ln>
      </c:spPr>
    </c:plotArea>
    <c:plotVisOnly val="1"/>
    <c:dispBlanksAs val="gap"/>
    <c:showDLblsOverMax val="0"/>
  </c:chart>
  <c:spPr>
    <a:ln w="6350"/>
    <a:effectLst/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 algn="ctr">
              <a:defRPr/>
            </a:pPr>
            <a:r>
              <a:rPr lang="en-US" sz="1000" b="0" i="0" baseline="0">
                <a:effectLst/>
              </a:rPr>
              <a:t>Investors</a:t>
            </a:r>
            <a:r>
              <a:rPr lang="en-US" sz="1000" b="0" i="0" u="none" strike="noStrike" kern="1200" baseline="0">
                <a:solidFill>
                  <a:sysClr val="windowText" lastClr="000000"/>
                </a:solidFill>
                <a:effectLst/>
                <a:latin typeface="+mn-lt"/>
                <a:ea typeface="+mn-ea"/>
                <a:cs typeface="+mn-cs"/>
              </a:rPr>
              <a:t> </a:t>
            </a:r>
            <a:r>
              <a:rPr lang="en-US" sz="1000" b="0" i="0" baseline="0">
                <a:effectLst/>
              </a:rPr>
              <a:t>Behavior</a:t>
            </a:r>
            <a:r>
              <a:rPr lang="en-US" sz="1000" b="0" i="0" u="none" strike="noStrike" kern="1200" baseline="0">
                <a:solidFill>
                  <a:sysClr val="windowText" lastClr="000000"/>
                </a:solidFill>
                <a:effectLst/>
                <a:latin typeface="+mn-lt"/>
                <a:ea typeface="+mn-ea"/>
                <a:cs typeface="+mn-cs"/>
              </a:rPr>
              <a:t> </a:t>
            </a:r>
            <a:endParaRPr lang="en-US" sz="1000" baseline="50000"/>
          </a:p>
        </c:rich>
      </c:tx>
      <c:layout>
        <c:manualLayout>
          <c:xMode val="edge"/>
          <c:yMode val="edge"/>
          <c:x val="0.31832256544854998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24352917423784"/>
          <c:y val="8.4180748250329201E-2"/>
          <c:w val="0.83816845009758401"/>
          <c:h val="0.74132326435446205"/>
        </c:manualLayout>
      </c:layout>
      <c:scatterChart>
        <c:scatterStyle val="smoothMarker"/>
        <c:varyColors val="0"/>
        <c:ser>
          <c:idx val="0"/>
          <c:order val="0"/>
          <c:tx>
            <c:strRef>
              <c:f>T0!$AX$1</c:f>
              <c:strCache>
                <c:ptCount val="1"/>
                <c:pt idx="0">
                  <c:v>Fund if DW not detected</c:v>
                </c:pt>
              </c:strCache>
            </c:strRef>
          </c:tx>
          <c:spPr>
            <a:ln w="12700">
              <a:solidFill>
                <a:srgbClr val="FF0000"/>
              </a:solidFill>
            </a:ln>
            <a:effectLst/>
          </c:spPr>
          <c:marker>
            <c:symbol val="circle"/>
            <c:size val="5"/>
            <c:spPr>
              <a:solidFill>
                <a:srgbClr val="FF0000"/>
              </a:solidFill>
              <a:ln>
                <a:solidFill>
                  <a:srgbClr val="FF0000"/>
                </a:solidFill>
              </a:ln>
              <a:effectLst/>
            </c:spPr>
          </c:marker>
          <c:xVal>
            <c:numRef>
              <c:f>T0!$AU$2:$AU$26</c:f>
              <c:numCache>
                <c:formatCode>General</c:formatCode>
                <c:ptCount val="2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</c:numCache>
            </c:numRef>
          </c:xVal>
          <c:yVal>
            <c:numRef>
              <c:f>'T1'!$AX$2:$AX$26</c:f>
              <c:numCache>
                <c:formatCode>0.0%</c:formatCode>
                <c:ptCount val="25"/>
                <c:pt idx="0">
                  <c:v>0.72222222222222199</c:v>
                </c:pt>
                <c:pt idx="1">
                  <c:v>0.75</c:v>
                </c:pt>
                <c:pt idx="2">
                  <c:v>0.77777777777777801</c:v>
                </c:pt>
                <c:pt idx="3">
                  <c:v>0.94444444444444497</c:v>
                </c:pt>
                <c:pt idx="4">
                  <c:v>0.88888888888888895</c:v>
                </c:pt>
                <c:pt idx="5">
                  <c:v>0.75</c:v>
                </c:pt>
                <c:pt idx="6">
                  <c:v>0.83333333333333304</c:v>
                </c:pt>
                <c:pt idx="7">
                  <c:v>0.88888888888888895</c:v>
                </c:pt>
                <c:pt idx="8">
                  <c:v>0.88888888888888895</c:v>
                </c:pt>
                <c:pt idx="9">
                  <c:v>0.88888888888888895</c:v>
                </c:pt>
                <c:pt idx="10">
                  <c:v>0.83333333333333304</c:v>
                </c:pt>
                <c:pt idx="11">
                  <c:v>0.86111111111111105</c:v>
                </c:pt>
                <c:pt idx="12">
                  <c:v>0.86111111111111105</c:v>
                </c:pt>
                <c:pt idx="13">
                  <c:v>0.88888888888888895</c:v>
                </c:pt>
                <c:pt idx="14">
                  <c:v>0.77777777777777801</c:v>
                </c:pt>
                <c:pt idx="15">
                  <c:v>0.97222222222222199</c:v>
                </c:pt>
                <c:pt idx="16">
                  <c:v>0.94444444444444497</c:v>
                </c:pt>
                <c:pt idx="17">
                  <c:v>0.72222222222222199</c:v>
                </c:pt>
                <c:pt idx="18">
                  <c:v>0.80555555555555602</c:v>
                </c:pt>
                <c:pt idx="19">
                  <c:v>0.77777777777777801</c:v>
                </c:pt>
                <c:pt idx="20">
                  <c:v>0.80555555555555602</c:v>
                </c:pt>
                <c:pt idx="21">
                  <c:v>0.83333333333333304</c:v>
                </c:pt>
                <c:pt idx="22">
                  <c:v>0.88888888888888895</c:v>
                </c:pt>
                <c:pt idx="23">
                  <c:v>0.77777777777777801</c:v>
                </c:pt>
                <c:pt idx="24">
                  <c:v>0.77777777777777801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EB40-4F4E-A955-C888F2B3A8EA}"/>
            </c:ext>
          </c:extLst>
        </c:ser>
        <c:ser>
          <c:idx val="1"/>
          <c:order val="1"/>
          <c:tx>
            <c:strRef>
              <c:f>T0!$AY$1</c:f>
              <c:strCache>
                <c:ptCount val="1"/>
                <c:pt idx="0">
                  <c:v>Fund if DW detected</c:v>
                </c:pt>
              </c:strCache>
            </c:strRef>
          </c:tx>
          <c:spPr>
            <a:ln w="12700" cmpd="sng">
              <a:solidFill>
                <a:srgbClr val="FF9300"/>
              </a:solidFill>
            </a:ln>
            <a:effectLst/>
          </c:spPr>
          <c:marker>
            <c:symbol val="circle"/>
            <c:size val="5"/>
            <c:spPr>
              <a:solidFill>
                <a:schemeClr val="bg1"/>
              </a:solidFill>
              <a:ln w="12700">
                <a:solidFill>
                  <a:srgbClr val="FF9300"/>
                </a:solidFill>
              </a:ln>
              <a:effectLst/>
            </c:spPr>
          </c:marker>
          <c:xVal>
            <c:numRef>
              <c:f>T0!$AU$2:$AU$26</c:f>
              <c:numCache>
                <c:formatCode>General</c:formatCode>
                <c:ptCount val="2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</c:numCache>
            </c:numRef>
          </c:xVal>
          <c:yVal>
            <c:numRef>
              <c:f>'T1'!$AY$2:$AY$26</c:f>
              <c:numCache>
                <c:formatCode>0.0%</c:formatCode>
                <c:ptCount val="25"/>
                <c:pt idx="0">
                  <c:v>0.36111111111111099</c:v>
                </c:pt>
                <c:pt idx="1">
                  <c:v>0.30555555555555503</c:v>
                </c:pt>
                <c:pt idx="2">
                  <c:v>0.30555555555555503</c:v>
                </c:pt>
                <c:pt idx="3">
                  <c:v>0.16666666666666699</c:v>
                </c:pt>
                <c:pt idx="4">
                  <c:v>0.25</c:v>
                </c:pt>
                <c:pt idx="5">
                  <c:v>8.3333333333333301E-2</c:v>
                </c:pt>
                <c:pt idx="6">
                  <c:v>0.13888888888888901</c:v>
                </c:pt>
                <c:pt idx="7">
                  <c:v>0.194444444444444</c:v>
                </c:pt>
                <c:pt idx="8">
                  <c:v>0.13888888888888901</c:v>
                </c:pt>
                <c:pt idx="9">
                  <c:v>0.11111111111111099</c:v>
                </c:pt>
                <c:pt idx="10">
                  <c:v>0.16666666666666699</c:v>
                </c:pt>
                <c:pt idx="11">
                  <c:v>0.25</c:v>
                </c:pt>
                <c:pt idx="12">
                  <c:v>0.25</c:v>
                </c:pt>
                <c:pt idx="13">
                  <c:v>0.11111111111111099</c:v>
                </c:pt>
                <c:pt idx="14">
                  <c:v>0.16666666666666699</c:v>
                </c:pt>
                <c:pt idx="15">
                  <c:v>0.13888888888888901</c:v>
                </c:pt>
                <c:pt idx="16">
                  <c:v>0.13888888888888901</c:v>
                </c:pt>
                <c:pt idx="17">
                  <c:v>0.13888888888888901</c:v>
                </c:pt>
                <c:pt idx="18">
                  <c:v>0.16666666666666699</c:v>
                </c:pt>
                <c:pt idx="19">
                  <c:v>0.16666666666666699</c:v>
                </c:pt>
                <c:pt idx="20">
                  <c:v>0.13888888888888901</c:v>
                </c:pt>
                <c:pt idx="21">
                  <c:v>0.13888888888888901</c:v>
                </c:pt>
                <c:pt idx="22">
                  <c:v>0.11111111111111099</c:v>
                </c:pt>
                <c:pt idx="23">
                  <c:v>0.11111111111111099</c:v>
                </c:pt>
                <c:pt idx="24">
                  <c:v>0.194444444444444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EB40-4F4E-A955-C888F2B3A8EA}"/>
            </c:ext>
          </c:extLst>
        </c:ser>
        <c:ser>
          <c:idx val="2"/>
          <c:order val="2"/>
          <c:tx>
            <c:strRef>
              <c:f>T0!$AX$1</c:f>
              <c:strCache>
                <c:ptCount val="1"/>
                <c:pt idx="0">
                  <c:v>Fund if DW not detected</c:v>
                </c:pt>
              </c:strCache>
            </c:strRef>
          </c:tx>
          <c:spPr>
            <a:ln w="15875">
              <a:solidFill>
                <a:srgbClr val="FF0000"/>
              </a:solidFill>
            </a:ln>
          </c:spPr>
          <c:marker>
            <c:symbol val="none"/>
          </c:marker>
          <c:xVal>
            <c:numRef>
              <c:f>T0!$BG$28:$BG$29</c:f>
              <c:numCache>
                <c:formatCode>General</c:formatCode>
                <c:ptCount val="2"/>
                <c:pt idx="0">
                  <c:v>1</c:v>
                </c:pt>
                <c:pt idx="1">
                  <c:v>25</c:v>
                </c:pt>
              </c:numCache>
            </c:numRef>
          </c:xVal>
          <c:yVal>
            <c:numRef>
              <c:f>T0!$BH$28:$BH$29</c:f>
              <c:numCache>
                <c:formatCode>General</c:formatCode>
                <c:ptCount val="2"/>
                <c:pt idx="0">
                  <c:v>1</c:v>
                </c:pt>
                <c:pt idx="1">
                  <c:v>1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2-EB40-4F4E-A955-C888F2B3A8EA}"/>
            </c:ext>
          </c:extLst>
        </c:ser>
        <c:ser>
          <c:idx val="3"/>
          <c:order val="3"/>
          <c:tx>
            <c:strRef>
              <c:f>T0!$AY$1</c:f>
              <c:strCache>
                <c:ptCount val="1"/>
                <c:pt idx="0">
                  <c:v>Fund if DW detected</c:v>
                </c:pt>
              </c:strCache>
            </c:strRef>
          </c:tx>
          <c:spPr>
            <a:ln w="15875">
              <a:solidFill>
                <a:srgbClr val="FF9300"/>
              </a:solidFill>
            </a:ln>
          </c:spPr>
          <c:marker>
            <c:symbol val="none"/>
          </c:marker>
          <c:xVal>
            <c:numRef>
              <c:f>T0!$BG$31:$BG$32</c:f>
              <c:numCache>
                <c:formatCode>General</c:formatCode>
                <c:ptCount val="2"/>
                <c:pt idx="0">
                  <c:v>1</c:v>
                </c:pt>
                <c:pt idx="1">
                  <c:v>25</c:v>
                </c:pt>
              </c:numCache>
            </c:numRef>
          </c:xVal>
          <c:yVal>
            <c:numRef>
              <c:f>T0!$BH$31:$BH$32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3-EB40-4F4E-A955-C888F2B3A8E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072839832"/>
        <c:axId val="2113296312"/>
      </c:scatterChart>
      <c:valAx>
        <c:axId val="2072839832"/>
        <c:scaling>
          <c:orientation val="minMax"/>
          <c:max val="25"/>
          <c:min val="1"/>
        </c:scaling>
        <c:delete val="0"/>
        <c:axPos val="b"/>
        <c:title>
          <c:tx>
            <c:rich>
              <a:bodyPr/>
              <a:lstStyle/>
              <a:p>
                <a:pPr>
                  <a:defRPr sz="800" b="0"/>
                </a:pPr>
                <a:r>
                  <a:rPr lang="en-US" sz="800" b="0"/>
                  <a:t>Round</a:t>
                </a:r>
              </a:p>
            </c:rich>
          </c:tx>
          <c:layout>
            <c:manualLayout>
              <c:xMode val="edge"/>
              <c:yMode val="edge"/>
              <c:x val="0.47010498687664098"/>
              <c:y val="0.86981096791905499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6350"/>
        </c:spPr>
        <c:txPr>
          <a:bodyPr/>
          <a:lstStyle/>
          <a:p>
            <a:pPr>
              <a:defRPr sz="500"/>
            </a:pPr>
            <a:endParaRPr lang="en-US"/>
          </a:p>
        </c:txPr>
        <c:crossAx val="2113296312"/>
        <c:crosses val="autoZero"/>
        <c:crossBetween val="midCat"/>
        <c:majorUnit val="1"/>
      </c:valAx>
      <c:valAx>
        <c:axId val="2113296312"/>
        <c:scaling>
          <c:orientation val="minMax"/>
          <c:max val="1"/>
        </c:scaling>
        <c:delete val="0"/>
        <c:axPos val="l"/>
        <c:majorGridlines>
          <c:spPr>
            <a:ln w="6350"/>
          </c:spPr>
        </c:majorGridlines>
        <c:title>
          <c:tx>
            <c:rich>
              <a:bodyPr rot="-5400000" vert="horz"/>
              <a:lstStyle/>
              <a:p>
                <a:pPr>
                  <a:defRPr sz="800" b="0"/>
                </a:pPr>
                <a:r>
                  <a:rPr lang="en-US" sz="800" b="0" i="0" u="none" strike="noStrike" baseline="0">
                    <a:effectLst/>
                  </a:rPr>
                  <a:t>Percent</a:t>
                </a:r>
                <a:r>
                  <a:rPr lang="en-US" sz="800" b="0" i="0" u="none" strike="noStrike" kern="1200" baseline="0">
                    <a:solidFill>
                      <a:sysClr val="windowText" lastClr="000000"/>
                    </a:solidFill>
                    <a:effectLst/>
                    <a:latin typeface="+mn-lt"/>
                    <a:ea typeface="+mn-ea"/>
                    <a:cs typeface="+mn-cs"/>
                  </a:rPr>
                  <a:t> </a:t>
                </a:r>
                <a:r>
                  <a:rPr lang="en-US" sz="800" b="0" i="0" u="none" strike="noStrike" baseline="0">
                    <a:effectLst/>
                  </a:rPr>
                  <a:t>of</a:t>
                </a:r>
                <a:r>
                  <a:rPr lang="en-US" sz="800" b="0" i="0" u="none" strike="noStrike" kern="1200" baseline="0">
                    <a:solidFill>
                      <a:sysClr val="windowText" lastClr="000000"/>
                    </a:solidFill>
                    <a:effectLst/>
                    <a:latin typeface="+mn-lt"/>
                    <a:ea typeface="+mn-ea"/>
                    <a:cs typeface="+mn-cs"/>
                  </a:rPr>
                  <a:t> </a:t>
                </a:r>
                <a:r>
                  <a:rPr lang="en-US" sz="800" b="0" i="0" u="none" strike="noStrike" baseline="0">
                    <a:effectLst/>
                  </a:rPr>
                  <a:t>Investors</a:t>
                </a:r>
                <a:r>
                  <a:rPr lang="en-US" sz="800" b="0" i="0" u="none" strike="noStrike" kern="1200" baseline="0">
                    <a:solidFill>
                      <a:sysClr val="windowText" lastClr="000000"/>
                    </a:solidFill>
                    <a:effectLst/>
                    <a:latin typeface="+mn-lt"/>
                    <a:ea typeface="+mn-ea"/>
                    <a:cs typeface="+mn-cs"/>
                  </a:rPr>
                  <a:t> </a:t>
                </a:r>
                <a:r>
                  <a:rPr lang="en-US" sz="800" b="0" i="0" u="none" strike="noStrike" baseline="0">
                    <a:effectLst/>
                  </a:rPr>
                  <a:t>that</a:t>
                </a:r>
                <a:r>
                  <a:rPr lang="en-US" sz="800" b="0" i="0" u="none" strike="noStrike" kern="1200" baseline="0">
                    <a:solidFill>
                      <a:sysClr val="windowText" lastClr="000000"/>
                    </a:solidFill>
                    <a:effectLst/>
                    <a:latin typeface="+mn-lt"/>
                    <a:ea typeface="+mn-ea"/>
                    <a:cs typeface="+mn-cs"/>
                  </a:rPr>
                  <a:t> </a:t>
                </a:r>
                <a:r>
                  <a:rPr lang="en-US" sz="800" b="0" i="0" u="none" strike="noStrike" baseline="0">
                    <a:effectLst/>
                  </a:rPr>
                  <a:t>Fund</a:t>
                </a:r>
                <a:r>
                  <a:rPr lang="en-US" sz="800" b="0" i="0" u="none" strike="noStrike" kern="1200" baseline="0">
                    <a:solidFill>
                      <a:sysClr val="windowText" lastClr="000000"/>
                    </a:solidFill>
                    <a:effectLst/>
                    <a:latin typeface="+mn-lt"/>
                    <a:ea typeface="+mn-ea"/>
                    <a:cs typeface="+mn-cs"/>
                  </a:rPr>
                  <a:t> </a:t>
                </a:r>
                <a:r>
                  <a:rPr lang="en-US" sz="800" b="0" i="0" u="none" strike="noStrike" baseline="0">
                    <a:effectLst/>
                  </a:rPr>
                  <a:t>the</a:t>
                </a:r>
                <a:r>
                  <a:rPr lang="en-US" sz="800" b="0" i="0" u="none" strike="noStrike" kern="1200" baseline="0">
                    <a:solidFill>
                      <a:sysClr val="windowText" lastClr="000000"/>
                    </a:solidFill>
                    <a:effectLst/>
                    <a:latin typeface="+mn-lt"/>
                    <a:ea typeface="+mn-ea"/>
                    <a:cs typeface="+mn-cs"/>
                  </a:rPr>
                  <a:t> </a:t>
                </a:r>
                <a:r>
                  <a:rPr lang="en-US" sz="800" b="0" i="0" u="none" strike="noStrike" baseline="0">
                    <a:effectLst/>
                  </a:rPr>
                  <a:t>Bank</a:t>
                </a:r>
                <a:r>
                  <a:rPr lang="en-US" sz="800" b="0" i="0" u="none" strike="noStrike" kern="1200" baseline="0">
                    <a:solidFill>
                      <a:sysClr val="windowText" lastClr="000000"/>
                    </a:solidFill>
                    <a:effectLst/>
                    <a:latin typeface="+mn-lt"/>
                    <a:ea typeface="+mn-ea"/>
                    <a:cs typeface="+mn-cs"/>
                  </a:rPr>
                  <a:t> </a:t>
                </a:r>
                <a:endParaRPr lang="en-US" sz="800" b="0"/>
              </a:p>
            </c:rich>
          </c:tx>
          <c:overlay val="0"/>
        </c:title>
        <c:numFmt formatCode="0%" sourceLinked="0"/>
        <c:majorTickMark val="out"/>
        <c:minorTickMark val="none"/>
        <c:tickLblPos val="nextTo"/>
        <c:spPr>
          <a:ln w="6350"/>
        </c:spPr>
        <c:txPr>
          <a:bodyPr/>
          <a:lstStyle/>
          <a:p>
            <a:pPr>
              <a:defRPr sz="500"/>
            </a:pPr>
            <a:endParaRPr lang="en-US"/>
          </a:p>
        </c:txPr>
        <c:crossAx val="2072839832"/>
        <c:crosses val="autoZero"/>
        <c:crossBetween val="midCat"/>
        <c:majorUnit val="0.1"/>
      </c:valAx>
      <c:spPr>
        <a:ln w="6350">
          <a:solidFill>
            <a:schemeClr val="bg1">
              <a:lumMod val="50000"/>
            </a:schemeClr>
          </a:solidFill>
        </a:ln>
      </c:spPr>
    </c:plotArea>
    <c:legend>
      <c:legendPos val="b"/>
      <c:legendEntry>
        <c:idx val="2"/>
        <c:delete val="1"/>
      </c:legendEntry>
      <c:legendEntry>
        <c:idx val="3"/>
        <c:delete val="1"/>
      </c:legendEntry>
      <c:layout>
        <c:manualLayout>
          <c:xMode val="edge"/>
          <c:yMode val="edge"/>
          <c:x val="1.00565313951141E-2"/>
          <c:y val="0.93471131924578199"/>
          <c:w val="0.98994346860488602"/>
          <c:h val="6.1415282934192801E-2"/>
        </c:manualLayout>
      </c:layout>
      <c:overlay val="0"/>
      <c:txPr>
        <a:bodyPr/>
        <a:lstStyle/>
        <a:p>
          <a:pPr>
            <a:defRPr sz="800"/>
          </a:pPr>
          <a:endParaRPr lang="en-US"/>
        </a:p>
      </c:txPr>
    </c:legend>
    <c:plotVisOnly val="1"/>
    <c:dispBlanksAs val="gap"/>
    <c:showDLblsOverMax val="0"/>
  </c:chart>
  <c:spPr>
    <a:ln w="6350"/>
    <a:effectLst/>
  </c:spPr>
  <c:externalData r:id="rId1">
    <c:autoUpdate val="0"/>
  </c:externalData>
  <c:userShapes r:id="rId2"/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77894226636305"/>
          <c:y val="8.4180938446688003E-2"/>
          <c:w val="0.72024746906636705"/>
          <c:h val="0.78661083324287595"/>
        </c:manualLayout>
      </c:layout>
      <c:scatterChart>
        <c:scatterStyle val="smoothMarker"/>
        <c:varyColors val="0"/>
        <c:ser>
          <c:idx val="0"/>
          <c:order val="0"/>
          <c:tx>
            <c:strRef>
              <c:f>T0!$AX$1</c:f>
              <c:strCache>
                <c:ptCount val="1"/>
                <c:pt idx="0">
                  <c:v>Fund if DW not detected</c:v>
                </c:pt>
              </c:strCache>
            </c:strRef>
          </c:tx>
          <c:spPr>
            <a:ln w="6350">
              <a:solidFill>
                <a:srgbClr val="00B0F0"/>
              </a:solidFill>
            </a:ln>
            <a:effectLst/>
          </c:spPr>
          <c:marker>
            <c:symbol val="square"/>
            <c:size val="2"/>
            <c:spPr>
              <a:solidFill>
                <a:srgbClr val="00B0F0"/>
              </a:solidFill>
              <a:ln w="6350">
                <a:noFill/>
              </a:ln>
              <a:effectLst/>
            </c:spPr>
          </c:marker>
          <c:xVal>
            <c:numRef>
              <c:f>T0!$AU$2:$AU$26</c:f>
              <c:numCache>
                <c:formatCode>General</c:formatCode>
                <c:ptCount val="2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</c:numCache>
            </c:numRef>
          </c:xVal>
          <c:yVal>
            <c:numRef>
              <c:f>'T1'!$AO$102:$AO$126</c:f>
              <c:numCache>
                <c:formatCode>0.0%</c:formatCode>
                <c:ptCount val="25"/>
                <c:pt idx="0">
                  <c:v>0.66666666666666696</c:v>
                </c:pt>
                <c:pt idx="1">
                  <c:v>0.83333333333333304</c:v>
                </c:pt>
                <c:pt idx="2">
                  <c:v>0.83333333333333304</c:v>
                </c:pt>
                <c:pt idx="3">
                  <c:v>0.83333333333333304</c:v>
                </c:pt>
                <c:pt idx="4">
                  <c:v>0.66666666666666696</c:v>
                </c:pt>
                <c:pt idx="5">
                  <c:v>0.66666666666666696</c:v>
                </c:pt>
                <c:pt idx="6">
                  <c:v>1</c:v>
                </c:pt>
                <c:pt idx="7">
                  <c:v>1</c:v>
                </c:pt>
                <c:pt idx="8">
                  <c:v>0.83333333333333304</c:v>
                </c:pt>
                <c:pt idx="9">
                  <c:v>0.5</c:v>
                </c:pt>
                <c:pt idx="10">
                  <c:v>0.5</c:v>
                </c:pt>
                <c:pt idx="11">
                  <c:v>0.5</c:v>
                </c:pt>
                <c:pt idx="12">
                  <c:v>0.5</c:v>
                </c:pt>
                <c:pt idx="13">
                  <c:v>0.66666666666666696</c:v>
                </c:pt>
                <c:pt idx="14">
                  <c:v>0.66666666666666696</c:v>
                </c:pt>
                <c:pt idx="15">
                  <c:v>0.66666666666666696</c:v>
                </c:pt>
                <c:pt idx="16">
                  <c:v>1</c:v>
                </c:pt>
                <c:pt idx="17">
                  <c:v>1</c:v>
                </c:pt>
                <c:pt idx="18">
                  <c:v>0.83333333333333304</c:v>
                </c:pt>
                <c:pt idx="19">
                  <c:v>0.83333333333333304</c:v>
                </c:pt>
                <c:pt idx="20">
                  <c:v>1</c:v>
                </c:pt>
                <c:pt idx="21">
                  <c:v>0.83333333333333304</c:v>
                </c:pt>
                <c:pt idx="22">
                  <c:v>0.83333333333333304</c:v>
                </c:pt>
                <c:pt idx="23">
                  <c:v>0.66666666666666696</c:v>
                </c:pt>
                <c:pt idx="24">
                  <c:v>0.66666666666666696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5FEF-4946-9A41-107641F588CA}"/>
            </c:ext>
          </c:extLst>
        </c:ser>
        <c:ser>
          <c:idx val="1"/>
          <c:order val="1"/>
          <c:tx>
            <c:strRef>
              <c:f>T0!$AY$1</c:f>
              <c:strCache>
                <c:ptCount val="1"/>
                <c:pt idx="0">
                  <c:v>Fund if DW detected</c:v>
                </c:pt>
              </c:strCache>
            </c:strRef>
          </c:tx>
          <c:spPr>
            <a:ln w="6350" cmpd="sng">
              <a:solidFill>
                <a:srgbClr val="002060"/>
              </a:solidFill>
            </a:ln>
            <a:effectLst/>
          </c:spPr>
          <c:marker>
            <c:symbol val="square"/>
            <c:size val="2"/>
            <c:spPr>
              <a:solidFill>
                <a:schemeClr val="bg1"/>
              </a:solidFill>
              <a:ln w="3175">
                <a:solidFill>
                  <a:srgbClr val="002060"/>
                </a:solidFill>
              </a:ln>
              <a:effectLst/>
            </c:spPr>
          </c:marker>
          <c:xVal>
            <c:numRef>
              <c:f>T0!$AU$2:$AU$26</c:f>
              <c:numCache>
                <c:formatCode>General</c:formatCode>
                <c:ptCount val="2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</c:numCache>
            </c:numRef>
          </c:xVal>
          <c:yVal>
            <c:numRef>
              <c:f>'T1'!$AP$102:$AP$126</c:f>
              <c:numCache>
                <c:formatCode>0.0%</c:formatCode>
                <c:ptCount val="25"/>
                <c:pt idx="0">
                  <c:v>0.66666666666666696</c:v>
                </c:pt>
                <c:pt idx="1">
                  <c:v>1</c:v>
                </c:pt>
                <c:pt idx="2">
                  <c:v>1</c:v>
                </c:pt>
                <c:pt idx="3">
                  <c:v>0.83333333333333304</c:v>
                </c:pt>
                <c:pt idx="4">
                  <c:v>0.83333333333333304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0.83333333333333304</c:v>
                </c:pt>
                <c:pt idx="9">
                  <c:v>0.83333333333333304</c:v>
                </c:pt>
                <c:pt idx="10">
                  <c:v>0.66666666666666696</c:v>
                </c:pt>
                <c:pt idx="11">
                  <c:v>0.66666666666666696</c:v>
                </c:pt>
                <c:pt idx="12">
                  <c:v>0.66666666666666696</c:v>
                </c:pt>
                <c:pt idx="13">
                  <c:v>0.83333333333333304</c:v>
                </c:pt>
                <c:pt idx="14">
                  <c:v>0.83333333333333304</c:v>
                </c:pt>
                <c:pt idx="15">
                  <c:v>0.66666666666666696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0.83333333333333304</c:v>
                </c:pt>
                <c:pt idx="23">
                  <c:v>0.83333333333333304</c:v>
                </c:pt>
                <c:pt idx="24">
                  <c:v>0.66666666666666696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5FEF-4946-9A41-107641F588C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-2097063912"/>
        <c:axId val="-2097072120"/>
      </c:scatterChart>
      <c:valAx>
        <c:axId val="-2097063912"/>
        <c:scaling>
          <c:orientation val="minMax"/>
          <c:max val="25"/>
          <c:min val="1"/>
        </c:scaling>
        <c:delete val="0"/>
        <c:axPos val="b"/>
        <c:title>
          <c:tx>
            <c:rich>
              <a:bodyPr/>
              <a:lstStyle/>
              <a:p>
                <a:pPr>
                  <a:defRPr sz="500" b="0"/>
                </a:pPr>
                <a:r>
                  <a:rPr lang="en-US" sz="5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rPr>
                  <a:t> </a:t>
                </a:r>
                <a:r>
                  <a:rPr lang="en-US" sz="500" b="0"/>
                  <a:t>Round</a:t>
                </a:r>
              </a:p>
            </c:rich>
          </c:tx>
          <c:layout>
            <c:manualLayout>
              <c:xMode val="edge"/>
              <c:yMode val="edge"/>
              <c:x val="0.40041885008276401"/>
              <c:y val="0.90604453870625601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6350"/>
        </c:spPr>
        <c:txPr>
          <a:bodyPr/>
          <a:lstStyle/>
          <a:p>
            <a:pPr>
              <a:defRPr sz="500"/>
            </a:pPr>
            <a:endParaRPr lang="en-US"/>
          </a:p>
        </c:txPr>
        <c:crossAx val="-2097072120"/>
        <c:crosses val="autoZero"/>
        <c:crossBetween val="midCat"/>
        <c:majorUnit val="24"/>
      </c:valAx>
      <c:valAx>
        <c:axId val="-2097072120"/>
        <c:scaling>
          <c:orientation val="minMax"/>
          <c:max val="1"/>
        </c:scaling>
        <c:delete val="0"/>
        <c:axPos val="l"/>
        <c:majorGridlines>
          <c:spPr>
            <a:ln w="6350"/>
          </c:spPr>
        </c:majorGridlines>
        <c:title>
          <c:tx>
            <c:rich>
              <a:bodyPr rot="-5400000" vert="horz"/>
              <a:lstStyle/>
              <a:p>
                <a:pPr>
                  <a:defRPr sz="500" b="0"/>
                </a:pPr>
                <a:r>
                  <a:rPr lang="en-US" sz="500" b="0" i="0" u="none" strike="noStrike" baseline="0">
                    <a:effectLst/>
                  </a:rPr>
                  <a:t>Borrow</a:t>
                </a:r>
                <a:r>
                  <a:rPr lang="en-US" sz="500" b="0" i="0" u="none" strike="noStrike" kern="1200" baseline="0">
                    <a:solidFill>
                      <a:sysClr val="windowText" lastClr="000000"/>
                    </a:solidFill>
                    <a:effectLst/>
                    <a:latin typeface="+mn-lt"/>
                    <a:ea typeface="+mn-ea"/>
                    <a:cs typeface="+mn-cs"/>
                  </a:rPr>
                  <a:t> </a:t>
                </a:r>
                <a:r>
                  <a:rPr lang="en-US" sz="500" b="0" i="0" u="none" strike="noStrike" baseline="0">
                    <a:effectLst/>
                  </a:rPr>
                  <a:t>at</a:t>
                </a:r>
                <a:r>
                  <a:rPr lang="en-US" sz="500" b="0" i="0" u="none" strike="noStrike" kern="1200" baseline="0">
                    <a:solidFill>
                      <a:sysClr val="windowText" lastClr="000000"/>
                    </a:solidFill>
                    <a:effectLst/>
                    <a:latin typeface="+mn-lt"/>
                    <a:ea typeface="+mn-ea"/>
                    <a:cs typeface="+mn-cs"/>
                  </a:rPr>
                  <a:t> </a:t>
                </a:r>
                <a:r>
                  <a:rPr lang="en-US" sz="500" b="0" i="0" u="none" strike="noStrike" baseline="0">
                    <a:effectLst/>
                  </a:rPr>
                  <a:t>DW</a:t>
                </a:r>
                <a:endParaRPr lang="en-US" sz="500" b="0"/>
              </a:p>
            </c:rich>
          </c:tx>
          <c:layout>
            <c:manualLayout>
              <c:xMode val="edge"/>
              <c:yMode val="edge"/>
              <c:x val="0"/>
              <c:y val="0.28127771144195501"/>
            </c:manualLayout>
          </c:layout>
          <c:overlay val="0"/>
        </c:title>
        <c:numFmt formatCode="0%" sourceLinked="0"/>
        <c:majorTickMark val="out"/>
        <c:minorTickMark val="none"/>
        <c:tickLblPos val="nextTo"/>
        <c:spPr>
          <a:ln w="6350"/>
        </c:spPr>
        <c:txPr>
          <a:bodyPr/>
          <a:lstStyle/>
          <a:p>
            <a:pPr>
              <a:defRPr sz="400"/>
            </a:pPr>
            <a:endParaRPr lang="en-US"/>
          </a:p>
        </c:txPr>
        <c:crossAx val="-2097063912"/>
        <c:crosses val="autoZero"/>
        <c:crossBetween val="midCat"/>
        <c:majorUnit val="1"/>
      </c:valAx>
      <c:spPr>
        <a:ln w="6350">
          <a:solidFill>
            <a:schemeClr val="bg1">
              <a:lumMod val="50000"/>
            </a:schemeClr>
          </a:solidFill>
        </a:ln>
      </c:spPr>
    </c:plotArea>
    <c:plotVisOnly val="1"/>
    <c:dispBlanksAs val="gap"/>
    <c:showDLblsOverMax val="0"/>
  </c:chart>
  <c:spPr>
    <a:ln w="6350"/>
    <a:effectLst/>
  </c:spPr>
  <c:externalData r:id="rId1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77894226636305"/>
          <c:y val="8.4180938446688003E-2"/>
          <c:w val="0.72024746906636705"/>
          <c:h val="0.78661083324287595"/>
        </c:manualLayout>
      </c:layout>
      <c:scatterChart>
        <c:scatterStyle val="smoothMarker"/>
        <c:varyColors val="0"/>
        <c:ser>
          <c:idx val="0"/>
          <c:order val="0"/>
          <c:tx>
            <c:strRef>
              <c:f>T0!$AX$1</c:f>
              <c:strCache>
                <c:ptCount val="1"/>
                <c:pt idx="0">
                  <c:v>Fund if DW not detected</c:v>
                </c:pt>
              </c:strCache>
            </c:strRef>
          </c:tx>
          <c:spPr>
            <a:ln w="6350">
              <a:solidFill>
                <a:srgbClr val="FF0000"/>
              </a:solidFill>
            </a:ln>
            <a:effectLst/>
          </c:spPr>
          <c:marker>
            <c:symbol val="circle"/>
            <c:size val="2"/>
            <c:spPr>
              <a:solidFill>
                <a:srgbClr val="FF0000"/>
              </a:solidFill>
              <a:ln w="6350">
                <a:solidFill>
                  <a:srgbClr val="FF0000"/>
                </a:solidFill>
              </a:ln>
              <a:effectLst/>
            </c:spPr>
          </c:marker>
          <c:xVal>
            <c:numRef>
              <c:f>T0!$AU$2:$AU$26</c:f>
              <c:numCache>
                <c:formatCode>General</c:formatCode>
                <c:ptCount val="2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</c:numCache>
            </c:numRef>
          </c:xVal>
          <c:yVal>
            <c:numRef>
              <c:f>'T1'!$AQ$127:$AQ$151</c:f>
              <c:numCache>
                <c:formatCode>0.0%</c:formatCode>
                <c:ptCount val="25"/>
                <c:pt idx="0">
                  <c:v>0.83333333333333304</c:v>
                </c:pt>
                <c:pt idx="1">
                  <c:v>0.83333333333333304</c:v>
                </c:pt>
                <c:pt idx="2">
                  <c:v>1</c:v>
                </c:pt>
                <c:pt idx="3">
                  <c:v>1</c:v>
                </c:pt>
                <c:pt idx="4">
                  <c:v>0.83333333333333304</c:v>
                </c:pt>
                <c:pt idx="5">
                  <c:v>0.5</c:v>
                </c:pt>
                <c:pt idx="6">
                  <c:v>1</c:v>
                </c:pt>
                <c:pt idx="7">
                  <c:v>0.83333333333333304</c:v>
                </c:pt>
                <c:pt idx="8">
                  <c:v>0.83333333333333304</c:v>
                </c:pt>
                <c:pt idx="9">
                  <c:v>1</c:v>
                </c:pt>
                <c:pt idx="10">
                  <c:v>0.83333333333333304</c:v>
                </c:pt>
                <c:pt idx="11">
                  <c:v>1</c:v>
                </c:pt>
                <c:pt idx="12">
                  <c:v>0.83333333333333304</c:v>
                </c:pt>
                <c:pt idx="13">
                  <c:v>0.83333333333333304</c:v>
                </c:pt>
                <c:pt idx="14">
                  <c:v>0.83333333333333304</c:v>
                </c:pt>
                <c:pt idx="15">
                  <c:v>0.83333333333333304</c:v>
                </c:pt>
                <c:pt idx="16">
                  <c:v>0.83333333333333304</c:v>
                </c:pt>
                <c:pt idx="17">
                  <c:v>0.66666666666666696</c:v>
                </c:pt>
                <c:pt idx="18">
                  <c:v>0.83333333333333304</c:v>
                </c:pt>
                <c:pt idx="19">
                  <c:v>0.66666666666666696</c:v>
                </c:pt>
                <c:pt idx="20">
                  <c:v>0.66666666666666696</c:v>
                </c:pt>
                <c:pt idx="21">
                  <c:v>1</c:v>
                </c:pt>
                <c:pt idx="22">
                  <c:v>0.66666666666666696</c:v>
                </c:pt>
                <c:pt idx="23">
                  <c:v>0.83333333333333304</c:v>
                </c:pt>
                <c:pt idx="24">
                  <c:v>0.66666666666666696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16E6-714D-95F3-27CFD0845E31}"/>
            </c:ext>
          </c:extLst>
        </c:ser>
        <c:ser>
          <c:idx val="1"/>
          <c:order val="1"/>
          <c:tx>
            <c:strRef>
              <c:f>T0!$AY$1</c:f>
              <c:strCache>
                <c:ptCount val="1"/>
                <c:pt idx="0">
                  <c:v>Fund if DW detected</c:v>
                </c:pt>
              </c:strCache>
            </c:strRef>
          </c:tx>
          <c:spPr>
            <a:ln w="6350" cmpd="sng">
              <a:solidFill>
                <a:srgbClr val="FF9300"/>
              </a:solidFill>
            </a:ln>
            <a:effectLst/>
          </c:spPr>
          <c:marker>
            <c:symbol val="circle"/>
            <c:size val="2"/>
            <c:spPr>
              <a:solidFill>
                <a:schemeClr val="bg1"/>
              </a:solidFill>
              <a:ln w="6350">
                <a:solidFill>
                  <a:srgbClr val="FF9300"/>
                </a:solidFill>
              </a:ln>
              <a:effectLst/>
            </c:spPr>
          </c:marker>
          <c:xVal>
            <c:numRef>
              <c:f>T0!$AU$2:$AU$26</c:f>
              <c:numCache>
                <c:formatCode>General</c:formatCode>
                <c:ptCount val="2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</c:numCache>
            </c:numRef>
          </c:xVal>
          <c:yVal>
            <c:numRef>
              <c:f>'T1'!$AR$127:$AR$151</c:f>
              <c:numCache>
                <c:formatCode>0.0%</c:formatCode>
                <c:ptCount val="25"/>
                <c:pt idx="0">
                  <c:v>0.33333333333333298</c:v>
                </c:pt>
                <c:pt idx="1">
                  <c:v>0.16666666666666699</c:v>
                </c:pt>
                <c:pt idx="2">
                  <c:v>0.33333333333333298</c:v>
                </c:pt>
                <c:pt idx="3">
                  <c:v>0.16666666666666699</c:v>
                </c:pt>
                <c:pt idx="4">
                  <c:v>0.16666666666666699</c:v>
                </c:pt>
                <c:pt idx="5">
                  <c:v>0</c:v>
                </c:pt>
                <c:pt idx="6">
                  <c:v>0.16666666666666699</c:v>
                </c:pt>
                <c:pt idx="7">
                  <c:v>0.16666666666666699</c:v>
                </c:pt>
                <c:pt idx="8">
                  <c:v>0.16666666666666699</c:v>
                </c:pt>
                <c:pt idx="9">
                  <c:v>0.16666666666666699</c:v>
                </c:pt>
                <c:pt idx="10">
                  <c:v>0.16666666666666699</c:v>
                </c:pt>
                <c:pt idx="11">
                  <c:v>0.33333333333333298</c:v>
                </c:pt>
                <c:pt idx="12">
                  <c:v>0.33333333333333298</c:v>
                </c:pt>
                <c:pt idx="13">
                  <c:v>0.16666666666666699</c:v>
                </c:pt>
                <c:pt idx="14">
                  <c:v>0.16666666666666699</c:v>
                </c:pt>
                <c:pt idx="15">
                  <c:v>0.16666666666666699</c:v>
                </c:pt>
                <c:pt idx="16">
                  <c:v>0.16666666666666699</c:v>
                </c:pt>
                <c:pt idx="17">
                  <c:v>0.16666666666666699</c:v>
                </c:pt>
                <c:pt idx="18">
                  <c:v>0.16666666666666699</c:v>
                </c:pt>
                <c:pt idx="19">
                  <c:v>0.16666666666666699</c:v>
                </c:pt>
                <c:pt idx="20">
                  <c:v>0</c:v>
                </c:pt>
                <c:pt idx="21">
                  <c:v>0</c:v>
                </c:pt>
                <c:pt idx="22">
                  <c:v>0.16666666666666699</c:v>
                </c:pt>
                <c:pt idx="23">
                  <c:v>0.16666666666666699</c:v>
                </c:pt>
                <c:pt idx="24">
                  <c:v>0.16666666666666699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16E6-714D-95F3-27CFD0845E3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114112872"/>
        <c:axId val="2078535320"/>
      </c:scatterChart>
      <c:valAx>
        <c:axId val="2114112872"/>
        <c:scaling>
          <c:orientation val="minMax"/>
          <c:max val="25"/>
          <c:min val="1"/>
        </c:scaling>
        <c:delete val="0"/>
        <c:axPos val="b"/>
        <c:title>
          <c:tx>
            <c:rich>
              <a:bodyPr/>
              <a:lstStyle/>
              <a:p>
                <a:pPr>
                  <a:defRPr sz="500" b="0"/>
                </a:pPr>
                <a:r>
                  <a:rPr lang="en-US" sz="5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rPr>
                  <a:t> </a:t>
                </a:r>
                <a:r>
                  <a:rPr lang="en-US" sz="500" b="0"/>
                  <a:t>Round</a:t>
                </a:r>
              </a:p>
            </c:rich>
          </c:tx>
          <c:layout>
            <c:manualLayout>
              <c:xMode val="edge"/>
              <c:yMode val="edge"/>
              <c:x val="0.40041885008276401"/>
              <c:y val="0.90604453870625601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6350"/>
        </c:spPr>
        <c:txPr>
          <a:bodyPr/>
          <a:lstStyle/>
          <a:p>
            <a:pPr>
              <a:defRPr sz="500"/>
            </a:pPr>
            <a:endParaRPr lang="en-US"/>
          </a:p>
        </c:txPr>
        <c:crossAx val="2078535320"/>
        <c:crosses val="autoZero"/>
        <c:crossBetween val="midCat"/>
        <c:majorUnit val="24"/>
      </c:valAx>
      <c:valAx>
        <c:axId val="2078535320"/>
        <c:scaling>
          <c:orientation val="minMax"/>
          <c:max val="1"/>
        </c:scaling>
        <c:delete val="0"/>
        <c:axPos val="l"/>
        <c:majorGridlines>
          <c:spPr>
            <a:ln w="6350"/>
          </c:spPr>
        </c:majorGridlines>
        <c:title>
          <c:tx>
            <c:rich>
              <a:bodyPr rot="-5400000" vert="horz"/>
              <a:lstStyle/>
              <a:p>
                <a:pPr>
                  <a:defRPr sz="500" b="0"/>
                </a:pPr>
                <a:r>
                  <a:rPr lang="en-US" sz="500" b="0" i="0" u="none" strike="noStrike" baseline="0">
                    <a:effectLst/>
                  </a:rPr>
                  <a:t>Fund</a:t>
                </a:r>
                <a:r>
                  <a:rPr lang="en-US" sz="500" b="0" i="0" u="none" strike="noStrike" kern="1200" baseline="0">
                    <a:solidFill>
                      <a:sysClr val="windowText" lastClr="000000"/>
                    </a:solidFill>
                    <a:effectLst/>
                    <a:latin typeface="+mn-lt"/>
                    <a:ea typeface="+mn-ea"/>
                    <a:cs typeface="+mn-cs"/>
                  </a:rPr>
                  <a:t> </a:t>
                </a:r>
                <a:r>
                  <a:rPr lang="en-US" sz="500" b="0" i="0" u="none" strike="noStrike" baseline="0">
                    <a:effectLst/>
                  </a:rPr>
                  <a:t>the</a:t>
                </a:r>
                <a:r>
                  <a:rPr lang="en-US" sz="500" b="0" i="0" u="none" strike="noStrike" kern="1200" baseline="0">
                    <a:solidFill>
                      <a:sysClr val="windowText" lastClr="000000"/>
                    </a:solidFill>
                    <a:effectLst/>
                    <a:latin typeface="+mn-lt"/>
                    <a:ea typeface="+mn-ea"/>
                    <a:cs typeface="+mn-cs"/>
                  </a:rPr>
                  <a:t> </a:t>
                </a:r>
                <a:r>
                  <a:rPr lang="en-US" sz="500" b="0" i="0" u="none" strike="noStrike" baseline="0">
                    <a:effectLst/>
                  </a:rPr>
                  <a:t>Bank</a:t>
                </a:r>
                <a:r>
                  <a:rPr lang="en-US" sz="500" b="0" i="0" u="none" strike="noStrike" kern="1200" baseline="0">
                    <a:solidFill>
                      <a:sysClr val="windowText" lastClr="000000"/>
                    </a:solidFill>
                    <a:effectLst/>
                    <a:latin typeface="+mn-lt"/>
                    <a:ea typeface="+mn-ea"/>
                    <a:cs typeface="+mn-cs"/>
                  </a:rPr>
                  <a:t> </a:t>
                </a:r>
                <a:endParaRPr lang="en-US" sz="500" b="0"/>
              </a:p>
            </c:rich>
          </c:tx>
          <c:layout>
            <c:manualLayout>
              <c:xMode val="edge"/>
              <c:yMode val="edge"/>
              <c:x val="0"/>
              <c:y val="0.28127771144195501"/>
            </c:manualLayout>
          </c:layout>
          <c:overlay val="0"/>
        </c:title>
        <c:numFmt formatCode="0%" sourceLinked="0"/>
        <c:majorTickMark val="out"/>
        <c:minorTickMark val="none"/>
        <c:tickLblPos val="nextTo"/>
        <c:spPr>
          <a:ln w="6350"/>
        </c:spPr>
        <c:txPr>
          <a:bodyPr/>
          <a:lstStyle/>
          <a:p>
            <a:pPr>
              <a:defRPr sz="400"/>
            </a:pPr>
            <a:endParaRPr lang="en-US"/>
          </a:p>
        </c:txPr>
        <c:crossAx val="2114112872"/>
        <c:crosses val="autoZero"/>
        <c:crossBetween val="midCat"/>
        <c:majorUnit val="1"/>
      </c:valAx>
      <c:spPr>
        <a:ln w="6350">
          <a:solidFill>
            <a:schemeClr val="bg1">
              <a:lumMod val="50000"/>
            </a:schemeClr>
          </a:solidFill>
        </a:ln>
      </c:spPr>
    </c:plotArea>
    <c:plotVisOnly val="1"/>
    <c:dispBlanksAs val="gap"/>
    <c:showDLblsOverMax val="0"/>
  </c:chart>
  <c:spPr>
    <a:ln w="6350"/>
    <a:effectLst/>
  </c:spPr>
  <c:externalData r:id="rId1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77894226636305"/>
          <c:y val="8.4180938446688003E-2"/>
          <c:w val="0.72024746906636705"/>
          <c:h val="0.78661083324287595"/>
        </c:manualLayout>
      </c:layout>
      <c:scatterChart>
        <c:scatterStyle val="smoothMarker"/>
        <c:varyColors val="0"/>
        <c:ser>
          <c:idx val="0"/>
          <c:order val="0"/>
          <c:tx>
            <c:strRef>
              <c:f>T0!$AX$1</c:f>
              <c:strCache>
                <c:ptCount val="1"/>
                <c:pt idx="0">
                  <c:v>Fund if DW not detected</c:v>
                </c:pt>
              </c:strCache>
            </c:strRef>
          </c:tx>
          <c:spPr>
            <a:ln w="6350">
              <a:solidFill>
                <a:srgbClr val="00B0F0"/>
              </a:solidFill>
            </a:ln>
            <a:effectLst/>
          </c:spPr>
          <c:marker>
            <c:symbol val="square"/>
            <c:size val="2"/>
            <c:spPr>
              <a:solidFill>
                <a:srgbClr val="00B0F0"/>
              </a:solidFill>
              <a:ln w="6350">
                <a:noFill/>
              </a:ln>
              <a:effectLst/>
            </c:spPr>
          </c:marker>
          <c:xVal>
            <c:numRef>
              <c:f>T0!$AU$2:$AU$26</c:f>
              <c:numCache>
                <c:formatCode>General</c:formatCode>
                <c:ptCount val="2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</c:numCache>
            </c:numRef>
          </c:xVal>
          <c:yVal>
            <c:numRef>
              <c:f>'T1'!$AO$127:$AO$151</c:f>
              <c:numCache>
                <c:formatCode>0.0%</c:formatCode>
                <c:ptCount val="25"/>
                <c:pt idx="0">
                  <c:v>0.66666666666666696</c:v>
                </c:pt>
                <c:pt idx="1">
                  <c:v>0.5</c:v>
                </c:pt>
                <c:pt idx="2">
                  <c:v>0.66666666666666696</c:v>
                </c:pt>
                <c:pt idx="3">
                  <c:v>0.66666666666666696</c:v>
                </c:pt>
                <c:pt idx="4">
                  <c:v>0.5</c:v>
                </c:pt>
                <c:pt idx="5">
                  <c:v>0.66666666666666696</c:v>
                </c:pt>
                <c:pt idx="6">
                  <c:v>0.33333333333333298</c:v>
                </c:pt>
                <c:pt idx="7">
                  <c:v>0.66666666666666696</c:v>
                </c:pt>
                <c:pt idx="8">
                  <c:v>0.5</c:v>
                </c:pt>
                <c:pt idx="9">
                  <c:v>0</c:v>
                </c:pt>
                <c:pt idx="10">
                  <c:v>0.33333333333333298</c:v>
                </c:pt>
                <c:pt idx="11">
                  <c:v>0.16666666666666699</c:v>
                </c:pt>
                <c:pt idx="12">
                  <c:v>0.16666666666666699</c:v>
                </c:pt>
                <c:pt idx="13">
                  <c:v>0.33333333333333298</c:v>
                </c:pt>
                <c:pt idx="14">
                  <c:v>0.33333333333333298</c:v>
                </c:pt>
                <c:pt idx="15">
                  <c:v>0.33333333333333298</c:v>
                </c:pt>
                <c:pt idx="16">
                  <c:v>0.33333333333333298</c:v>
                </c:pt>
                <c:pt idx="17">
                  <c:v>0.16666666666666699</c:v>
                </c:pt>
                <c:pt idx="18">
                  <c:v>0.16666666666666699</c:v>
                </c:pt>
                <c:pt idx="19">
                  <c:v>0.33333333333333298</c:v>
                </c:pt>
                <c:pt idx="20">
                  <c:v>0.16666666666666699</c:v>
                </c:pt>
                <c:pt idx="21">
                  <c:v>0.33333333333333298</c:v>
                </c:pt>
                <c:pt idx="22">
                  <c:v>0</c:v>
                </c:pt>
                <c:pt idx="23">
                  <c:v>0</c:v>
                </c:pt>
                <c:pt idx="24">
                  <c:v>0.33333333333333298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BC33-1049-9926-F5DFEA3E7B0C}"/>
            </c:ext>
          </c:extLst>
        </c:ser>
        <c:ser>
          <c:idx val="1"/>
          <c:order val="1"/>
          <c:tx>
            <c:strRef>
              <c:f>T0!$AY$1</c:f>
              <c:strCache>
                <c:ptCount val="1"/>
                <c:pt idx="0">
                  <c:v>Fund if DW detected</c:v>
                </c:pt>
              </c:strCache>
            </c:strRef>
          </c:tx>
          <c:spPr>
            <a:ln w="6350" cmpd="sng">
              <a:solidFill>
                <a:srgbClr val="002060"/>
              </a:solidFill>
            </a:ln>
            <a:effectLst/>
          </c:spPr>
          <c:marker>
            <c:symbol val="square"/>
            <c:size val="2"/>
            <c:spPr>
              <a:solidFill>
                <a:schemeClr val="bg1"/>
              </a:solidFill>
              <a:ln w="3175">
                <a:solidFill>
                  <a:srgbClr val="002060"/>
                </a:solidFill>
              </a:ln>
              <a:effectLst/>
            </c:spPr>
          </c:marker>
          <c:xVal>
            <c:numRef>
              <c:f>T0!$AU$2:$AU$26</c:f>
              <c:numCache>
                <c:formatCode>General</c:formatCode>
                <c:ptCount val="2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</c:numCache>
            </c:numRef>
          </c:xVal>
          <c:yVal>
            <c:numRef>
              <c:f>'T1'!$AP$127:$AP$151</c:f>
              <c:numCache>
                <c:formatCode>0.0%</c:formatCode>
                <c:ptCount val="25"/>
                <c:pt idx="0">
                  <c:v>0.66666666666666696</c:v>
                </c:pt>
                <c:pt idx="1">
                  <c:v>0.33333333333333298</c:v>
                </c:pt>
                <c:pt idx="2">
                  <c:v>0.33333333333333298</c:v>
                </c:pt>
                <c:pt idx="3">
                  <c:v>0.66666666666666696</c:v>
                </c:pt>
                <c:pt idx="4">
                  <c:v>0.33333333333333298</c:v>
                </c:pt>
                <c:pt idx="5">
                  <c:v>0.5</c:v>
                </c:pt>
                <c:pt idx="6">
                  <c:v>0.5</c:v>
                </c:pt>
                <c:pt idx="7">
                  <c:v>0.33333333333333298</c:v>
                </c:pt>
                <c:pt idx="8">
                  <c:v>0.16666666666666699</c:v>
                </c:pt>
                <c:pt idx="9">
                  <c:v>0.33333333333333298</c:v>
                </c:pt>
                <c:pt idx="10">
                  <c:v>0.33333333333333298</c:v>
                </c:pt>
                <c:pt idx="11">
                  <c:v>0</c:v>
                </c:pt>
                <c:pt idx="12">
                  <c:v>0.16666666666666699</c:v>
                </c:pt>
                <c:pt idx="13">
                  <c:v>0.33333333333333298</c:v>
                </c:pt>
                <c:pt idx="14">
                  <c:v>0.33333333333333298</c:v>
                </c:pt>
                <c:pt idx="15">
                  <c:v>0.16666666666666699</c:v>
                </c:pt>
                <c:pt idx="16">
                  <c:v>0.16666666666666699</c:v>
                </c:pt>
                <c:pt idx="17">
                  <c:v>0.5</c:v>
                </c:pt>
                <c:pt idx="18">
                  <c:v>0.16666666666666699</c:v>
                </c:pt>
                <c:pt idx="19">
                  <c:v>0.33333333333333298</c:v>
                </c:pt>
                <c:pt idx="20">
                  <c:v>0</c:v>
                </c:pt>
                <c:pt idx="21">
                  <c:v>0.33333333333333298</c:v>
                </c:pt>
                <c:pt idx="22">
                  <c:v>0.66666666666666696</c:v>
                </c:pt>
                <c:pt idx="23">
                  <c:v>0.16666666666666699</c:v>
                </c:pt>
                <c:pt idx="24">
                  <c:v>0.33333333333333298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BC33-1049-9926-F5DFEA3E7B0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114649448"/>
        <c:axId val="2114634200"/>
      </c:scatterChart>
      <c:valAx>
        <c:axId val="2114649448"/>
        <c:scaling>
          <c:orientation val="minMax"/>
          <c:max val="25"/>
          <c:min val="1"/>
        </c:scaling>
        <c:delete val="0"/>
        <c:axPos val="b"/>
        <c:title>
          <c:tx>
            <c:rich>
              <a:bodyPr/>
              <a:lstStyle/>
              <a:p>
                <a:pPr>
                  <a:defRPr sz="500" b="0"/>
                </a:pPr>
                <a:r>
                  <a:rPr lang="en-US" sz="5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rPr>
                  <a:t> </a:t>
                </a:r>
                <a:r>
                  <a:rPr lang="en-US" sz="500" b="0"/>
                  <a:t>Round</a:t>
                </a:r>
              </a:p>
            </c:rich>
          </c:tx>
          <c:layout>
            <c:manualLayout>
              <c:xMode val="edge"/>
              <c:yMode val="edge"/>
              <c:x val="0.40041885008276401"/>
              <c:y val="0.90604453870625601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6350"/>
        </c:spPr>
        <c:txPr>
          <a:bodyPr/>
          <a:lstStyle/>
          <a:p>
            <a:pPr>
              <a:defRPr sz="500"/>
            </a:pPr>
            <a:endParaRPr lang="en-US"/>
          </a:p>
        </c:txPr>
        <c:crossAx val="2114634200"/>
        <c:crosses val="autoZero"/>
        <c:crossBetween val="midCat"/>
        <c:majorUnit val="24"/>
      </c:valAx>
      <c:valAx>
        <c:axId val="2114634200"/>
        <c:scaling>
          <c:orientation val="minMax"/>
          <c:max val="1"/>
        </c:scaling>
        <c:delete val="0"/>
        <c:axPos val="l"/>
        <c:majorGridlines>
          <c:spPr>
            <a:ln w="6350"/>
          </c:spPr>
        </c:majorGridlines>
        <c:title>
          <c:tx>
            <c:rich>
              <a:bodyPr rot="-5400000" vert="horz"/>
              <a:lstStyle/>
              <a:p>
                <a:pPr>
                  <a:defRPr sz="500" b="0"/>
                </a:pPr>
                <a:r>
                  <a:rPr lang="en-US" sz="500" b="0" i="0" u="none" strike="noStrike" baseline="0">
                    <a:effectLst/>
                  </a:rPr>
                  <a:t>Borrow</a:t>
                </a:r>
                <a:r>
                  <a:rPr lang="en-US" sz="500" b="0" i="0" u="none" strike="noStrike" kern="1200" baseline="0">
                    <a:solidFill>
                      <a:sysClr val="windowText" lastClr="000000"/>
                    </a:solidFill>
                    <a:effectLst/>
                    <a:latin typeface="+mn-lt"/>
                    <a:ea typeface="+mn-ea"/>
                    <a:cs typeface="+mn-cs"/>
                  </a:rPr>
                  <a:t> </a:t>
                </a:r>
                <a:r>
                  <a:rPr lang="en-US" sz="500" b="0" i="0" u="none" strike="noStrike" baseline="0">
                    <a:effectLst/>
                  </a:rPr>
                  <a:t>at</a:t>
                </a:r>
                <a:r>
                  <a:rPr lang="en-US" sz="500" b="0" i="0" u="none" strike="noStrike" kern="1200" baseline="0">
                    <a:solidFill>
                      <a:sysClr val="windowText" lastClr="000000"/>
                    </a:solidFill>
                    <a:effectLst/>
                    <a:latin typeface="+mn-lt"/>
                    <a:ea typeface="+mn-ea"/>
                    <a:cs typeface="+mn-cs"/>
                  </a:rPr>
                  <a:t> </a:t>
                </a:r>
                <a:r>
                  <a:rPr lang="en-US" sz="500" b="0" i="0" u="none" strike="noStrike" baseline="0">
                    <a:effectLst/>
                  </a:rPr>
                  <a:t>DW</a:t>
                </a:r>
                <a:endParaRPr lang="en-US" sz="500" b="0"/>
              </a:p>
            </c:rich>
          </c:tx>
          <c:layout>
            <c:manualLayout>
              <c:xMode val="edge"/>
              <c:yMode val="edge"/>
              <c:x val="0"/>
              <c:y val="0.28127771144195501"/>
            </c:manualLayout>
          </c:layout>
          <c:overlay val="0"/>
        </c:title>
        <c:numFmt formatCode="0%" sourceLinked="0"/>
        <c:majorTickMark val="out"/>
        <c:minorTickMark val="none"/>
        <c:tickLblPos val="nextTo"/>
        <c:spPr>
          <a:ln w="6350"/>
        </c:spPr>
        <c:txPr>
          <a:bodyPr/>
          <a:lstStyle/>
          <a:p>
            <a:pPr>
              <a:defRPr sz="400"/>
            </a:pPr>
            <a:endParaRPr lang="en-US"/>
          </a:p>
        </c:txPr>
        <c:crossAx val="2114649448"/>
        <c:crosses val="autoZero"/>
        <c:crossBetween val="midCat"/>
        <c:majorUnit val="1"/>
      </c:valAx>
      <c:spPr>
        <a:ln w="6350">
          <a:solidFill>
            <a:schemeClr val="bg1">
              <a:lumMod val="50000"/>
            </a:schemeClr>
          </a:solidFill>
        </a:ln>
      </c:spPr>
    </c:plotArea>
    <c:plotVisOnly val="1"/>
    <c:dispBlanksAs val="gap"/>
    <c:showDLblsOverMax val="0"/>
  </c:chart>
  <c:spPr>
    <a:ln w="6350"/>
    <a:effectLst/>
  </c:spPr>
  <c:externalData r:id="rId1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77894226636305"/>
          <c:y val="8.4180938446688003E-2"/>
          <c:w val="0.72024746906636705"/>
          <c:h val="0.78661083324287595"/>
        </c:manualLayout>
      </c:layout>
      <c:scatterChart>
        <c:scatterStyle val="smoothMarker"/>
        <c:varyColors val="0"/>
        <c:ser>
          <c:idx val="0"/>
          <c:order val="0"/>
          <c:tx>
            <c:strRef>
              <c:f>T0!$AX$1</c:f>
              <c:strCache>
                <c:ptCount val="1"/>
                <c:pt idx="0">
                  <c:v>Fund if DW not detected</c:v>
                </c:pt>
              </c:strCache>
            </c:strRef>
          </c:tx>
          <c:spPr>
            <a:ln w="6350">
              <a:solidFill>
                <a:srgbClr val="FF0000"/>
              </a:solidFill>
            </a:ln>
            <a:effectLst/>
          </c:spPr>
          <c:marker>
            <c:symbol val="circle"/>
            <c:size val="2"/>
            <c:spPr>
              <a:solidFill>
                <a:srgbClr val="FF0000"/>
              </a:solidFill>
              <a:ln w="6350">
                <a:solidFill>
                  <a:srgbClr val="FF0000"/>
                </a:solidFill>
              </a:ln>
              <a:effectLst/>
            </c:spPr>
          </c:marker>
          <c:xVal>
            <c:numRef>
              <c:f>T0!$AU$2:$AU$26</c:f>
              <c:numCache>
                <c:formatCode>General</c:formatCode>
                <c:ptCount val="2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</c:numCache>
            </c:numRef>
          </c:xVal>
          <c:yVal>
            <c:numRef>
              <c:f>'T2'!$AQ$2:$AQ$26</c:f>
              <c:numCache>
                <c:formatCode>0.0%</c:formatCode>
                <c:ptCount val="25"/>
                <c:pt idx="0">
                  <c:v>1</c:v>
                </c:pt>
                <c:pt idx="1">
                  <c:v>0.83333333333333304</c:v>
                </c:pt>
                <c:pt idx="2">
                  <c:v>0.83333333333333304</c:v>
                </c:pt>
                <c:pt idx="3">
                  <c:v>0.66666666666666696</c:v>
                </c:pt>
                <c:pt idx="4">
                  <c:v>1</c:v>
                </c:pt>
                <c:pt idx="5">
                  <c:v>0.83333333333333304</c:v>
                </c:pt>
                <c:pt idx="6">
                  <c:v>0.83333333333333304</c:v>
                </c:pt>
                <c:pt idx="7">
                  <c:v>0.83333333333333304</c:v>
                </c:pt>
                <c:pt idx="8">
                  <c:v>1</c:v>
                </c:pt>
                <c:pt idx="9">
                  <c:v>0.83333333333333304</c:v>
                </c:pt>
                <c:pt idx="10">
                  <c:v>1</c:v>
                </c:pt>
                <c:pt idx="11">
                  <c:v>0.83333333333333304</c:v>
                </c:pt>
                <c:pt idx="12">
                  <c:v>1</c:v>
                </c:pt>
                <c:pt idx="13">
                  <c:v>1</c:v>
                </c:pt>
                <c:pt idx="14">
                  <c:v>0.66666666666666696</c:v>
                </c:pt>
                <c:pt idx="15">
                  <c:v>0.83333333333333304</c:v>
                </c:pt>
                <c:pt idx="16">
                  <c:v>1</c:v>
                </c:pt>
                <c:pt idx="17">
                  <c:v>0.83333333333333304</c:v>
                </c:pt>
                <c:pt idx="18">
                  <c:v>0.83333333333333304</c:v>
                </c:pt>
                <c:pt idx="19">
                  <c:v>1</c:v>
                </c:pt>
                <c:pt idx="20">
                  <c:v>0.83333333333333304</c:v>
                </c:pt>
                <c:pt idx="21">
                  <c:v>0.83333333333333304</c:v>
                </c:pt>
                <c:pt idx="22">
                  <c:v>0.66666666666666696</c:v>
                </c:pt>
                <c:pt idx="23">
                  <c:v>1</c:v>
                </c:pt>
                <c:pt idx="24">
                  <c:v>0.83333333333333304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75B2-3946-BAF3-5C6C4A12770A}"/>
            </c:ext>
          </c:extLst>
        </c:ser>
        <c:ser>
          <c:idx val="1"/>
          <c:order val="1"/>
          <c:tx>
            <c:strRef>
              <c:f>T0!$AY$1</c:f>
              <c:strCache>
                <c:ptCount val="1"/>
                <c:pt idx="0">
                  <c:v>Fund if DW detected</c:v>
                </c:pt>
              </c:strCache>
            </c:strRef>
          </c:tx>
          <c:spPr>
            <a:ln w="6350" cmpd="sng">
              <a:solidFill>
                <a:srgbClr val="FF9300"/>
              </a:solidFill>
            </a:ln>
            <a:effectLst/>
          </c:spPr>
          <c:marker>
            <c:symbol val="circle"/>
            <c:size val="2"/>
            <c:spPr>
              <a:solidFill>
                <a:schemeClr val="bg1"/>
              </a:solidFill>
              <a:ln w="6350">
                <a:solidFill>
                  <a:srgbClr val="FF9300"/>
                </a:solidFill>
              </a:ln>
              <a:effectLst/>
            </c:spPr>
          </c:marker>
          <c:xVal>
            <c:numRef>
              <c:f>T0!$AU$2:$AU$26</c:f>
              <c:numCache>
                <c:formatCode>General</c:formatCode>
                <c:ptCount val="2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</c:numCache>
            </c:numRef>
          </c:xVal>
          <c:yVal>
            <c:numRef>
              <c:f>'T2'!$AR$2:$AR$26</c:f>
              <c:numCache>
                <c:formatCode>0.0%</c:formatCode>
                <c:ptCount val="25"/>
                <c:pt idx="0">
                  <c:v>0</c:v>
                </c:pt>
                <c:pt idx="1">
                  <c:v>0.33333333333333298</c:v>
                </c:pt>
                <c:pt idx="2">
                  <c:v>0.16666666666666699</c:v>
                </c:pt>
                <c:pt idx="3">
                  <c:v>0.5</c:v>
                </c:pt>
                <c:pt idx="4">
                  <c:v>0.5</c:v>
                </c:pt>
                <c:pt idx="5">
                  <c:v>0.33333333333333298</c:v>
                </c:pt>
                <c:pt idx="6">
                  <c:v>0</c:v>
                </c:pt>
                <c:pt idx="7">
                  <c:v>0.33333333333333298</c:v>
                </c:pt>
                <c:pt idx="8">
                  <c:v>0.16666666666666699</c:v>
                </c:pt>
                <c:pt idx="9">
                  <c:v>0.66666666666666696</c:v>
                </c:pt>
                <c:pt idx="10">
                  <c:v>0.33333333333333298</c:v>
                </c:pt>
                <c:pt idx="11">
                  <c:v>0.16666666666666699</c:v>
                </c:pt>
                <c:pt idx="12">
                  <c:v>0.33333333333333298</c:v>
                </c:pt>
                <c:pt idx="13">
                  <c:v>0.33333333333333298</c:v>
                </c:pt>
                <c:pt idx="14">
                  <c:v>0.33333333333333298</c:v>
                </c:pt>
                <c:pt idx="15">
                  <c:v>0.33333333333333298</c:v>
                </c:pt>
                <c:pt idx="16">
                  <c:v>0</c:v>
                </c:pt>
                <c:pt idx="17">
                  <c:v>0.5</c:v>
                </c:pt>
                <c:pt idx="18">
                  <c:v>0.33333333333333298</c:v>
                </c:pt>
                <c:pt idx="19">
                  <c:v>0.33333333333333298</c:v>
                </c:pt>
                <c:pt idx="20">
                  <c:v>0.5</c:v>
                </c:pt>
                <c:pt idx="21">
                  <c:v>0.5</c:v>
                </c:pt>
                <c:pt idx="22">
                  <c:v>0.66666666666666696</c:v>
                </c:pt>
                <c:pt idx="23">
                  <c:v>0.16666666666666699</c:v>
                </c:pt>
                <c:pt idx="24">
                  <c:v>0.5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75B2-3946-BAF3-5C6C4A12770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114045640"/>
        <c:axId val="2114654216"/>
      </c:scatterChart>
      <c:valAx>
        <c:axId val="2114045640"/>
        <c:scaling>
          <c:orientation val="minMax"/>
          <c:max val="25"/>
          <c:min val="1"/>
        </c:scaling>
        <c:delete val="0"/>
        <c:axPos val="b"/>
        <c:title>
          <c:tx>
            <c:rich>
              <a:bodyPr/>
              <a:lstStyle/>
              <a:p>
                <a:pPr>
                  <a:defRPr sz="500" b="0"/>
                </a:pPr>
                <a:r>
                  <a:rPr lang="en-US" sz="5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rPr>
                  <a:t> </a:t>
                </a:r>
                <a:r>
                  <a:rPr lang="en-US" sz="500" b="0"/>
                  <a:t>Round</a:t>
                </a:r>
              </a:p>
            </c:rich>
          </c:tx>
          <c:layout>
            <c:manualLayout>
              <c:xMode val="edge"/>
              <c:yMode val="edge"/>
              <c:x val="0.40041885008276401"/>
              <c:y val="0.90604453870625601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6350"/>
        </c:spPr>
        <c:txPr>
          <a:bodyPr/>
          <a:lstStyle/>
          <a:p>
            <a:pPr>
              <a:defRPr sz="500"/>
            </a:pPr>
            <a:endParaRPr lang="en-US"/>
          </a:p>
        </c:txPr>
        <c:crossAx val="2114654216"/>
        <c:crosses val="autoZero"/>
        <c:crossBetween val="midCat"/>
        <c:majorUnit val="24"/>
      </c:valAx>
      <c:valAx>
        <c:axId val="2114654216"/>
        <c:scaling>
          <c:orientation val="minMax"/>
          <c:max val="1"/>
        </c:scaling>
        <c:delete val="0"/>
        <c:axPos val="l"/>
        <c:majorGridlines>
          <c:spPr>
            <a:ln w="6350"/>
          </c:spPr>
        </c:majorGridlines>
        <c:title>
          <c:tx>
            <c:rich>
              <a:bodyPr rot="-5400000" vert="horz"/>
              <a:lstStyle/>
              <a:p>
                <a:pPr>
                  <a:defRPr sz="500" b="0"/>
                </a:pPr>
                <a:r>
                  <a:rPr lang="en-US" sz="500" b="0" i="0" u="none" strike="noStrike" baseline="0">
                    <a:effectLst/>
                  </a:rPr>
                  <a:t>Fund</a:t>
                </a:r>
                <a:r>
                  <a:rPr lang="en-US" sz="500" b="0" i="0" u="none" strike="noStrike" kern="1200" baseline="0">
                    <a:solidFill>
                      <a:sysClr val="windowText" lastClr="000000"/>
                    </a:solidFill>
                    <a:effectLst/>
                    <a:latin typeface="+mn-lt"/>
                    <a:ea typeface="+mn-ea"/>
                    <a:cs typeface="+mn-cs"/>
                  </a:rPr>
                  <a:t> </a:t>
                </a:r>
                <a:r>
                  <a:rPr lang="en-US" sz="500" b="0" i="0" u="none" strike="noStrike" baseline="0">
                    <a:effectLst/>
                  </a:rPr>
                  <a:t>the</a:t>
                </a:r>
                <a:r>
                  <a:rPr lang="en-US" sz="500" b="0" i="0" u="none" strike="noStrike" kern="1200" baseline="0">
                    <a:solidFill>
                      <a:sysClr val="windowText" lastClr="000000"/>
                    </a:solidFill>
                    <a:effectLst/>
                    <a:latin typeface="+mn-lt"/>
                    <a:ea typeface="+mn-ea"/>
                    <a:cs typeface="+mn-cs"/>
                  </a:rPr>
                  <a:t> </a:t>
                </a:r>
                <a:r>
                  <a:rPr lang="en-US" sz="500" b="0" i="0" u="none" strike="noStrike" baseline="0">
                    <a:effectLst/>
                  </a:rPr>
                  <a:t>Bank</a:t>
                </a:r>
                <a:r>
                  <a:rPr lang="en-US" sz="500" b="0" i="0" u="none" strike="noStrike" kern="1200" baseline="0">
                    <a:solidFill>
                      <a:sysClr val="windowText" lastClr="000000"/>
                    </a:solidFill>
                    <a:effectLst/>
                    <a:latin typeface="+mn-lt"/>
                    <a:ea typeface="+mn-ea"/>
                    <a:cs typeface="+mn-cs"/>
                  </a:rPr>
                  <a:t> </a:t>
                </a:r>
                <a:endParaRPr lang="en-US" sz="500" b="0"/>
              </a:p>
            </c:rich>
          </c:tx>
          <c:layout>
            <c:manualLayout>
              <c:xMode val="edge"/>
              <c:yMode val="edge"/>
              <c:x val="0"/>
              <c:y val="0.28127771144195501"/>
            </c:manualLayout>
          </c:layout>
          <c:overlay val="0"/>
        </c:title>
        <c:numFmt formatCode="0%" sourceLinked="0"/>
        <c:majorTickMark val="out"/>
        <c:minorTickMark val="none"/>
        <c:tickLblPos val="nextTo"/>
        <c:spPr>
          <a:ln w="6350"/>
        </c:spPr>
        <c:txPr>
          <a:bodyPr/>
          <a:lstStyle/>
          <a:p>
            <a:pPr>
              <a:defRPr sz="400"/>
            </a:pPr>
            <a:endParaRPr lang="en-US"/>
          </a:p>
        </c:txPr>
        <c:crossAx val="2114045640"/>
        <c:crosses val="autoZero"/>
        <c:crossBetween val="midCat"/>
        <c:majorUnit val="1"/>
      </c:valAx>
      <c:spPr>
        <a:ln w="6350">
          <a:solidFill>
            <a:schemeClr val="bg1">
              <a:lumMod val="50000"/>
            </a:schemeClr>
          </a:solidFill>
        </a:ln>
      </c:spPr>
    </c:plotArea>
    <c:plotVisOnly val="1"/>
    <c:dispBlanksAs val="gap"/>
    <c:showDLblsOverMax val="0"/>
  </c:chart>
  <c:spPr>
    <a:ln w="6350"/>
    <a:effectLst/>
  </c:spPr>
  <c:externalData r:id="rId1">
    <c:autoUpdate val="0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77894226636305"/>
          <c:y val="8.4180938446688003E-2"/>
          <c:w val="0.72024746906636705"/>
          <c:h val="0.78661083324287595"/>
        </c:manualLayout>
      </c:layout>
      <c:scatterChart>
        <c:scatterStyle val="smoothMarker"/>
        <c:varyColors val="0"/>
        <c:ser>
          <c:idx val="0"/>
          <c:order val="0"/>
          <c:tx>
            <c:strRef>
              <c:f>T0!$AX$1</c:f>
              <c:strCache>
                <c:ptCount val="1"/>
                <c:pt idx="0">
                  <c:v>Fund if DW not detected</c:v>
                </c:pt>
              </c:strCache>
            </c:strRef>
          </c:tx>
          <c:spPr>
            <a:ln w="6350">
              <a:solidFill>
                <a:srgbClr val="00B0F0"/>
              </a:solidFill>
            </a:ln>
            <a:effectLst/>
          </c:spPr>
          <c:marker>
            <c:symbol val="square"/>
            <c:size val="2"/>
            <c:spPr>
              <a:solidFill>
                <a:srgbClr val="00B0F0"/>
              </a:solidFill>
              <a:ln w="6350">
                <a:noFill/>
              </a:ln>
              <a:effectLst/>
            </c:spPr>
          </c:marker>
          <c:xVal>
            <c:numRef>
              <c:f>'T1'!$AU$2:$AU$26</c:f>
              <c:numCache>
                <c:formatCode>General</c:formatCode>
                <c:ptCount val="2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</c:numCache>
            </c:numRef>
          </c:xVal>
          <c:yVal>
            <c:numRef>
              <c:f>'T2'!$AO$2:$AO$26</c:f>
              <c:numCache>
                <c:formatCode>0.0%</c:formatCode>
                <c:ptCount val="25"/>
                <c:pt idx="0">
                  <c:v>0.5</c:v>
                </c:pt>
                <c:pt idx="1">
                  <c:v>0.66666666666666696</c:v>
                </c:pt>
                <c:pt idx="2">
                  <c:v>0.5</c:v>
                </c:pt>
                <c:pt idx="3">
                  <c:v>0.83333333333333304</c:v>
                </c:pt>
                <c:pt idx="4">
                  <c:v>1</c:v>
                </c:pt>
                <c:pt idx="5">
                  <c:v>0.83333333333333304</c:v>
                </c:pt>
                <c:pt idx="6">
                  <c:v>0.5</c:v>
                </c:pt>
                <c:pt idx="7">
                  <c:v>0.66666666666666696</c:v>
                </c:pt>
                <c:pt idx="8">
                  <c:v>0.5</c:v>
                </c:pt>
                <c:pt idx="9">
                  <c:v>0.5</c:v>
                </c:pt>
                <c:pt idx="10">
                  <c:v>0.5</c:v>
                </c:pt>
                <c:pt idx="11">
                  <c:v>0.5</c:v>
                </c:pt>
                <c:pt idx="12">
                  <c:v>0.66666666666666696</c:v>
                </c:pt>
                <c:pt idx="13">
                  <c:v>0.83333333333333304</c:v>
                </c:pt>
                <c:pt idx="14">
                  <c:v>0.83333333333333304</c:v>
                </c:pt>
                <c:pt idx="15">
                  <c:v>0.83333333333333304</c:v>
                </c:pt>
                <c:pt idx="16">
                  <c:v>1</c:v>
                </c:pt>
                <c:pt idx="17">
                  <c:v>1</c:v>
                </c:pt>
                <c:pt idx="18">
                  <c:v>0.83333333333333304</c:v>
                </c:pt>
                <c:pt idx="19">
                  <c:v>1</c:v>
                </c:pt>
                <c:pt idx="20">
                  <c:v>1</c:v>
                </c:pt>
                <c:pt idx="21">
                  <c:v>0.83333333333333304</c:v>
                </c:pt>
                <c:pt idx="22">
                  <c:v>0.83333333333333304</c:v>
                </c:pt>
                <c:pt idx="23">
                  <c:v>0.83333333333333304</c:v>
                </c:pt>
                <c:pt idx="24">
                  <c:v>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EB5F-424E-B84B-EE803733F817}"/>
            </c:ext>
          </c:extLst>
        </c:ser>
        <c:ser>
          <c:idx val="1"/>
          <c:order val="1"/>
          <c:tx>
            <c:strRef>
              <c:f>T0!$AY$1</c:f>
              <c:strCache>
                <c:ptCount val="1"/>
                <c:pt idx="0">
                  <c:v>Fund if DW detected</c:v>
                </c:pt>
              </c:strCache>
            </c:strRef>
          </c:tx>
          <c:spPr>
            <a:ln w="6350" cmpd="sng">
              <a:solidFill>
                <a:srgbClr val="002060"/>
              </a:solidFill>
            </a:ln>
            <a:effectLst/>
          </c:spPr>
          <c:marker>
            <c:symbol val="square"/>
            <c:size val="2"/>
            <c:spPr>
              <a:solidFill>
                <a:schemeClr val="bg1"/>
              </a:solidFill>
              <a:ln w="3175">
                <a:solidFill>
                  <a:srgbClr val="002060"/>
                </a:solidFill>
              </a:ln>
              <a:effectLst/>
            </c:spPr>
          </c:marker>
          <c:xVal>
            <c:numRef>
              <c:f>'T1'!$AU$2:$AU$26</c:f>
              <c:numCache>
                <c:formatCode>General</c:formatCode>
                <c:ptCount val="2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</c:numCache>
            </c:numRef>
          </c:xVal>
          <c:yVal>
            <c:numRef>
              <c:f>'T2'!$AP$2:$AP$26</c:f>
              <c:numCache>
                <c:formatCode>0.0%</c:formatCode>
                <c:ptCount val="25"/>
                <c:pt idx="0">
                  <c:v>0.5</c:v>
                </c:pt>
                <c:pt idx="1">
                  <c:v>0.83333333333333304</c:v>
                </c:pt>
                <c:pt idx="2">
                  <c:v>0.83333333333333304</c:v>
                </c:pt>
                <c:pt idx="3">
                  <c:v>0.66666666666666696</c:v>
                </c:pt>
                <c:pt idx="4">
                  <c:v>0.83333333333333304</c:v>
                </c:pt>
                <c:pt idx="5">
                  <c:v>0.83333333333333304</c:v>
                </c:pt>
                <c:pt idx="6">
                  <c:v>0.83333333333333304</c:v>
                </c:pt>
                <c:pt idx="7">
                  <c:v>0.83333333333333304</c:v>
                </c:pt>
                <c:pt idx="8">
                  <c:v>0.66666666666666696</c:v>
                </c:pt>
                <c:pt idx="9">
                  <c:v>0.66666666666666696</c:v>
                </c:pt>
                <c:pt idx="10">
                  <c:v>0.66666666666666696</c:v>
                </c:pt>
                <c:pt idx="11">
                  <c:v>0.66666666666666696</c:v>
                </c:pt>
                <c:pt idx="12">
                  <c:v>0.66666666666666696</c:v>
                </c:pt>
                <c:pt idx="13">
                  <c:v>0.66666666666666696</c:v>
                </c:pt>
                <c:pt idx="14">
                  <c:v>1</c:v>
                </c:pt>
                <c:pt idx="15">
                  <c:v>1</c:v>
                </c:pt>
                <c:pt idx="16">
                  <c:v>0.83333333333333304</c:v>
                </c:pt>
                <c:pt idx="17">
                  <c:v>0.83333333333333304</c:v>
                </c:pt>
                <c:pt idx="18">
                  <c:v>1</c:v>
                </c:pt>
                <c:pt idx="19">
                  <c:v>1</c:v>
                </c:pt>
                <c:pt idx="20">
                  <c:v>0.83333333333333304</c:v>
                </c:pt>
                <c:pt idx="21">
                  <c:v>0.83333333333333304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EB5F-424E-B84B-EE803733F81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114217192"/>
        <c:axId val="2078553704"/>
      </c:scatterChart>
      <c:valAx>
        <c:axId val="2114217192"/>
        <c:scaling>
          <c:orientation val="minMax"/>
          <c:max val="25"/>
          <c:min val="1"/>
        </c:scaling>
        <c:delete val="0"/>
        <c:axPos val="b"/>
        <c:title>
          <c:tx>
            <c:rich>
              <a:bodyPr/>
              <a:lstStyle/>
              <a:p>
                <a:pPr>
                  <a:defRPr sz="500" b="0"/>
                </a:pPr>
                <a:r>
                  <a:rPr lang="en-US" sz="5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rPr>
                  <a:t> </a:t>
                </a:r>
                <a:r>
                  <a:rPr lang="en-US" sz="500" b="0"/>
                  <a:t>Round</a:t>
                </a:r>
              </a:p>
            </c:rich>
          </c:tx>
          <c:layout>
            <c:manualLayout>
              <c:xMode val="edge"/>
              <c:yMode val="edge"/>
              <c:x val="0.40041885008276401"/>
              <c:y val="0.90604453870625601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6350"/>
        </c:spPr>
        <c:txPr>
          <a:bodyPr/>
          <a:lstStyle/>
          <a:p>
            <a:pPr>
              <a:defRPr sz="500"/>
            </a:pPr>
            <a:endParaRPr lang="en-US"/>
          </a:p>
        </c:txPr>
        <c:crossAx val="2078553704"/>
        <c:crosses val="autoZero"/>
        <c:crossBetween val="midCat"/>
        <c:majorUnit val="24"/>
      </c:valAx>
      <c:valAx>
        <c:axId val="2078553704"/>
        <c:scaling>
          <c:orientation val="minMax"/>
          <c:max val="1"/>
        </c:scaling>
        <c:delete val="0"/>
        <c:axPos val="l"/>
        <c:majorGridlines>
          <c:spPr>
            <a:ln w="6350"/>
          </c:spPr>
        </c:majorGridlines>
        <c:title>
          <c:tx>
            <c:rich>
              <a:bodyPr rot="-5400000" vert="horz"/>
              <a:lstStyle/>
              <a:p>
                <a:pPr>
                  <a:defRPr sz="500" b="0"/>
                </a:pPr>
                <a:r>
                  <a:rPr lang="en-US" sz="500" b="0" i="0" u="none" strike="noStrike" baseline="0">
                    <a:effectLst/>
                  </a:rPr>
                  <a:t>Borrow</a:t>
                </a:r>
                <a:r>
                  <a:rPr lang="en-US" sz="500" b="0" i="0" u="none" strike="noStrike" kern="1200" baseline="0">
                    <a:solidFill>
                      <a:sysClr val="windowText" lastClr="000000"/>
                    </a:solidFill>
                    <a:effectLst/>
                    <a:latin typeface="+mn-lt"/>
                    <a:ea typeface="+mn-ea"/>
                    <a:cs typeface="+mn-cs"/>
                  </a:rPr>
                  <a:t> </a:t>
                </a:r>
                <a:r>
                  <a:rPr lang="en-US" sz="500" b="0" i="0" u="none" strike="noStrike" baseline="0">
                    <a:effectLst/>
                  </a:rPr>
                  <a:t>at</a:t>
                </a:r>
                <a:r>
                  <a:rPr lang="en-US" sz="500" b="0" i="0" u="none" strike="noStrike" kern="1200" baseline="0">
                    <a:solidFill>
                      <a:sysClr val="windowText" lastClr="000000"/>
                    </a:solidFill>
                    <a:effectLst/>
                    <a:latin typeface="+mn-lt"/>
                    <a:ea typeface="+mn-ea"/>
                    <a:cs typeface="+mn-cs"/>
                  </a:rPr>
                  <a:t> </a:t>
                </a:r>
                <a:r>
                  <a:rPr lang="en-US" sz="500" b="0" i="0" u="none" strike="noStrike" baseline="0">
                    <a:effectLst/>
                  </a:rPr>
                  <a:t>DW</a:t>
                </a:r>
                <a:endParaRPr lang="en-US" sz="500" b="0"/>
              </a:p>
            </c:rich>
          </c:tx>
          <c:layout>
            <c:manualLayout>
              <c:xMode val="edge"/>
              <c:yMode val="edge"/>
              <c:x val="0"/>
              <c:y val="0.28127771144195501"/>
            </c:manualLayout>
          </c:layout>
          <c:overlay val="0"/>
        </c:title>
        <c:numFmt formatCode="0%" sourceLinked="0"/>
        <c:majorTickMark val="out"/>
        <c:minorTickMark val="none"/>
        <c:tickLblPos val="nextTo"/>
        <c:spPr>
          <a:ln w="6350"/>
        </c:spPr>
        <c:txPr>
          <a:bodyPr/>
          <a:lstStyle/>
          <a:p>
            <a:pPr>
              <a:defRPr sz="400"/>
            </a:pPr>
            <a:endParaRPr lang="en-US"/>
          </a:p>
        </c:txPr>
        <c:crossAx val="2114217192"/>
        <c:crosses val="autoZero"/>
        <c:crossBetween val="midCat"/>
        <c:majorUnit val="1"/>
      </c:valAx>
      <c:spPr>
        <a:ln w="6350">
          <a:solidFill>
            <a:schemeClr val="bg1">
              <a:lumMod val="50000"/>
            </a:schemeClr>
          </a:solidFill>
        </a:ln>
      </c:spPr>
    </c:plotArea>
    <c:plotVisOnly val="1"/>
    <c:dispBlanksAs val="gap"/>
    <c:showDLblsOverMax val="0"/>
  </c:chart>
  <c:spPr>
    <a:ln w="6350"/>
    <a:effectLst/>
  </c:spPr>
  <c:externalData r:id="rId1">
    <c:autoUpdate val="0"/>
  </c:externalData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77894226636305"/>
          <c:y val="8.4180938446688003E-2"/>
          <c:w val="0.72024746906636705"/>
          <c:h val="0.78661083324287595"/>
        </c:manualLayout>
      </c:layout>
      <c:scatterChart>
        <c:scatterStyle val="smoothMarker"/>
        <c:varyColors val="0"/>
        <c:ser>
          <c:idx val="0"/>
          <c:order val="0"/>
          <c:tx>
            <c:strRef>
              <c:f>T0!$AX$1</c:f>
              <c:strCache>
                <c:ptCount val="1"/>
                <c:pt idx="0">
                  <c:v>Fund if DW not detected</c:v>
                </c:pt>
              </c:strCache>
            </c:strRef>
          </c:tx>
          <c:spPr>
            <a:ln w="6350">
              <a:solidFill>
                <a:srgbClr val="FF0000"/>
              </a:solidFill>
            </a:ln>
            <a:effectLst/>
          </c:spPr>
          <c:marker>
            <c:symbol val="circle"/>
            <c:size val="2"/>
            <c:spPr>
              <a:solidFill>
                <a:srgbClr val="FF0000"/>
              </a:solidFill>
              <a:ln w="6350">
                <a:solidFill>
                  <a:srgbClr val="FF0000"/>
                </a:solidFill>
              </a:ln>
              <a:effectLst/>
            </c:spPr>
          </c:marker>
          <c:xVal>
            <c:numRef>
              <c:f>'T1'!$AU$2:$AU$26</c:f>
              <c:numCache>
                <c:formatCode>General</c:formatCode>
                <c:ptCount val="2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</c:numCache>
            </c:numRef>
          </c:xVal>
          <c:yVal>
            <c:numRef>
              <c:f>'T2'!$AQ$27:$AQ$51</c:f>
              <c:numCache>
                <c:formatCode>0.0%</c:formatCode>
                <c:ptCount val="25"/>
                <c:pt idx="0">
                  <c:v>0.66666666666666696</c:v>
                </c:pt>
                <c:pt idx="1">
                  <c:v>0.66666666666666696</c:v>
                </c:pt>
                <c:pt idx="2">
                  <c:v>0.83333333333333304</c:v>
                </c:pt>
                <c:pt idx="3">
                  <c:v>0.66666666666666696</c:v>
                </c:pt>
                <c:pt idx="4">
                  <c:v>0.83333333333333304</c:v>
                </c:pt>
                <c:pt idx="5">
                  <c:v>0.83333333333333304</c:v>
                </c:pt>
                <c:pt idx="6">
                  <c:v>0.83333333333333304</c:v>
                </c:pt>
                <c:pt idx="7">
                  <c:v>0.83333333333333304</c:v>
                </c:pt>
                <c:pt idx="8">
                  <c:v>1</c:v>
                </c:pt>
                <c:pt idx="9">
                  <c:v>0.83333333333333304</c:v>
                </c:pt>
                <c:pt idx="10">
                  <c:v>0.83333333333333304</c:v>
                </c:pt>
                <c:pt idx="11">
                  <c:v>1</c:v>
                </c:pt>
                <c:pt idx="12">
                  <c:v>0.66666666666666696</c:v>
                </c:pt>
                <c:pt idx="13">
                  <c:v>0.66666666666666696</c:v>
                </c:pt>
                <c:pt idx="14">
                  <c:v>1</c:v>
                </c:pt>
                <c:pt idx="15">
                  <c:v>1</c:v>
                </c:pt>
                <c:pt idx="16">
                  <c:v>0.66666666666666696</c:v>
                </c:pt>
                <c:pt idx="17">
                  <c:v>0.66666666666666696</c:v>
                </c:pt>
                <c:pt idx="18">
                  <c:v>0.66666666666666696</c:v>
                </c:pt>
                <c:pt idx="19">
                  <c:v>1</c:v>
                </c:pt>
                <c:pt idx="20">
                  <c:v>0.83333333333333304</c:v>
                </c:pt>
                <c:pt idx="21">
                  <c:v>0.83333333333333304</c:v>
                </c:pt>
                <c:pt idx="22">
                  <c:v>0.5</c:v>
                </c:pt>
                <c:pt idx="23">
                  <c:v>0.66666666666666696</c:v>
                </c:pt>
                <c:pt idx="24">
                  <c:v>0.83333333333333304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5C48-B447-827D-53F2001C3DF6}"/>
            </c:ext>
          </c:extLst>
        </c:ser>
        <c:ser>
          <c:idx val="1"/>
          <c:order val="1"/>
          <c:tx>
            <c:strRef>
              <c:f>T0!$AY$1</c:f>
              <c:strCache>
                <c:ptCount val="1"/>
                <c:pt idx="0">
                  <c:v>Fund if DW detected</c:v>
                </c:pt>
              </c:strCache>
            </c:strRef>
          </c:tx>
          <c:spPr>
            <a:ln w="6350" cmpd="sng">
              <a:solidFill>
                <a:srgbClr val="FF9300"/>
              </a:solidFill>
            </a:ln>
            <a:effectLst/>
          </c:spPr>
          <c:marker>
            <c:symbol val="circle"/>
            <c:size val="2"/>
            <c:spPr>
              <a:solidFill>
                <a:schemeClr val="bg1"/>
              </a:solidFill>
              <a:ln w="6350">
                <a:solidFill>
                  <a:srgbClr val="FF9300"/>
                </a:solidFill>
              </a:ln>
              <a:effectLst/>
            </c:spPr>
          </c:marker>
          <c:xVal>
            <c:numRef>
              <c:f>T0!$AU$2:$AU$26</c:f>
              <c:numCache>
                <c:formatCode>General</c:formatCode>
                <c:ptCount val="2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</c:numCache>
            </c:numRef>
          </c:xVal>
          <c:yVal>
            <c:numRef>
              <c:f>'T2'!$AR$27:$AR$51</c:f>
              <c:numCache>
                <c:formatCode>0.0%</c:formatCode>
                <c:ptCount val="2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0.16666666666666699</c:v>
                </c:pt>
                <c:pt idx="8">
                  <c:v>0</c:v>
                </c:pt>
                <c:pt idx="9">
                  <c:v>0.16666666666666699</c:v>
                </c:pt>
                <c:pt idx="10">
                  <c:v>0.33333333333333298</c:v>
                </c:pt>
                <c:pt idx="11">
                  <c:v>0.16666666666666699</c:v>
                </c:pt>
                <c:pt idx="12">
                  <c:v>0.16666666666666699</c:v>
                </c:pt>
                <c:pt idx="13">
                  <c:v>0.33333333333333298</c:v>
                </c:pt>
                <c:pt idx="14">
                  <c:v>0.33333333333333298</c:v>
                </c:pt>
                <c:pt idx="15">
                  <c:v>0.16666666666666699</c:v>
                </c:pt>
                <c:pt idx="16">
                  <c:v>0.16666666666666699</c:v>
                </c:pt>
                <c:pt idx="17">
                  <c:v>0.33333333333333298</c:v>
                </c:pt>
                <c:pt idx="18">
                  <c:v>0.16666666666666699</c:v>
                </c:pt>
                <c:pt idx="19">
                  <c:v>0.16666666666666699</c:v>
                </c:pt>
                <c:pt idx="20">
                  <c:v>0.16666666666666699</c:v>
                </c:pt>
                <c:pt idx="21">
                  <c:v>0.16666666666666699</c:v>
                </c:pt>
                <c:pt idx="22">
                  <c:v>0.16666666666666699</c:v>
                </c:pt>
                <c:pt idx="23">
                  <c:v>0.16666666666666699</c:v>
                </c:pt>
                <c:pt idx="24">
                  <c:v>0.16666666666666699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5C48-B447-827D-53F2001C3DF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078380440"/>
        <c:axId val="2078388616"/>
      </c:scatterChart>
      <c:valAx>
        <c:axId val="2078380440"/>
        <c:scaling>
          <c:orientation val="minMax"/>
          <c:max val="25"/>
          <c:min val="1"/>
        </c:scaling>
        <c:delete val="0"/>
        <c:axPos val="b"/>
        <c:title>
          <c:tx>
            <c:rich>
              <a:bodyPr/>
              <a:lstStyle/>
              <a:p>
                <a:pPr>
                  <a:defRPr sz="500" b="0"/>
                </a:pPr>
                <a:r>
                  <a:rPr lang="en-US" sz="5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rPr>
                  <a:t> </a:t>
                </a:r>
                <a:r>
                  <a:rPr lang="en-US" sz="500" b="0"/>
                  <a:t>Round</a:t>
                </a:r>
              </a:p>
            </c:rich>
          </c:tx>
          <c:layout>
            <c:manualLayout>
              <c:xMode val="edge"/>
              <c:yMode val="edge"/>
              <c:x val="0.40041885008276401"/>
              <c:y val="0.90604453870625601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6350"/>
        </c:spPr>
        <c:txPr>
          <a:bodyPr/>
          <a:lstStyle/>
          <a:p>
            <a:pPr>
              <a:defRPr sz="500"/>
            </a:pPr>
            <a:endParaRPr lang="en-US"/>
          </a:p>
        </c:txPr>
        <c:crossAx val="2078388616"/>
        <c:crosses val="autoZero"/>
        <c:crossBetween val="midCat"/>
        <c:majorUnit val="24"/>
      </c:valAx>
      <c:valAx>
        <c:axId val="2078388616"/>
        <c:scaling>
          <c:orientation val="minMax"/>
          <c:max val="1"/>
        </c:scaling>
        <c:delete val="0"/>
        <c:axPos val="l"/>
        <c:majorGridlines>
          <c:spPr>
            <a:ln w="6350"/>
          </c:spPr>
        </c:majorGridlines>
        <c:title>
          <c:tx>
            <c:rich>
              <a:bodyPr rot="-5400000" vert="horz"/>
              <a:lstStyle/>
              <a:p>
                <a:pPr>
                  <a:defRPr sz="500" b="0"/>
                </a:pPr>
                <a:r>
                  <a:rPr lang="en-US" sz="500" b="0" i="0" u="none" strike="noStrike" baseline="0">
                    <a:effectLst/>
                  </a:rPr>
                  <a:t>Fund</a:t>
                </a:r>
                <a:r>
                  <a:rPr lang="en-US" sz="500" b="0" i="0" u="none" strike="noStrike" kern="1200" baseline="0">
                    <a:solidFill>
                      <a:sysClr val="windowText" lastClr="000000"/>
                    </a:solidFill>
                    <a:effectLst/>
                    <a:latin typeface="+mn-lt"/>
                    <a:ea typeface="+mn-ea"/>
                    <a:cs typeface="+mn-cs"/>
                  </a:rPr>
                  <a:t> </a:t>
                </a:r>
                <a:r>
                  <a:rPr lang="en-US" sz="500" b="0" i="0" u="none" strike="noStrike" baseline="0">
                    <a:effectLst/>
                  </a:rPr>
                  <a:t>the</a:t>
                </a:r>
                <a:r>
                  <a:rPr lang="en-US" sz="500" b="0" i="0" u="none" strike="noStrike" kern="1200" baseline="0">
                    <a:solidFill>
                      <a:sysClr val="windowText" lastClr="000000"/>
                    </a:solidFill>
                    <a:effectLst/>
                    <a:latin typeface="+mn-lt"/>
                    <a:ea typeface="+mn-ea"/>
                    <a:cs typeface="+mn-cs"/>
                  </a:rPr>
                  <a:t> </a:t>
                </a:r>
                <a:r>
                  <a:rPr lang="en-US" sz="500" b="0" i="0" u="none" strike="noStrike" baseline="0">
                    <a:effectLst/>
                  </a:rPr>
                  <a:t>Bank</a:t>
                </a:r>
                <a:r>
                  <a:rPr lang="en-US" sz="500" b="0" i="0" u="none" strike="noStrike" kern="1200" baseline="0">
                    <a:solidFill>
                      <a:sysClr val="windowText" lastClr="000000"/>
                    </a:solidFill>
                    <a:effectLst/>
                    <a:latin typeface="+mn-lt"/>
                    <a:ea typeface="+mn-ea"/>
                    <a:cs typeface="+mn-cs"/>
                  </a:rPr>
                  <a:t> </a:t>
                </a:r>
                <a:endParaRPr lang="en-US" sz="500" b="0"/>
              </a:p>
            </c:rich>
          </c:tx>
          <c:layout>
            <c:manualLayout>
              <c:xMode val="edge"/>
              <c:yMode val="edge"/>
              <c:x val="0"/>
              <c:y val="0.28127771144195501"/>
            </c:manualLayout>
          </c:layout>
          <c:overlay val="0"/>
        </c:title>
        <c:numFmt formatCode="0%" sourceLinked="0"/>
        <c:majorTickMark val="out"/>
        <c:minorTickMark val="none"/>
        <c:tickLblPos val="nextTo"/>
        <c:spPr>
          <a:ln w="6350"/>
        </c:spPr>
        <c:txPr>
          <a:bodyPr/>
          <a:lstStyle/>
          <a:p>
            <a:pPr>
              <a:defRPr sz="400"/>
            </a:pPr>
            <a:endParaRPr lang="en-US"/>
          </a:p>
        </c:txPr>
        <c:crossAx val="2078380440"/>
        <c:crosses val="autoZero"/>
        <c:crossBetween val="midCat"/>
        <c:majorUnit val="1"/>
      </c:valAx>
      <c:spPr>
        <a:ln w="6350">
          <a:solidFill>
            <a:schemeClr val="bg1">
              <a:lumMod val="50000"/>
            </a:schemeClr>
          </a:solidFill>
        </a:ln>
      </c:spPr>
    </c:plotArea>
    <c:plotVisOnly val="1"/>
    <c:dispBlanksAs val="gap"/>
    <c:showDLblsOverMax val="0"/>
  </c:chart>
  <c:spPr>
    <a:ln w="6350"/>
    <a:effectLst/>
  </c:spPr>
  <c:externalData r:id="rId1">
    <c:autoUpdate val="0"/>
  </c:externalData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77894226636305"/>
          <c:y val="8.4180938446688003E-2"/>
          <c:w val="0.72024746906636705"/>
          <c:h val="0.78661083324287595"/>
        </c:manualLayout>
      </c:layout>
      <c:scatterChart>
        <c:scatterStyle val="smoothMarker"/>
        <c:varyColors val="0"/>
        <c:ser>
          <c:idx val="0"/>
          <c:order val="0"/>
          <c:tx>
            <c:strRef>
              <c:f>T0!$AX$1</c:f>
              <c:strCache>
                <c:ptCount val="1"/>
                <c:pt idx="0">
                  <c:v>Fund if DW not detected</c:v>
                </c:pt>
              </c:strCache>
            </c:strRef>
          </c:tx>
          <c:spPr>
            <a:ln w="6350">
              <a:solidFill>
                <a:srgbClr val="00B0F0"/>
              </a:solidFill>
            </a:ln>
            <a:effectLst/>
          </c:spPr>
          <c:marker>
            <c:symbol val="square"/>
            <c:size val="2"/>
            <c:spPr>
              <a:solidFill>
                <a:srgbClr val="00B0F0"/>
              </a:solidFill>
              <a:ln w="6350">
                <a:noFill/>
              </a:ln>
              <a:effectLst/>
            </c:spPr>
          </c:marker>
          <c:xVal>
            <c:numRef>
              <c:f>T0!$AU$2:$AU$26</c:f>
              <c:numCache>
                <c:formatCode>General</c:formatCode>
                <c:ptCount val="2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</c:numCache>
            </c:numRef>
          </c:xVal>
          <c:yVal>
            <c:numRef>
              <c:f>'T2'!$AO$27:$AO$51</c:f>
              <c:numCache>
                <c:formatCode>0.0%</c:formatCode>
                <c:ptCount val="25"/>
                <c:pt idx="0">
                  <c:v>0.5</c:v>
                </c:pt>
                <c:pt idx="1">
                  <c:v>0.16666666666666699</c:v>
                </c:pt>
                <c:pt idx="2">
                  <c:v>0.16666666666666699</c:v>
                </c:pt>
                <c:pt idx="3">
                  <c:v>0.33333333333333298</c:v>
                </c:pt>
                <c:pt idx="4">
                  <c:v>0</c:v>
                </c:pt>
                <c:pt idx="5">
                  <c:v>0.33333333333333298</c:v>
                </c:pt>
                <c:pt idx="6">
                  <c:v>0.16666666666666699</c:v>
                </c:pt>
                <c:pt idx="7">
                  <c:v>0</c:v>
                </c:pt>
                <c:pt idx="8">
                  <c:v>0.16666666666666699</c:v>
                </c:pt>
                <c:pt idx="9">
                  <c:v>0.5</c:v>
                </c:pt>
                <c:pt idx="10">
                  <c:v>0.5</c:v>
                </c:pt>
                <c:pt idx="11">
                  <c:v>0.5</c:v>
                </c:pt>
                <c:pt idx="12">
                  <c:v>0.5</c:v>
                </c:pt>
                <c:pt idx="13">
                  <c:v>0.33333333333333298</c:v>
                </c:pt>
                <c:pt idx="14">
                  <c:v>0.5</c:v>
                </c:pt>
                <c:pt idx="15">
                  <c:v>0.66666666666666696</c:v>
                </c:pt>
                <c:pt idx="16">
                  <c:v>0.66666666666666696</c:v>
                </c:pt>
                <c:pt idx="17">
                  <c:v>0.66666666666666696</c:v>
                </c:pt>
                <c:pt idx="18">
                  <c:v>0.66666666666666696</c:v>
                </c:pt>
                <c:pt idx="19">
                  <c:v>0.5</c:v>
                </c:pt>
                <c:pt idx="20">
                  <c:v>0.33333333333333298</c:v>
                </c:pt>
                <c:pt idx="21">
                  <c:v>0.5</c:v>
                </c:pt>
                <c:pt idx="22">
                  <c:v>0.5</c:v>
                </c:pt>
                <c:pt idx="23">
                  <c:v>0.5</c:v>
                </c:pt>
                <c:pt idx="24">
                  <c:v>0.66666666666666696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2495-DE4A-8927-E940BEF9B98E}"/>
            </c:ext>
          </c:extLst>
        </c:ser>
        <c:ser>
          <c:idx val="1"/>
          <c:order val="1"/>
          <c:tx>
            <c:strRef>
              <c:f>T0!$AY$1</c:f>
              <c:strCache>
                <c:ptCount val="1"/>
                <c:pt idx="0">
                  <c:v>Fund if DW detected</c:v>
                </c:pt>
              </c:strCache>
            </c:strRef>
          </c:tx>
          <c:spPr>
            <a:ln w="6350" cmpd="sng">
              <a:solidFill>
                <a:srgbClr val="002060"/>
              </a:solidFill>
            </a:ln>
            <a:effectLst/>
          </c:spPr>
          <c:marker>
            <c:symbol val="square"/>
            <c:size val="2"/>
            <c:spPr>
              <a:solidFill>
                <a:schemeClr val="bg1"/>
              </a:solidFill>
              <a:ln w="3175">
                <a:solidFill>
                  <a:srgbClr val="002060"/>
                </a:solidFill>
              </a:ln>
              <a:effectLst/>
            </c:spPr>
          </c:marker>
          <c:xVal>
            <c:numRef>
              <c:f>T0!$AU$2:$AU$26</c:f>
              <c:numCache>
                <c:formatCode>General</c:formatCode>
                <c:ptCount val="2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</c:numCache>
            </c:numRef>
          </c:xVal>
          <c:yVal>
            <c:numRef>
              <c:f>'T2'!$AP$27:$AP$51</c:f>
              <c:numCache>
                <c:formatCode>0.0%</c:formatCode>
                <c:ptCount val="25"/>
                <c:pt idx="0">
                  <c:v>0.83333333333333304</c:v>
                </c:pt>
                <c:pt idx="1">
                  <c:v>0.66666666666666696</c:v>
                </c:pt>
                <c:pt idx="2">
                  <c:v>0.83333333333333304</c:v>
                </c:pt>
                <c:pt idx="3">
                  <c:v>0.83333333333333304</c:v>
                </c:pt>
                <c:pt idx="4">
                  <c:v>0.66666666666666696</c:v>
                </c:pt>
                <c:pt idx="5">
                  <c:v>0.66666666666666696</c:v>
                </c:pt>
                <c:pt idx="6">
                  <c:v>0.33333333333333298</c:v>
                </c:pt>
                <c:pt idx="7">
                  <c:v>0.66666666666666696</c:v>
                </c:pt>
                <c:pt idx="8">
                  <c:v>0.83333333333333304</c:v>
                </c:pt>
                <c:pt idx="9">
                  <c:v>0.83333333333333304</c:v>
                </c:pt>
                <c:pt idx="10">
                  <c:v>0.83333333333333304</c:v>
                </c:pt>
                <c:pt idx="11">
                  <c:v>0.83333333333333304</c:v>
                </c:pt>
                <c:pt idx="12">
                  <c:v>0.83333333333333304</c:v>
                </c:pt>
                <c:pt idx="13">
                  <c:v>0.83333333333333304</c:v>
                </c:pt>
                <c:pt idx="14">
                  <c:v>0.83333333333333304</c:v>
                </c:pt>
                <c:pt idx="15">
                  <c:v>0.83333333333333304</c:v>
                </c:pt>
                <c:pt idx="16">
                  <c:v>1</c:v>
                </c:pt>
                <c:pt idx="17">
                  <c:v>0.83333333333333304</c:v>
                </c:pt>
                <c:pt idx="18">
                  <c:v>0.83333333333333304</c:v>
                </c:pt>
                <c:pt idx="19">
                  <c:v>0.83333333333333304</c:v>
                </c:pt>
                <c:pt idx="20">
                  <c:v>0.83333333333333304</c:v>
                </c:pt>
                <c:pt idx="21">
                  <c:v>0.83333333333333304</c:v>
                </c:pt>
                <c:pt idx="22">
                  <c:v>1</c:v>
                </c:pt>
                <c:pt idx="23">
                  <c:v>1</c:v>
                </c:pt>
                <c:pt idx="24">
                  <c:v>0.66666666666666696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2495-DE4A-8927-E940BEF9B98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-2097043704"/>
        <c:axId val="-2097091288"/>
      </c:scatterChart>
      <c:valAx>
        <c:axId val="-2097043704"/>
        <c:scaling>
          <c:orientation val="minMax"/>
          <c:max val="25"/>
          <c:min val="1"/>
        </c:scaling>
        <c:delete val="0"/>
        <c:axPos val="b"/>
        <c:title>
          <c:tx>
            <c:rich>
              <a:bodyPr/>
              <a:lstStyle/>
              <a:p>
                <a:pPr>
                  <a:defRPr sz="500" b="0"/>
                </a:pPr>
                <a:r>
                  <a:rPr lang="en-US" sz="5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rPr>
                  <a:t> </a:t>
                </a:r>
                <a:r>
                  <a:rPr lang="en-US" sz="500" b="0"/>
                  <a:t>Round</a:t>
                </a:r>
              </a:p>
            </c:rich>
          </c:tx>
          <c:layout>
            <c:manualLayout>
              <c:xMode val="edge"/>
              <c:yMode val="edge"/>
              <c:x val="0.40041885008276401"/>
              <c:y val="0.90604453870625601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6350"/>
        </c:spPr>
        <c:txPr>
          <a:bodyPr/>
          <a:lstStyle/>
          <a:p>
            <a:pPr>
              <a:defRPr sz="500"/>
            </a:pPr>
            <a:endParaRPr lang="en-US"/>
          </a:p>
        </c:txPr>
        <c:crossAx val="-2097091288"/>
        <c:crosses val="autoZero"/>
        <c:crossBetween val="midCat"/>
        <c:majorUnit val="24"/>
      </c:valAx>
      <c:valAx>
        <c:axId val="-2097091288"/>
        <c:scaling>
          <c:orientation val="minMax"/>
          <c:max val="1"/>
        </c:scaling>
        <c:delete val="0"/>
        <c:axPos val="l"/>
        <c:majorGridlines>
          <c:spPr>
            <a:ln w="6350"/>
          </c:spPr>
        </c:majorGridlines>
        <c:title>
          <c:tx>
            <c:rich>
              <a:bodyPr rot="-5400000" vert="horz"/>
              <a:lstStyle/>
              <a:p>
                <a:pPr>
                  <a:defRPr sz="500" b="0"/>
                </a:pPr>
                <a:r>
                  <a:rPr lang="en-US" sz="500" b="0" i="0" u="none" strike="noStrike" baseline="0">
                    <a:effectLst/>
                  </a:rPr>
                  <a:t>Borrow</a:t>
                </a:r>
                <a:r>
                  <a:rPr lang="en-US" sz="500" b="0" i="0" u="none" strike="noStrike" kern="1200" baseline="0">
                    <a:solidFill>
                      <a:sysClr val="windowText" lastClr="000000"/>
                    </a:solidFill>
                    <a:effectLst/>
                    <a:latin typeface="+mn-lt"/>
                    <a:ea typeface="+mn-ea"/>
                    <a:cs typeface="+mn-cs"/>
                  </a:rPr>
                  <a:t> </a:t>
                </a:r>
                <a:r>
                  <a:rPr lang="en-US" sz="500" b="0" i="0" u="none" strike="noStrike" baseline="0">
                    <a:effectLst/>
                  </a:rPr>
                  <a:t>at</a:t>
                </a:r>
                <a:r>
                  <a:rPr lang="en-US" sz="500" b="0" i="0" u="none" strike="noStrike" kern="1200" baseline="0">
                    <a:solidFill>
                      <a:sysClr val="windowText" lastClr="000000"/>
                    </a:solidFill>
                    <a:effectLst/>
                    <a:latin typeface="+mn-lt"/>
                    <a:ea typeface="+mn-ea"/>
                    <a:cs typeface="+mn-cs"/>
                  </a:rPr>
                  <a:t> </a:t>
                </a:r>
                <a:r>
                  <a:rPr lang="en-US" sz="500" b="0" i="0" u="none" strike="noStrike" baseline="0">
                    <a:effectLst/>
                  </a:rPr>
                  <a:t>DW</a:t>
                </a:r>
                <a:endParaRPr lang="en-US" sz="500" b="0"/>
              </a:p>
            </c:rich>
          </c:tx>
          <c:layout>
            <c:manualLayout>
              <c:xMode val="edge"/>
              <c:yMode val="edge"/>
              <c:x val="0"/>
              <c:y val="0.28127771144195501"/>
            </c:manualLayout>
          </c:layout>
          <c:overlay val="0"/>
        </c:title>
        <c:numFmt formatCode="0%" sourceLinked="0"/>
        <c:majorTickMark val="out"/>
        <c:minorTickMark val="none"/>
        <c:tickLblPos val="nextTo"/>
        <c:spPr>
          <a:ln w="6350"/>
        </c:spPr>
        <c:txPr>
          <a:bodyPr/>
          <a:lstStyle/>
          <a:p>
            <a:pPr>
              <a:defRPr sz="400"/>
            </a:pPr>
            <a:endParaRPr lang="en-US"/>
          </a:p>
        </c:txPr>
        <c:crossAx val="-2097043704"/>
        <c:crosses val="autoZero"/>
        <c:crossBetween val="midCat"/>
        <c:majorUnit val="1"/>
      </c:valAx>
      <c:spPr>
        <a:ln w="6350">
          <a:solidFill>
            <a:schemeClr val="bg1">
              <a:lumMod val="50000"/>
            </a:schemeClr>
          </a:solidFill>
        </a:ln>
      </c:spPr>
    </c:plotArea>
    <c:plotVisOnly val="1"/>
    <c:dispBlanksAs val="gap"/>
    <c:showDLblsOverMax val="0"/>
  </c:chart>
  <c:spPr>
    <a:ln w="6350"/>
    <a:effectLst/>
  </c:spPr>
  <c:externalData r:id="rId1">
    <c:autoUpdate val="0"/>
  </c:externalData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77894226636305"/>
          <c:y val="8.4180938446688003E-2"/>
          <c:w val="0.72024746906636705"/>
          <c:h val="0.78661083324287595"/>
        </c:manualLayout>
      </c:layout>
      <c:scatterChart>
        <c:scatterStyle val="smoothMarker"/>
        <c:varyColors val="0"/>
        <c:ser>
          <c:idx val="0"/>
          <c:order val="0"/>
          <c:tx>
            <c:strRef>
              <c:f>T0!$AX$1</c:f>
              <c:strCache>
                <c:ptCount val="1"/>
                <c:pt idx="0">
                  <c:v>Fund if DW not detected</c:v>
                </c:pt>
              </c:strCache>
            </c:strRef>
          </c:tx>
          <c:spPr>
            <a:ln w="6350">
              <a:solidFill>
                <a:srgbClr val="FF0000"/>
              </a:solidFill>
            </a:ln>
            <a:effectLst/>
          </c:spPr>
          <c:marker>
            <c:symbol val="circle"/>
            <c:size val="2"/>
            <c:spPr>
              <a:solidFill>
                <a:srgbClr val="FF0000"/>
              </a:solidFill>
              <a:ln w="6350">
                <a:solidFill>
                  <a:srgbClr val="FF0000"/>
                </a:solidFill>
              </a:ln>
              <a:effectLst/>
            </c:spPr>
          </c:marker>
          <c:xVal>
            <c:numRef>
              <c:f>T0!$AU$2:$AU$26</c:f>
              <c:numCache>
                <c:formatCode>General</c:formatCode>
                <c:ptCount val="2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</c:numCache>
            </c:numRef>
          </c:xVal>
          <c:yVal>
            <c:numRef>
              <c:f>'T2'!$AQ$52:$AQ$76</c:f>
              <c:numCache>
                <c:formatCode>0.0%</c:formatCode>
                <c:ptCount val="25"/>
                <c:pt idx="0">
                  <c:v>0.66666666666666696</c:v>
                </c:pt>
                <c:pt idx="1">
                  <c:v>0.5</c:v>
                </c:pt>
                <c:pt idx="2">
                  <c:v>0.83333333333333304</c:v>
                </c:pt>
                <c:pt idx="3">
                  <c:v>0.66666666666666696</c:v>
                </c:pt>
                <c:pt idx="4">
                  <c:v>0.83333333333333304</c:v>
                </c:pt>
                <c:pt idx="5">
                  <c:v>0.83333333333333304</c:v>
                </c:pt>
                <c:pt idx="6">
                  <c:v>0.5</c:v>
                </c:pt>
                <c:pt idx="7">
                  <c:v>1</c:v>
                </c:pt>
                <c:pt idx="8">
                  <c:v>0.83333333333333304</c:v>
                </c:pt>
                <c:pt idx="9">
                  <c:v>1</c:v>
                </c:pt>
                <c:pt idx="10">
                  <c:v>1</c:v>
                </c:pt>
                <c:pt idx="11">
                  <c:v>0.66666666666666696</c:v>
                </c:pt>
                <c:pt idx="12">
                  <c:v>0.66666666666666696</c:v>
                </c:pt>
                <c:pt idx="13">
                  <c:v>0.5</c:v>
                </c:pt>
                <c:pt idx="14">
                  <c:v>0.66666666666666696</c:v>
                </c:pt>
                <c:pt idx="15">
                  <c:v>1</c:v>
                </c:pt>
                <c:pt idx="16">
                  <c:v>0.83333333333333304</c:v>
                </c:pt>
                <c:pt idx="17">
                  <c:v>0.5</c:v>
                </c:pt>
                <c:pt idx="18">
                  <c:v>1</c:v>
                </c:pt>
                <c:pt idx="19">
                  <c:v>0.66666666666666696</c:v>
                </c:pt>
                <c:pt idx="20">
                  <c:v>0.83333333333333304</c:v>
                </c:pt>
                <c:pt idx="21">
                  <c:v>1</c:v>
                </c:pt>
                <c:pt idx="22">
                  <c:v>0.5</c:v>
                </c:pt>
                <c:pt idx="23">
                  <c:v>1</c:v>
                </c:pt>
                <c:pt idx="24">
                  <c:v>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41C3-5F40-AEAE-51316A47095F}"/>
            </c:ext>
          </c:extLst>
        </c:ser>
        <c:ser>
          <c:idx val="1"/>
          <c:order val="1"/>
          <c:tx>
            <c:strRef>
              <c:f>T0!$AY$1</c:f>
              <c:strCache>
                <c:ptCount val="1"/>
                <c:pt idx="0">
                  <c:v>Fund if DW detected</c:v>
                </c:pt>
              </c:strCache>
            </c:strRef>
          </c:tx>
          <c:spPr>
            <a:ln w="6350" cmpd="sng">
              <a:solidFill>
                <a:srgbClr val="FF9300"/>
              </a:solidFill>
            </a:ln>
            <a:effectLst/>
          </c:spPr>
          <c:marker>
            <c:symbol val="circle"/>
            <c:size val="2"/>
            <c:spPr>
              <a:solidFill>
                <a:schemeClr val="bg1"/>
              </a:solidFill>
              <a:ln w="6350">
                <a:solidFill>
                  <a:srgbClr val="FF9300"/>
                </a:solidFill>
              </a:ln>
              <a:effectLst/>
            </c:spPr>
          </c:marker>
          <c:xVal>
            <c:numRef>
              <c:f>T0!$AU$2:$AU$26</c:f>
              <c:numCache>
                <c:formatCode>General</c:formatCode>
                <c:ptCount val="2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</c:numCache>
            </c:numRef>
          </c:xVal>
          <c:yVal>
            <c:numRef>
              <c:f>'T2'!$AR$52:$AR$76</c:f>
              <c:numCache>
                <c:formatCode>0.0%</c:formatCode>
                <c:ptCount val="25"/>
                <c:pt idx="0">
                  <c:v>0.66666666666666696</c:v>
                </c:pt>
                <c:pt idx="1">
                  <c:v>0.5</c:v>
                </c:pt>
                <c:pt idx="2">
                  <c:v>0.33333333333333298</c:v>
                </c:pt>
                <c:pt idx="3">
                  <c:v>0.5</c:v>
                </c:pt>
                <c:pt idx="4">
                  <c:v>0.33333333333333298</c:v>
                </c:pt>
                <c:pt idx="5">
                  <c:v>0.5</c:v>
                </c:pt>
                <c:pt idx="6">
                  <c:v>0.33333333333333298</c:v>
                </c:pt>
                <c:pt idx="7">
                  <c:v>0.5</c:v>
                </c:pt>
                <c:pt idx="8">
                  <c:v>0.33333333333333298</c:v>
                </c:pt>
                <c:pt idx="9">
                  <c:v>0.5</c:v>
                </c:pt>
                <c:pt idx="10">
                  <c:v>0.33333333333333298</c:v>
                </c:pt>
                <c:pt idx="11">
                  <c:v>0.33333333333333298</c:v>
                </c:pt>
                <c:pt idx="12">
                  <c:v>0.66666666666666696</c:v>
                </c:pt>
                <c:pt idx="13">
                  <c:v>0.5</c:v>
                </c:pt>
                <c:pt idx="14">
                  <c:v>0.5</c:v>
                </c:pt>
                <c:pt idx="15">
                  <c:v>0.33333333333333298</c:v>
                </c:pt>
                <c:pt idx="16">
                  <c:v>0.66666666666666696</c:v>
                </c:pt>
                <c:pt idx="17">
                  <c:v>0.5</c:v>
                </c:pt>
                <c:pt idx="18">
                  <c:v>0.33333333333333298</c:v>
                </c:pt>
                <c:pt idx="19">
                  <c:v>0.33333333333333298</c:v>
                </c:pt>
                <c:pt idx="20">
                  <c:v>0.83333333333333304</c:v>
                </c:pt>
                <c:pt idx="21">
                  <c:v>0.5</c:v>
                </c:pt>
                <c:pt idx="22">
                  <c:v>0.83333333333333304</c:v>
                </c:pt>
                <c:pt idx="23">
                  <c:v>0.5</c:v>
                </c:pt>
                <c:pt idx="24">
                  <c:v>0.5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41C3-5F40-AEAE-51316A47095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-2097132184"/>
        <c:axId val="-2097140488"/>
      </c:scatterChart>
      <c:valAx>
        <c:axId val="-2097132184"/>
        <c:scaling>
          <c:orientation val="minMax"/>
          <c:max val="25"/>
          <c:min val="1"/>
        </c:scaling>
        <c:delete val="0"/>
        <c:axPos val="b"/>
        <c:title>
          <c:tx>
            <c:rich>
              <a:bodyPr/>
              <a:lstStyle/>
              <a:p>
                <a:pPr>
                  <a:defRPr sz="500" b="0"/>
                </a:pPr>
                <a:r>
                  <a:rPr lang="en-US" sz="5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rPr>
                  <a:t> </a:t>
                </a:r>
                <a:r>
                  <a:rPr lang="en-US" sz="500" b="0"/>
                  <a:t>Round</a:t>
                </a:r>
              </a:p>
            </c:rich>
          </c:tx>
          <c:layout>
            <c:manualLayout>
              <c:xMode val="edge"/>
              <c:yMode val="edge"/>
              <c:x val="0.40041885008276401"/>
              <c:y val="0.90604453870625601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6350"/>
        </c:spPr>
        <c:txPr>
          <a:bodyPr/>
          <a:lstStyle/>
          <a:p>
            <a:pPr>
              <a:defRPr sz="500"/>
            </a:pPr>
            <a:endParaRPr lang="en-US"/>
          </a:p>
        </c:txPr>
        <c:crossAx val="-2097140488"/>
        <c:crosses val="autoZero"/>
        <c:crossBetween val="midCat"/>
        <c:majorUnit val="24"/>
      </c:valAx>
      <c:valAx>
        <c:axId val="-2097140488"/>
        <c:scaling>
          <c:orientation val="minMax"/>
          <c:max val="1"/>
        </c:scaling>
        <c:delete val="0"/>
        <c:axPos val="l"/>
        <c:majorGridlines>
          <c:spPr>
            <a:ln w="6350"/>
          </c:spPr>
        </c:majorGridlines>
        <c:title>
          <c:tx>
            <c:rich>
              <a:bodyPr rot="-5400000" vert="horz"/>
              <a:lstStyle/>
              <a:p>
                <a:pPr>
                  <a:defRPr sz="500" b="0"/>
                </a:pPr>
                <a:r>
                  <a:rPr lang="en-US" sz="500" b="0" i="0" u="none" strike="noStrike" baseline="0">
                    <a:effectLst/>
                  </a:rPr>
                  <a:t>Fund</a:t>
                </a:r>
                <a:r>
                  <a:rPr lang="en-US" sz="500" b="0" i="0" u="none" strike="noStrike" kern="1200" baseline="0">
                    <a:solidFill>
                      <a:sysClr val="windowText" lastClr="000000"/>
                    </a:solidFill>
                    <a:effectLst/>
                    <a:latin typeface="+mn-lt"/>
                    <a:ea typeface="+mn-ea"/>
                    <a:cs typeface="+mn-cs"/>
                  </a:rPr>
                  <a:t> </a:t>
                </a:r>
                <a:r>
                  <a:rPr lang="en-US" sz="500" b="0" i="0" u="none" strike="noStrike" baseline="0">
                    <a:effectLst/>
                  </a:rPr>
                  <a:t>the</a:t>
                </a:r>
                <a:r>
                  <a:rPr lang="en-US" sz="500" b="0" i="0" u="none" strike="noStrike" kern="1200" baseline="0">
                    <a:solidFill>
                      <a:sysClr val="windowText" lastClr="000000"/>
                    </a:solidFill>
                    <a:effectLst/>
                    <a:latin typeface="+mn-lt"/>
                    <a:ea typeface="+mn-ea"/>
                    <a:cs typeface="+mn-cs"/>
                  </a:rPr>
                  <a:t> </a:t>
                </a:r>
                <a:r>
                  <a:rPr lang="en-US" sz="500" b="0" i="0" u="none" strike="noStrike" baseline="0">
                    <a:effectLst/>
                  </a:rPr>
                  <a:t>Bank</a:t>
                </a:r>
                <a:r>
                  <a:rPr lang="en-US" sz="500" b="0" i="0" u="none" strike="noStrike" kern="1200" baseline="0">
                    <a:solidFill>
                      <a:sysClr val="windowText" lastClr="000000"/>
                    </a:solidFill>
                    <a:effectLst/>
                    <a:latin typeface="+mn-lt"/>
                    <a:ea typeface="+mn-ea"/>
                    <a:cs typeface="+mn-cs"/>
                  </a:rPr>
                  <a:t> </a:t>
                </a:r>
                <a:endParaRPr lang="en-US" sz="500" b="0"/>
              </a:p>
            </c:rich>
          </c:tx>
          <c:layout>
            <c:manualLayout>
              <c:xMode val="edge"/>
              <c:yMode val="edge"/>
              <c:x val="0"/>
              <c:y val="0.28127771144195501"/>
            </c:manualLayout>
          </c:layout>
          <c:overlay val="0"/>
        </c:title>
        <c:numFmt formatCode="0%" sourceLinked="0"/>
        <c:majorTickMark val="out"/>
        <c:minorTickMark val="none"/>
        <c:tickLblPos val="nextTo"/>
        <c:spPr>
          <a:ln w="6350"/>
        </c:spPr>
        <c:txPr>
          <a:bodyPr/>
          <a:lstStyle/>
          <a:p>
            <a:pPr>
              <a:defRPr sz="400"/>
            </a:pPr>
            <a:endParaRPr lang="en-US"/>
          </a:p>
        </c:txPr>
        <c:crossAx val="-2097132184"/>
        <c:crosses val="autoZero"/>
        <c:crossBetween val="midCat"/>
        <c:majorUnit val="1"/>
      </c:valAx>
      <c:spPr>
        <a:ln w="6350">
          <a:solidFill>
            <a:schemeClr val="bg1">
              <a:lumMod val="50000"/>
            </a:schemeClr>
          </a:solidFill>
        </a:ln>
      </c:spPr>
    </c:plotArea>
    <c:plotVisOnly val="1"/>
    <c:dispBlanksAs val="gap"/>
    <c:showDLblsOverMax val="0"/>
  </c:chart>
  <c:spPr>
    <a:ln w="6350"/>
    <a:effectLst/>
  </c:spPr>
  <c:externalData r:id="rId1">
    <c:autoUpdate val="0"/>
  </c:externalData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77894226636305"/>
          <c:y val="8.4180938446688003E-2"/>
          <c:w val="0.72024746906636705"/>
          <c:h val="0.78661083324287595"/>
        </c:manualLayout>
      </c:layout>
      <c:scatterChart>
        <c:scatterStyle val="smoothMarker"/>
        <c:varyColors val="0"/>
        <c:ser>
          <c:idx val="0"/>
          <c:order val="0"/>
          <c:tx>
            <c:strRef>
              <c:f>T0!$AX$1</c:f>
              <c:strCache>
                <c:ptCount val="1"/>
                <c:pt idx="0">
                  <c:v>Fund if DW not detected</c:v>
                </c:pt>
              </c:strCache>
            </c:strRef>
          </c:tx>
          <c:spPr>
            <a:ln w="6350">
              <a:solidFill>
                <a:srgbClr val="00B0F0"/>
              </a:solidFill>
            </a:ln>
            <a:effectLst/>
          </c:spPr>
          <c:marker>
            <c:symbol val="square"/>
            <c:size val="2"/>
            <c:spPr>
              <a:solidFill>
                <a:srgbClr val="00B0F0"/>
              </a:solidFill>
              <a:ln w="6350">
                <a:noFill/>
              </a:ln>
              <a:effectLst/>
            </c:spPr>
          </c:marker>
          <c:xVal>
            <c:numRef>
              <c:f>T0!$AU$2:$AU$26</c:f>
              <c:numCache>
                <c:formatCode>General</c:formatCode>
                <c:ptCount val="2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</c:numCache>
            </c:numRef>
          </c:xVal>
          <c:yVal>
            <c:numRef>
              <c:f>'T2'!$AO$52:$AO$76</c:f>
              <c:numCache>
                <c:formatCode>0.0%</c:formatCode>
                <c:ptCount val="25"/>
                <c:pt idx="0">
                  <c:v>0.66666666666666696</c:v>
                </c:pt>
                <c:pt idx="1">
                  <c:v>0.33333333333333298</c:v>
                </c:pt>
                <c:pt idx="2">
                  <c:v>0.5</c:v>
                </c:pt>
                <c:pt idx="3">
                  <c:v>0.5</c:v>
                </c:pt>
                <c:pt idx="4">
                  <c:v>0.5</c:v>
                </c:pt>
                <c:pt idx="5">
                  <c:v>0.5</c:v>
                </c:pt>
                <c:pt idx="6">
                  <c:v>0.5</c:v>
                </c:pt>
                <c:pt idx="7">
                  <c:v>0.83333333333333304</c:v>
                </c:pt>
                <c:pt idx="8">
                  <c:v>0.5</c:v>
                </c:pt>
                <c:pt idx="9">
                  <c:v>0.83333333333333304</c:v>
                </c:pt>
                <c:pt idx="10">
                  <c:v>0.66666666666666696</c:v>
                </c:pt>
                <c:pt idx="11">
                  <c:v>0.66666666666666696</c:v>
                </c:pt>
                <c:pt idx="12">
                  <c:v>0.66666666666666696</c:v>
                </c:pt>
                <c:pt idx="13">
                  <c:v>0.66666666666666696</c:v>
                </c:pt>
                <c:pt idx="14">
                  <c:v>0.5</c:v>
                </c:pt>
                <c:pt idx="15">
                  <c:v>0.66666666666666696</c:v>
                </c:pt>
                <c:pt idx="16">
                  <c:v>1</c:v>
                </c:pt>
                <c:pt idx="17">
                  <c:v>0.83333333333333304</c:v>
                </c:pt>
                <c:pt idx="18">
                  <c:v>0.66666666666666696</c:v>
                </c:pt>
                <c:pt idx="19">
                  <c:v>0.66666666666666696</c:v>
                </c:pt>
                <c:pt idx="20">
                  <c:v>1</c:v>
                </c:pt>
                <c:pt idx="21">
                  <c:v>0.66666666666666696</c:v>
                </c:pt>
                <c:pt idx="22">
                  <c:v>0.5</c:v>
                </c:pt>
                <c:pt idx="23">
                  <c:v>0.83333333333333304</c:v>
                </c:pt>
                <c:pt idx="24">
                  <c:v>0.66666666666666696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BF92-3445-8D89-3EDEC55DEC09}"/>
            </c:ext>
          </c:extLst>
        </c:ser>
        <c:ser>
          <c:idx val="1"/>
          <c:order val="1"/>
          <c:tx>
            <c:strRef>
              <c:f>T0!$AY$1</c:f>
              <c:strCache>
                <c:ptCount val="1"/>
                <c:pt idx="0">
                  <c:v>Fund if DW detected</c:v>
                </c:pt>
              </c:strCache>
            </c:strRef>
          </c:tx>
          <c:spPr>
            <a:ln w="6350" cmpd="sng">
              <a:solidFill>
                <a:srgbClr val="002060"/>
              </a:solidFill>
            </a:ln>
            <a:effectLst/>
          </c:spPr>
          <c:marker>
            <c:symbol val="square"/>
            <c:size val="2"/>
            <c:spPr>
              <a:solidFill>
                <a:schemeClr val="bg1"/>
              </a:solidFill>
              <a:ln w="3175">
                <a:solidFill>
                  <a:srgbClr val="002060"/>
                </a:solidFill>
              </a:ln>
              <a:effectLst/>
            </c:spPr>
          </c:marker>
          <c:xVal>
            <c:numRef>
              <c:f>T0!$AU$2:$AU$26</c:f>
              <c:numCache>
                <c:formatCode>General</c:formatCode>
                <c:ptCount val="2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</c:numCache>
            </c:numRef>
          </c:xVal>
          <c:yVal>
            <c:numRef>
              <c:f>'T2'!$AP$52:$AP$76</c:f>
              <c:numCache>
                <c:formatCode>0.0%</c:formatCode>
                <c:ptCount val="25"/>
                <c:pt idx="0">
                  <c:v>0.5</c:v>
                </c:pt>
                <c:pt idx="1">
                  <c:v>0.33333333333333298</c:v>
                </c:pt>
                <c:pt idx="2">
                  <c:v>0.33333333333333298</c:v>
                </c:pt>
                <c:pt idx="3">
                  <c:v>0.5</c:v>
                </c:pt>
                <c:pt idx="4">
                  <c:v>0.83333333333333304</c:v>
                </c:pt>
                <c:pt idx="5">
                  <c:v>0.66666666666666696</c:v>
                </c:pt>
                <c:pt idx="6">
                  <c:v>0.33333333333333298</c:v>
                </c:pt>
                <c:pt idx="7">
                  <c:v>0.5</c:v>
                </c:pt>
                <c:pt idx="8">
                  <c:v>0.5</c:v>
                </c:pt>
                <c:pt idx="9">
                  <c:v>0.33333333333333298</c:v>
                </c:pt>
                <c:pt idx="10">
                  <c:v>0.66666666666666696</c:v>
                </c:pt>
                <c:pt idx="11">
                  <c:v>0.5</c:v>
                </c:pt>
                <c:pt idx="12">
                  <c:v>0.5</c:v>
                </c:pt>
                <c:pt idx="13">
                  <c:v>0.66666666666666696</c:v>
                </c:pt>
                <c:pt idx="14">
                  <c:v>0.66666666666666696</c:v>
                </c:pt>
                <c:pt idx="15">
                  <c:v>0.66666666666666696</c:v>
                </c:pt>
                <c:pt idx="16">
                  <c:v>0.66666666666666696</c:v>
                </c:pt>
                <c:pt idx="17">
                  <c:v>0.83333333333333304</c:v>
                </c:pt>
                <c:pt idx="18">
                  <c:v>0.66666666666666696</c:v>
                </c:pt>
                <c:pt idx="19">
                  <c:v>0.66666666666666696</c:v>
                </c:pt>
                <c:pt idx="20">
                  <c:v>0.66666666666666696</c:v>
                </c:pt>
                <c:pt idx="21">
                  <c:v>0.66666666666666696</c:v>
                </c:pt>
                <c:pt idx="22">
                  <c:v>0.66666666666666696</c:v>
                </c:pt>
                <c:pt idx="23">
                  <c:v>1</c:v>
                </c:pt>
                <c:pt idx="24">
                  <c:v>0.5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BF92-3445-8D89-3EDEC55DEC0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-2105558424"/>
        <c:axId val="-2105561288"/>
      </c:scatterChart>
      <c:valAx>
        <c:axId val="-2105558424"/>
        <c:scaling>
          <c:orientation val="minMax"/>
          <c:max val="25"/>
          <c:min val="1"/>
        </c:scaling>
        <c:delete val="0"/>
        <c:axPos val="b"/>
        <c:title>
          <c:tx>
            <c:rich>
              <a:bodyPr/>
              <a:lstStyle/>
              <a:p>
                <a:pPr>
                  <a:defRPr sz="500" b="0"/>
                </a:pPr>
                <a:r>
                  <a:rPr lang="en-US" sz="5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rPr>
                  <a:t> </a:t>
                </a:r>
                <a:r>
                  <a:rPr lang="en-US" sz="500" b="0"/>
                  <a:t>Round</a:t>
                </a:r>
              </a:p>
            </c:rich>
          </c:tx>
          <c:layout>
            <c:manualLayout>
              <c:xMode val="edge"/>
              <c:yMode val="edge"/>
              <c:x val="0.40041885008276401"/>
              <c:y val="0.90604453870625601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6350"/>
        </c:spPr>
        <c:txPr>
          <a:bodyPr/>
          <a:lstStyle/>
          <a:p>
            <a:pPr>
              <a:defRPr sz="500"/>
            </a:pPr>
            <a:endParaRPr lang="en-US"/>
          </a:p>
        </c:txPr>
        <c:crossAx val="-2105561288"/>
        <c:crosses val="autoZero"/>
        <c:crossBetween val="midCat"/>
        <c:majorUnit val="24"/>
      </c:valAx>
      <c:valAx>
        <c:axId val="-2105561288"/>
        <c:scaling>
          <c:orientation val="minMax"/>
          <c:max val="1"/>
        </c:scaling>
        <c:delete val="0"/>
        <c:axPos val="l"/>
        <c:majorGridlines>
          <c:spPr>
            <a:ln w="6350"/>
          </c:spPr>
        </c:majorGridlines>
        <c:title>
          <c:tx>
            <c:rich>
              <a:bodyPr rot="-5400000" vert="horz"/>
              <a:lstStyle/>
              <a:p>
                <a:pPr>
                  <a:defRPr sz="500" b="0"/>
                </a:pPr>
                <a:r>
                  <a:rPr lang="en-US" sz="500" b="0" i="0" u="none" strike="noStrike" baseline="0">
                    <a:effectLst/>
                  </a:rPr>
                  <a:t>Borrow</a:t>
                </a:r>
                <a:r>
                  <a:rPr lang="en-US" sz="500" b="0" i="0" u="none" strike="noStrike" kern="1200" baseline="0">
                    <a:solidFill>
                      <a:sysClr val="windowText" lastClr="000000"/>
                    </a:solidFill>
                    <a:effectLst/>
                    <a:latin typeface="+mn-lt"/>
                    <a:ea typeface="+mn-ea"/>
                    <a:cs typeface="+mn-cs"/>
                  </a:rPr>
                  <a:t> </a:t>
                </a:r>
                <a:r>
                  <a:rPr lang="en-US" sz="500" b="0" i="0" u="none" strike="noStrike" baseline="0">
                    <a:effectLst/>
                  </a:rPr>
                  <a:t>at</a:t>
                </a:r>
                <a:r>
                  <a:rPr lang="en-US" sz="500" b="0" i="0" u="none" strike="noStrike" kern="1200" baseline="0">
                    <a:solidFill>
                      <a:sysClr val="windowText" lastClr="000000"/>
                    </a:solidFill>
                    <a:effectLst/>
                    <a:latin typeface="+mn-lt"/>
                    <a:ea typeface="+mn-ea"/>
                    <a:cs typeface="+mn-cs"/>
                  </a:rPr>
                  <a:t> </a:t>
                </a:r>
                <a:r>
                  <a:rPr lang="en-US" sz="500" b="0" i="0" u="none" strike="noStrike" baseline="0">
                    <a:effectLst/>
                  </a:rPr>
                  <a:t>DW</a:t>
                </a:r>
                <a:endParaRPr lang="en-US" sz="500" b="0"/>
              </a:p>
            </c:rich>
          </c:tx>
          <c:layout>
            <c:manualLayout>
              <c:xMode val="edge"/>
              <c:yMode val="edge"/>
              <c:x val="0"/>
              <c:y val="0.28127771144195501"/>
            </c:manualLayout>
          </c:layout>
          <c:overlay val="0"/>
        </c:title>
        <c:numFmt formatCode="0%" sourceLinked="0"/>
        <c:majorTickMark val="out"/>
        <c:minorTickMark val="none"/>
        <c:tickLblPos val="nextTo"/>
        <c:spPr>
          <a:ln w="6350"/>
        </c:spPr>
        <c:txPr>
          <a:bodyPr/>
          <a:lstStyle/>
          <a:p>
            <a:pPr>
              <a:defRPr sz="400"/>
            </a:pPr>
            <a:endParaRPr lang="en-US"/>
          </a:p>
        </c:txPr>
        <c:crossAx val="-2105558424"/>
        <c:crosses val="autoZero"/>
        <c:crossBetween val="midCat"/>
        <c:majorUnit val="1"/>
      </c:valAx>
      <c:spPr>
        <a:ln w="6350">
          <a:solidFill>
            <a:schemeClr val="bg1">
              <a:lumMod val="50000"/>
            </a:schemeClr>
          </a:solidFill>
        </a:ln>
      </c:spPr>
    </c:plotArea>
    <c:plotVisOnly val="1"/>
    <c:dispBlanksAs val="gap"/>
    <c:showDLblsOverMax val="0"/>
  </c:chart>
  <c:spPr>
    <a:ln w="6350"/>
    <a:effectLst/>
  </c:spPr>
  <c:externalData r:id="rId1">
    <c:autoUpdate val="0"/>
  </c:externalData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77894226636305"/>
          <c:y val="8.4180938446688003E-2"/>
          <c:w val="0.72024746906636705"/>
          <c:h val="0.78661083324287595"/>
        </c:manualLayout>
      </c:layout>
      <c:scatterChart>
        <c:scatterStyle val="smoothMarker"/>
        <c:varyColors val="0"/>
        <c:ser>
          <c:idx val="0"/>
          <c:order val="0"/>
          <c:tx>
            <c:strRef>
              <c:f>T0!$AX$1</c:f>
              <c:strCache>
                <c:ptCount val="1"/>
                <c:pt idx="0">
                  <c:v>Fund if DW not detected</c:v>
                </c:pt>
              </c:strCache>
            </c:strRef>
          </c:tx>
          <c:spPr>
            <a:ln w="6350">
              <a:solidFill>
                <a:srgbClr val="FF0000"/>
              </a:solidFill>
            </a:ln>
            <a:effectLst/>
          </c:spPr>
          <c:marker>
            <c:symbol val="circle"/>
            <c:size val="2"/>
            <c:spPr>
              <a:solidFill>
                <a:srgbClr val="FF0000"/>
              </a:solidFill>
              <a:ln w="6350">
                <a:solidFill>
                  <a:srgbClr val="FF0000"/>
                </a:solidFill>
              </a:ln>
              <a:effectLst/>
            </c:spPr>
          </c:marker>
          <c:xVal>
            <c:numRef>
              <c:f>T0!$AU$2:$AU$26</c:f>
              <c:numCache>
                <c:formatCode>General</c:formatCode>
                <c:ptCount val="2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</c:numCache>
            </c:numRef>
          </c:xVal>
          <c:yVal>
            <c:numRef>
              <c:f>'T2'!$AQ$77:$AQ$101</c:f>
              <c:numCache>
                <c:formatCode>0.0%</c:formatCode>
                <c:ptCount val="25"/>
                <c:pt idx="0">
                  <c:v>0.66666666666666696</c:v>
                </c:pt>
                <c:pt idx="1">
                  <c:v>0.5</c:v>
                </c:pt>
                <c:pt idx="2">
                  <c:v>0.83333333333333304</c:v>
                </c:pt>
                <c:pt idx="3">
                  <c:v>0.5</c:v>
                </c:pt>
                <c:pt idx="4">
                  <c:v>0.66666666666666696</c:v>
                </c:pt>
                <c:pt idx="5">
                  <c:v>0.83333333333333304</c:v>
                </c:pt>
                <c:pt idx="6">
                  <c:v>0.83333333333333304</c:v>
                </c:pt>
                <c:pt idx="7">
                  <c:v>0.33333333333333298</c:v>
                </c:pt>
                <c:pt idx="8">
                  <c:v>0.83333333333333304</c:v>
                </c:pt>
                <c:pt idx="9">
                  <c:v>1</c:v>
                </c:pt>
                <c:pt idx="10">
                  <c:v>0.83333333333333304</c:v>
                </c:pt>
                <c:pt idx="11">
                  <c:v>0.83333333333333304</c:v>
                </c:pt>
                <c:pt idx="12">
                  <c:v>1</c:v>
                </c:pt>
                <c:pt idx="13">
                  <c:v>0.83333333333333304</c:v>
                </c:pt>
                <c:pt idx="14">
                  <c:v>0.66666666666666696</c:v>
                </c:pt>
                <c:pt idx="15">
                  <c:v>0.83333333333333304</c:v>
                </c:pt>
                <c:pt idx="16">
                  <c:v>0.83333333333333304</c:v>
                </c:pt>
                <c:pt idx="17">
                  <c:v>0.83333333333333304</c:v>
                </c:pt>
                <c:pt idx="18">
                  <c:v>1</c:v>
                </c:pt>
                <c:pt idx="19">
                  <c:v>0.66666666666666696</c:v>
                </c:pt>
                <c:pt idx="20">
                  <c:v>0.83333333333333304</c:v>
                </c:pt>
                <c:pt idx="21">
                  <c:v>0.83333333333333304</c:v>
                </c:pt>
                <c:pt idx="22">
                  <c:v>0.83333333333333304</c:v>
                </c:pt>
                <c:pt idx="23">
                  <c:v>0.83333333333333304</c:v>
                </c:pt>
                <c:pt idx="24">
                  <c:v>0.83333333333333304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3CCD-B340-A740-EE5AC0E97022}"/>
            </c:ext>
          </c:extLst>
        </c:ser>
        <c:ser>
          <c:idx val="1"/>
          <c:order val="1"/>
          <c:tx>
            <c:strRef>
              <c:f>T0!$AY$1</c:f>
              <c:strCache>
                <c:ptCount val="1"/>
                <c:pt idx="0">
                  <c:v>Fund if DW detected</c:v>
                </c:pt>
              </c:strCache>
            </c:strRef>
          </c:tx>
          <c:spPr>
            <a:ln w="6350" cmpd="sng">
              <a:solidFill>
                <a:srgbClr val="FF9300"/>
              </a:solidFill>
            </a:ln>
            <a:effectLst/>
          </c:spPr>
          <c:marker>
            <c:symbol val="circle"/>
            <c:size val="2"/>
            <c:spPr>
              <a:solidFill>
                <a:schemeClr val="bg1"/>
              </a:solidFill>
              <a:ln w="6350">
                <a:solidFill>
                  <a:srgbClr val="FF9300"/>
                </a:solidFill>
              </a:ln>
              <a:effectLst/>
            </c:spPr>
          </c:marker>
          <c:xVal>
            <c:numRef>
              <c:f>T0!$AU$2:$AU$26</c:f>
              <c:numCache>
                <c:formatCode>General</c:formatCode>
                <c:ptCount val="2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</c:numCache>
            </c:numRef>
          </c:xVal>
          <c:yVal>
            <c:numRef>
              <c:f>'T2'!$AR$77:$AR$101</c:f>
              <c:numCache>
                <c:formatCode>0.0%</c:formatCode>
                <c:ptCount val="25"/>
                <c:pt idx="0">
                  <c:v>0.33333333333333298</c:v>
                </c:pt>
                <c:pt idx="1">
                  <c:v>0.33333333333333298</c:v>
                </c:pt>
                <c:pt idx="2">
                  <c:v>0.33333333333333298</c:v>
                </c:pt>
                <c:pt idx="3">
                  <c:v>0.5</c:v>
                </c:pt>
                <c:pt idx="4">
                  <c:v>0.33333333333333298</c:v>
                </c:pt>
                <c:pt idx="5">
                  <c:v>0.16666666666666699</c:v>
                </c:pt>
                <c:pt idx="6">
                  <c:v>0.33333333333333298</c:v>
                </c:pt>
                <c:pt idx="7">
                  <c:v>0.33333333333333298</c:v>
                </c:pt>
                <c:pt idx="8">
                  <c:v>0.33333333333333298</c:v>
                </c:pt>
                <c:pt idx="9">
                  <c:v>0.33333333333333298</c:v>
                </c:pt>
                <c:pt idx="10">
                  <c:v>0.33333333333333298</c:v>
                </c:pt>
                <c:pt idx="11">
                  <c:v>0.33333333333333298</c:v>
                </c:pt>
                <c:pt idx="12">
                  <c:v>0.16666666666666699</c:v>
                </c:pt>
                <c:pt idx="13">
                  <c:v>0.5</c:v>
                </c:pt>
                <c:pt idx="14">
                  <c:v>0.5</c:v>
                </c:pt>
                <c:pt idx="15">
                  <c:v>0.66666666666666696</c:v>
                </c:pt>
                <c:pt idx="16">
                  <c:v>0.5</c:v>
                </c:pt>
                <c:pt idx="17">
                  <c:v>0.16666666666666699</c:v>
                </c:pt>
                <c:pt idx="18">
                  <c:v>0.5</c:v>
                </c:pt>
                <c:pt idx="19">
                  <c:v>0.66666666666666696</c:v>
                </c:pt>
                <c:pt idx="20">
                  <c:v>0.5</c:v>
                </c:pt>
                <c:pt idx="21">
                  <c:v>0.33333333333333298</c:v>
                </c:pt>
                <c:pt idx="22">
                  <c:v>0.16666666666666699</c:v>
                </c:pt>
                <c:pt idx="23">
                  <c:v>0.5</c:v>
                </c:pt>
                <c:pt idx="24">
                  <c:v>0.33333333333333298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3CCD-B340-A740-EE5AC0E9702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-2105602424"/>
        <c:axId val="-2105615496"/>
      </c:scatterChart>
      <c:valAx>
        <c:axId val="-2105602424"/>
        <c:scaling>
          <c:orientation val="minMax"/>
          <c:max val="25"/>
          <c:min val="1"/>
        </c:scaling>
        <c:delete val="0"/>
        <c:axPos val="b"/>
        <c:title>
          <c:tx>
            <c:rich>
              <a:bodyPr/>
              <a:lstStyle/>
              <a:p>
                <a:pPr>
                  <a:defRPr sz="500" b="0"/>
                </a:pPr>
                <a:r>
                  <a:rPr lang="en-US" sz="5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rPr>
                  <a:t> </a:t>
                </a:r>
                <a:r>
                  <a:rPr lang="en-US" sz="500" b="0"/>
                  <a:t>Round</a:t>
                </a:r>
              </a:p>
            </c:rich>
          </c:tx>
          <c:layout>
            <c:manualLayout>
              <c:xMode val="edge"/>
              <c:yMode val="edge"/>
              <c:x val="0.40041885008276401"/>
              <c:y val="0.90604453870625601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6350"/>
        </c:spPr>
        <c:txPr>
          <a:bodyPr/>
          <a:lstStyle/>
          <a:p>
            <a:pPr>
              <a:defRPr sz="500"/>
            </a:pPr>
            <a:endParaRPr lang="en-US"/>
          </a:p>
        </c:txPr>
        <c:crossAx val="-2105615496"/>
        <c:crosses val="autoZero"/>
        <c:crossBetween val="midCat"/>
        <c:majorUnit val="24"/>
      </c:valAx>
      <c:valAx>
        <c:axId val="-2105615496"/>
        <c:scaling>
          <c:orientation val="minMax"/>
          <c:max val="1"/>
        </c:scaling>
        <c:delete val="0"/>
        <c:axPos val="l"/>
        <c:majorGridlines>
          <c:spPr>
            <a:ln w="6350"/>
          </c:spPr>
        </c:majorGridlines>
        <c:title>
          <c:tx>
            <c:rich>
              <a:bodyPr rot="-5400000" vert="horz"/>
              <a:lstStyle/>
              <a:p>
                <a:pPr>
                  <a:defRPr sz="500" b="0"/>
                </a:pPr>
                <a:r>
                  <a:rPr lang="en-US" sz="500" b="0" i="0" u="none" strike="noStrike" baseline="0">
                    <a:effectLst/>
                  </a:rPr>
                  <a:t>Fund</a:t>
                </a:r>
                <a:r>
                  <a:rPr lang="en-US" sz="500" b="0" i="0" u="none" strike="noStrike" kern="1200" baseline="0">
                    <a:solidFill>
                      <a:sysClr val="windowText" lastClr="000000"/>
                    </a:solidFill>
                    <a:effectLst/>
                    <a:latin typeface="+mn-lt"/>
                    <a:ea typeface="+mn-ea"/>
                    <a:cs typeface="+mn-cs"/>
                  </a:rPr>
                  <a:t> </a:t>
                </a:r>
                <a:r>
                  <a:rPr lang="en-US" sz="500" b="0" i="0" u="none" strike="noStrike" baseline="0">
                    <a:effectLst/>
                  </a:rPr>
                  <a:t>the</a:t>
                </a:r>
                <a:r>
                  <a:rPr lang="en-US" sz="500" b="0" i="0" u="none" strike="noStrike" kern="1200" baseline="0">
                    <a:solidFill>
                      <a:sysClr val="windowText" lastClr="000000"/>
                    </a:solidFill>
                    <a:effectLst/>
                    <a:latin typeface="+mn-lt"/>
                    <a:ea typeface="+mn-ea"/>
                    <a:cs typeface="+mn-cs"/>
                  </a:rPr>
                  <a:t> </a:t>
                </a:r>
                <a:r>
                  <a:rPr lang="en-US" sz="500" b="0" i="0" u="none" strike="noStrike" baseline="0">
                    <a:effectLst/>
                  </a:rPr>
                  <a:t>Bank</a:t>
                </a:r>
                <a:r>
                  <a:rPr lang="en-US" sz="500" b="0" i="0" u="none" strike="noStrike" kern="1200" baseline="0">
                    <a:solidFill>
                      <a:sysClr val="windowText" lastClr="000000"/>
                    </a:solidFill>
                    <a:effectLst/>
                    <a:latin typeface="+mn-lt"/>
                    <a:ea typeface="+mn-ea"/>
                    <a:cs typeface="+mn-cs"/>
                  </a:rPr>
                  <a:t> </a:t>
                </a:r>
                <a:endParaRPr lang="en-US" sz="500" b="0"/>
              </a:p>
            </c:rich>
          </c:tx>
          <c:layout>
            <c:manualLayout>
              <c:xMode val="edge"/>
              <c:yMode val="edge"/>
              <c:x val="0"/>
              <c:y val="0.28127771144195501"/>
            </c:manualLayout>
          </c:layout>
          <c:overlay val="0"/>
        </c:title>
        <c:numFmt formatCode="0%" sourceLinked="0"/>
        <c:majorTickMark val="out"/>
        <c:minorTickMark val="none"/>
        <c:tickLblPos val="nextTo"/>
        <c:spPr>
          <a:ln w="6350"/>
        </c:spPr>
        <c:txPr>
          <a:bodyPr/>
          <a:lstStyle/>
          <a:p>
            <a:pPr>
              <a:defRPr sz="400"/>
            </a:pPr>
            <a:endParaRPr lang="en-US"/>
          </a:p>
        </c:txPr>
        <c:crossAx val="-2105602424"/>
        <c:crosses val="autoZero"/>
        <c:crossBetween val="midCat"/>
        <c:majorUnit val="1"/>
      </c:valAx>
      <c:spPr>
        <a:ln w="6350">
          <a:solidFill>
            <a:schemeClr val="bg1">
              <a:lumMod val="50000"/>
            </a:schemeClr>
          </a:solidFill>
        </a:ln>
      </c:spPr>
    </c:plotArea>
    <c:plotVisOnly val="1"/>
    <c:dispBlanksAs val="gap"/>
    <c:showDLblsOverMax val="0"/>
  </c:chart>
  <c:spPr>
    <a:ln w="6350"/>
    <a:effectLst/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 algn="ctr">
              <a:defRPr/>
            </a:pPr>
            <a:r>
              <a:rPr lang="en-US" sz="1000" b="0" baseline="0"/>
              <a:t>Banks</a:t>
            </a:r>
            <a:r>
              <a:rPr lang="en-US" sz="10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rPr>
              <a:t> </a:t>
            </a:r>
            <a:r>
              <a:rPr lang="en-US" sz="1000" b="0" baseline="0"/>
              <a:t>Behavior</a:t>
            </a:r>
            <a:r>
              <a:rPr lang="en-US" sz="10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rPr>
              <a:t> </a:t>
            </a:r>
            <a:endParaRPr lang="en-US" sz="1000" b="0" baseline="50000"/>
          </a:p>
        </c:rich>
      </c:tx>
      <c:layout>
        <c:manualLayout>
          <c:xMode val="edge"/>
          <c:yMode val="edge"/>
          <c:x val="0.34404906117504602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11745070327748"/>
          <c:y val="8.0491551459293403E-2"/>
          <c:w val="0.85077629719362002"/>
          <c:h val="0.74560155786978199"/>
        </c:manualLayout>
      </c:layout>
      <c:scatterChart>
        <c:scatterStyle val="smoothMarker"/>
        <c:varyColors val="0"/>
        <c:ser>
          <c:idx val="0"/>
          <c:order val="0"/>
          <c:tx>
            <c:strRef>
              <c:f>T0!$AV$1</c:f>
              <c:strCache>
                <c:ptCount val="1"/>
                <c:pt idx="0">
                  <c:v>Borrow if illiquid-solvent</c:v>
                </c:pt>
              </c:strCache>
            </c:strRef>
          </c:tx>
          <c:spPr>
            <a:ln w="12700">
              <a:solidFill>
                <a:srgbClr val="00B0F0"/>
              </a:solidFill>
            </a:ln>
            <a:effectLst/>
          </c:spPr>
          <c:marker>
            <c:symbol val="square"/>
            <c:size val="5"/>
            <c:spPr>
              <a:solidFill>
                <a:srgbClr val="00B0F0"/>
              </a:solidFill>
              <a:ln>
                <a:solidFill>
                  <a:srgbClr val="00B0F0"/>
                </a:solidFill>
              </a:ln>
              <a:effectLst/>
            </c:spPr>
          </c:marker>
          <c:xVal>
            <c:numRef>
              <c:f>T0!$AU$2:$AU$26</c:f>
              <c:numCache>
                <c:formatCode>General</c:formatCode>
                <c:ptCount val="2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</c:numCache>
            </c:numRef>
          </c:xVal>
          <c:yVal>
            <c:numRef>
              <c:f>'T1'!$AV$2:$AV$26</c:f>
              <c:numCache>
                <c:formatCode>0.0%</c:formatCode>
                <c:ptCount val="25"/>
                <c:pt idx="0">
                  <c:v>0.63888888888888895</c:v>
                </c:pt>
                <c:pt idx="1">
                  <c:v>0.61111111111111105</c:v>
                </c:pt>
                <c:pt idx="2">
                  <c:v>0.61111111111111105</c:v>
                </c:pt>
                <c:pt idx="3">
                  <c:v>0.5</c:v>
                </c:pt>
                <c:pt idx="4">
                  <c:v>0.5</c:v>
                </c:pt>
                <c:pt idx="5">
                  <c:v>0.5</c:v>
                </c:pt>
                <c:pt idx="6">
                  <c:v>0.44444444444444398</c:v>
                </c:pt>
                <c:pt idx="7">
                  <c:v>0.41666666666666702</c:v>
                </c:pt>
                <c:pt idx="8">
                  <c:v>0.33333333333333298</c:v>
                </c:pt>
                <c:pt idx="9">
                  <c:v>0.194444444444444</c:v>
                </c:pt>
                <c:pt idx="10">
                  <c:v>0.27777777777777801</c:v>
                </c:pt>
                <c:pt idx="11">
                  <c:v>0.27777777777777801</c:v>
                </c:pt>
                <c:pt idx="12">
                  <c:v>0.22222222222222199</c:v>
                </c:pt>
                <c:pt idx="13">
                  <c:v>0.27777777777777801</c:v>
                </c:pt>
                <c:pt idx="14">
                  <c:v>0.30555555555555503</c:v>
                </c:pt>
                <c:pt idx="15">
                  <c:v>0.33333333333333298</c:v>
                </c:pt>
                <c:pt idx="16">
                  <c:v>0.33333333333333298</c:v>
                </c:pt>
                <c:pt idx="17">
                  <c:v>0.30555555555555503</c:v>
                </c:pt>
                <c:pt idx="18">
                  <c:v>0.27777777777777801</c:v>
                </c:pt>
                <c:pt idx="19">
                  <c:v>0.25</c:v>
                </c:pt>
                <c:pt idx="20">
                  <c:v>0.33333333333333298</c:v>
                </c:pt>
                <c:pt idx="21">
                  <c:v>0.27777777777777801</c:v>
                </c:pt>
                <c:pt idx="22">
                  <c:v>0.194444444444444</c:v>
                </c:pt>
                <c:pt idx="23">
                  <c:v>0.194444444444444</c:v>
                </c:pt>
                <c:pt idx="24">
                  <c:v>0.194444444444444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5EE6-704D-AE90-98D92C2DF4B0}"/>
            </c:ext>
          </c:extLst>
        </c:ser>
        <c:ser>
          <c:idx val="1"/>
          <c:order val="1"/>
          <c:tx>
            <c:strRef>
              <c:f>T0!$AW$1</c:f>
              <c:strCache>
                <c:ptCount val="1"/>
                <c:pt idx="0">
                  <c:v>Borrow if illiquid-insolvent</c:v>
                </c:pt>
              </c:strCache>
            </c:strRef>
          </c:tx>
          <c:spPr>
            <a:ln w="9525" cmpd="sng">
              <a:solidFill>
                <a:srgbClr val="002060"/>
              </a:solidFill>
            </a:ln>
            <a:effectLst/>
          </c:spPr>
          <c:marker>
            <c:symbol val="square"/>
            <c:size val="5"/>
            <c:spPr>
              <a:solidFill>
                <a:schemeClr val="bg1"/>
              </a:solidFill>
              <a:ln w="12700">
                <a:solidFill>
                  <a:srgbClr val="002060"/>
                </a:solidFill>
              </a:ln>
              <a:effectLst/>
            </c:spPr>
          </c:marker>
          <c:xVal>
            <c:numRef>
              <c:f>T0!$AU$2:$AU$26</c:f>
              <c:numCache>
                <c:formatCode>General</c:formatCode>
                <c:ptCount val="2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</c:numCache>
            </c:numRef>
          </c:xVal>
          <c:yVal>
            <c:numRef>
              <c:f>'T1'!$AW$2:$AW$26</c:f>
              <c:numCache>
                <c:formatCode>0.0%</c:formatCode>
                <c:ptCount val="25"/>
                <c:pt idx="0">
                  <c:v>0.63888888888888895</c:v>
                </c:pt>
                <c:pt idx="1">
                  <c:v>0.61111111111111105</c:v>
                </c:pt>
                <c:pt idx="2">
                  <c:v>0.69444444444444398</c:v>
                </c:pt>
                <c:pt idx="3">
                  <c:v>0.58333333333333304</c:v>
                </c:pt>
                <c:pt idx="4">
                  <c:v>0.44444444444444398</c:v>
                </c:pt>
                <c:pt idx="5">
                  <c:v>0.5</c:v>
                </c:pt>
                <c:pt idx="6">
                  <c:v>0.47222222222222199</c:v>
                </c:pt>
                <c:pt idx="7">
                  <c:v>0.44444444444444398</c:v>
                </c:pt>
                <c:pt idx="8">
                  <c:v>0.41666666666666702</c:v>
                </c:pt>
                <c:pt idx="9">
                  <c:v>0.33333333333333298</c:v>
                </c:pt>
                <c:pt idx="10">
                  <c:v>0.38888888888888901</c:v>
                </c:pt>
                <c:pt idx="11">
                  <c:v>0.27777777777777801</c:v>
                </c:pt>
                <c:pt idx="12">
                  <c:v>0.36111111111111099</c:v>
                </c:pt>
                <c:pt idx="13">
                  <c:v>0.38888888888888901</c:v>
                </c:pt>
                <c:pt idx="14">
                  <c:v>0.38888888888888901</c:v>
                </c:pt>
                <c:pt idx="15">
                  <c:v>0.38888888888888901</c:v>
                </c:pt>
                <c:pt idx="16">
                  <c:v>0.41666666666666702</c:v>
                </c:pt>
                <c:pt idx="17">
                  <c:v>0.44444444444444398</c:v>
                </c:pt>
                <c:pt idx="18">
                  <c:v>0.36111111111111099</c:v>
                </c:pt>
                <c:pt idx="19">
                  <c:v>0.38888888888888901</c:v>
                </c:pt>
                <c:pt idx="20">
                  <c:v>0.30555555555555503</c:v>
                </c:pt>
                <c:pt idx="21">
                  <c:v>0.38888888888888901</c:v>
                </c:pt>
                <c:pt idx="22">
                  <c:v>0.38888888888888901</c:v>
                </c:pt>
                <c:pt idx="23">
                  <c:v>0.22222222222222199</c:v>
                </c:pt>
                <c:pt idx="24">
                  <c:v>0.25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5EE6-704D-AE90-98D92C2DF4B0}"/>
            </c:ext>
          </c:extLst>
        </c:ser>
        <c:ser>
          <c:idx val="2"/>
          <c:order val="2"/>
          <c:tx>
            <c:strRef>
              <c:f>T0!$AV$1</c:f>
              <c:strCache>
                <c:ptCount val="1"/>
                <c:pt idx="0">
                  <c:v>Borrow if illiquid-solvent</c:v>
                </c:pt>
              </c:strCache>
            </c:strRef>
          </c:tx>
          <c:spPr>
            <a:ln w="15875">
              <a:solidFill>
                <a:srgbClr val="002060"/>
              </a:solidFill>
              <a:prstDash val="solid"/>
            </a:ln>
          </c:spPr>
          <c:marker>
            <c:symbol val="none"/>
          </c:marker>
          <c:xVal>
            <c:numRef>
              <c:f>T0!$BG$28:$BG$29</c:f>
              <c:numCache>
                <c:formatCode>General</c:formatCode>
                <c:ptCount val="2"/>
                <c:pt idx="0">
                  <c:v>1</c:v>
                </c:pt>
                <c:pt idx="1">
                  <c:v>25</c:v>
                </c:pt>
              </c:numCache>
            </c:numRef>
          </c:xVal>
          <c:yVal>
            <c:numRef>
              <c:f>T0!$BH$28:$BH$29</c:f>
              <c:numCache>
                <c:formatCode>General</c:formatCode>
                <c:ptCount val="2"/>
                <c:pt idx="0">
                  <c:v>1</c:v>
                </c:pt>
                <c:pt idx="1">
                  <c:v>1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2-5EE6-704D-AE90-98D92C2DF4B0}"/>
            </c:ext>
          </c:extLst>
        </c:ser>
        <c:ser>
          <c:idx val="3"/>
          <c:order val="3"/>
          <c:tx>
            <c:strRef>
              <c:f>T0!$AW$1</c:f>
              <c:strCache>
                <c:ptCount val="1"/>
                <c:pt idx="0">
                  <c:v>Borrow if illiquid-insolvent</c:v>
                </c:pt>
              </c:strCache>
            </c:strRef>
          </c:tx>
          <c:spPr>
            <a:ln w="15875">
              <a:solidFill>
                <a:srgbClr val="002060"/>
              </a:solidFill>
            </a:ln>
          </c:spPr>
          <c:marker>
            <c:symbol val="none"/>
          </c:marker>
          <c:xVal>
            <c:numRef>
              <c:f>T0!$BG$31:$BG$32</c:f>
              <c:numCache>
                <c:formatCode>General</c:formatCode>
                <c:ptCount val="2"/>
                <c:pt idx="0">
                  <c:v>1</c:v>
                </c:pt>
                <c:pt idx="1">
                  <c:v>25</c:v>
                </c:pt>
              </c:numCache>
            </c:numRef>
          </c:xVal>
          <c:yVal>
            <c:numRef>
              <c:f>T0!$BH$31:$BH$32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3-5EE6-704D-AE90-98D92C2DF4B0}"/>
            </c:ext>
          </c:extLst>
        </c:ser>
        <c:ser>
          <c:idx val="4"/>
          <c:order val="4"/>
          <c:tx>
            <c:strRef>
              <c:f>T0!$AV$1</c:f>
              <c:strCache>
                <c:ptCount val="1"/>
                <c:pt idx="0">
                  <c:v>Borrow if illiquid-solvent</c:v>
                </c:pt>
              </c:strCache>
            </c:strRef>
          </c:tx>
          <c:spPr>
            <a:ln w="19050">
              <a:solidFill>
                <a:srgbClr val="00B0F0"/>
              </a:solidFill>
              <a:prstDash val="dash"/>
            </a:ln>
          </c:spPr>
          <c:marker>
            <c:symbol val="none"/>
          </c:marker>
          <c:xVal>
            <c:numRef>
              <c:f>T0!$BJ$28:$BJ$29</c:f>
              <c:numCache>
                <c:formatCode>General</c:formatCode>
                <c:ptCount val="2"/>
                <c:pt idx="0">
                  <c:v>1</c:v>
                </c:pt>
                <c:pt idx="1">
                  <c:v>25</c:v>
                </c:pt>
              </c:numCache>
            </c:numRef>
          </c:xVal>
          <c:yVal>
            <c:numRef>
              <c:f>T0!$BK$28:$BK$29</c:f>
              <c:numCache>
                <c:formatCode>General</c:formatCode>
                <c:ptCount val="2"/>
                <c:pt idx="0">
                  <c:v>1</c:v>
                </c:pt>
                <c:pt idx="1">
                  <c:v>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4-5EE6-704D-AE90-98D92C2DF4B0}"/>
            </c:ext>
          </c:extLst>
        </c:ser>
        <c:ser>
          <c:idx val="5"/>
          <c:order val="5"/>
          <c:tx>
            <c:strRef>
              <c:f>T0!$AW$1</c:f>
              <c:strCache>
                <c:ptCount val="1"/>
                <c:pt idx="0">
                  <c:v>Borrow if illiquid-insolvent</c:v>
                </c:pt>
              </c:strCache>
            </c:strRef>
          </c:tx>
          <c:spPr>
            <a:ln w="19050">
              <a:solidFill>
                <a:srgbClr val="00B0F0"/>
              </a:solidFill>
              <a:prstDash val="dash"/>
            </a:ln>
          </c:spPr>
          <c:marker>
            <c:symbol val="none"/>
          </c:marker>
          <c:xVal>
            <c:numRef>
              <c:f>T0!$BJ$31:$BJ$32</c:f>
              <c:numCache>
                <c:formatCode>General</c:formatCode>
                <c:ptCount val="2"/>
                <c:pt idx="0">
                  <c:v>1</c:v>
                </c:pt>
                <c:pt idx="1">
                  <c:v>25</c:v>
                </c:pt>
              </c:numCache>
            </c:numRef>
          </c:xVal>
          <c:yVal>
            <c:numRef>
              <c:f>T0!$BK$31:$BK$32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5-5EE6-704D-AE90-98D92C2DF4B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-2138954488"/>
        <c:axId val="-2138948760"/>
      </c:scatterChart>
      <c:valAx>
        <c:axId val="-2138954488"/>
        <c:scaling>
          <c:orientation val="minMax"/>
          <c:max val="25"/>
          <c:min val="1"/>
        </c:scaling>
        <c:delete val="0"/>
        <c:axPos val="b"/>
        <c:title>
          <c:tx>
            <c:rich>
              <a:bodyPr/>
              <a:lstStyle/>
              <a:p>
                <a:pPr>
                  <a:defRPr sz="800" b="0"/>
                </a:pPr>
                <a:r>
                  <a:rPr lang="en-US" sz="800" b="0"/>
                  <a:t>Round</a:t>
                </a:r>
              </a:p>
            </c:rich>
          </c:tx>
          <c:layout>
            <c:manualLayout>
              <c:xMode val="edge"/>
              <c:yMode val="edge"/>
              <c:x val="0.47010498687664098"/>
              <c:y val="0.870281757923557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6350"/>
        </c:spPr>
        <c:txPr>
          <a:bodyPr/>
          <a:lstStyle/>
          <a:p>
            <a:pPr>
              <a:defRPr sz="500"/>
            </a:pPr>
            <a:endParaRPr lang="en-US"/>
          </a:p>
        </c:txPr>
        <c:crossAx val="-2138948760"/>
        <c:crosses val="autoZero"/>
        <c:crossBetween val="midCat"/>
        <c:majorUnit val="1"/>
      </c:valAx>
      <c:valAx>
        <c:axId val="-2138948760"/>
        <c:scaling>
          <c:orientation val="minMax"/>
          <c:max val="1"/>
          <c:min val="0"/>
        </c:scaling>
        <c:delete val="0"/>
        <c:axPos val="l"/>
        <c:majorGridlines>
          <c:spPr>
            <a:ln w="6350"/>
          </c:spPr>
        </c:majorGridlines>
        <c:title>
          <c:tx>
            <c:rich>
              <a:bodyPr rot="-5400000" vert="horz"/>
              <a:lstStyle/>
              <a:p>
                <a:pPr>
                  <a:defRPr sz="800" b="0"/>
                </a:pPr>
                <a:r>
                  <a:rPr lang="en-US" sz="800" b="0" i="0" u="none" strike="noStrike" baseline="0">
                    <a:effectLst/>
                  </a:rPr>
                  <a:t>Percent</a:t>
                </a:r>
                <a:r>
                  <a:rPr lang="en-US" sz="800" b="0" i="0" u="none" strike="noStrike" kern="1200" baseline="0">
                    <a:solidFill>
                      <a:sysClr val="windowText" lastClr="000000"/>
                    </a:solidFill>
                    <a:effectLst/>
                    <a:latin typeface="+mn-lt"/>
                    <a:ea typeface="+mn-ea"/>
                    <a:cs typeface="+mn-cs"/>
                  </a:rPr>
                  <a:t> </a:t>
                </a:r>
                <a:r>
                  <a:rPr lang="en-US" sz="800" b="0" i="0" u="none" strike="noStrike" baseline="0">
                    <a:effectLst/>
                  </a:rPr>
                  <a:t>of</a:t>
                </a:r>
                <a:r>
                  <a:rPr lang="en-US" sz="800" b="0" i="0" u="none" strike="noStrike" kern="1200" baseline="0">
                    <a:solidFill>
                      <a:sysClr val="windowText" lastClr="000000"/>
                    </a:solidFill>
                    <a:effectLst/>
                    <a:latin typeface="+mn-lt"/>
                    <a:ea typeface="+mn-ea"/>
                    <a:cs typeface="+mn-cs"/>
                  </a:rPr>
                  <a:t> </a:t>
                </a:r>
                <a:r>
                  <a:rPr lang="en-US" sz="800" b="0" i="0" u="none" strike="noStrike" baseline="0">
                    <a:effectLst/>
                  </a:rPr>
                  <a:t>Banks</a:t>
                </a:r>
                <a:r>
                  <a:rPr lang="en-US" sz="800" b="0" i="0" u="none" strike="noStrike" kern="1200" baseline="0">
                    <a:solidFill>
                      <a:sysClr val="windowText" lastClr="000000"/>
                    </a:solidFill>
                    <a:effectLst/>
                    <a:latin typeface="+mn-lt"/>
                    <a:ea typeface="+mn-ea"/>
                    <a:cs typeface="+mn-cs"/>
                  </a:rPr>
                  <a:t> </a:t>
                </a:r>
                <a:r>
                  <a:rPr lang="en-US" sz="800" b="0" i="0" u="none" strike="noStrike" baseline="0">
                    <a:effectLst/>
                  </a:rPr>
                  <a:t>that</a:t>
                </a:r>
                <a:r>
                  <a:rPr lang="en-US" sz="800" b="0" i="0" u="none" strike="noStrike" kern="1200" baseline="0">
                    <a:solidFill>
                      <a:sysClr val="windowText" lastClr="000000"/>
                    </a:solidFill>
                    <a:effectLst/>
                    <a:latin typeface="+mn-lt"/>
                    <a:ea typeface="+mn-ea"/>
                    <a:cs typeface="+mn-cs"/>
                  </a:rPr>
                  <a:t> </a:t>
                </a:r>
                <a:r>
                  <a:rPr lang="en-US" sz="800" b="0" i="0" u="none" strike="noStrike" baseline="0">
                    <a:effectLst/>
                  </a:rPr>
                  <a:t>Borrow</a:t>
                </a:r>
                <a:r>
                  <a:rPr lang="en-US" sz="800" b="0" i="0" u="none" strike="noStrike" kern="1200" baseline="0">
                    <a:solidFill>
                      <a:sysClr val="windowText" lastClr="000000"/>
                    </a:solidFill>
                    <a:effectLst/>
                    <a:latin typeface="+mn-lt"/>
                    <a:ea typeface="+mn-ea"/>
                    <a:cs typeface="+mn-cs"/>
                  </a:rPr>
                  <a:t> </a:t>
                </a:r>
                <a:r>
                  <a:rPr lang="en-US" sz="800" b="0" i="0" u="none" strike="noStrike" baseline="0">
                    <a:effectLst/>
                  </a:rPr>
                  <a:t>at</a:t>
                </a:r>
                <a:r>
                  <a:rPr lang="en-US" sz="800" b="0" i="0" u="none" strike="noStrike" kern="1200" baseline="0">
                    <a:solidFill>
                      <a:sysClr val="windowText" lastClr="000000"/>
                    </a:solidFill>
                    <a:effectLst/>
                    <a:latin typeface="+mn-lt"/>
                    <a:ea typeface="+mn-ea"/>
                    <a:cs typeface="+mn-cs"/>
                  </a:rPr>
                  <a:t> </a:t>
                </a:r>
                <a:r>
                  <a:rPr lang="en-US" sz="800" b="0" i="0" u="none" strike="noStrike" baseline="0">
                    <a:effectLst/>
                  </a:rPr>
                  <a:t>DW</a:t>
                </a:r>
                <a:r>
                  <a:rPr lang="en-US" sz="800" b="0" i="0" u="none" strike="noStrike" kern="1200" baseline="0">
                    <a:solidFill>
                      <a:sysClr val="windowText" lastClr="000000"/>
                    </a:solidFill>
                    <a:effectLst/>
                    <a:latin typeface="+mn-lt"/>
                    <a:ea typeface="+mn-ea"/>
                    <a:cs typeface="+mn-cs"/>
                  </a:rPr>
                  <a:t> </a:t>
                </a:r>
                <a:endParaRPr lang="en-US" sz="800" b="0"/>
              </a:p>
            </c:rich>
          </c:tx>
          <c:layout>
            <c:manualLayout>
              <c:xMode val="edge"/>
              <c:yMode val="edge"/>
              <c:x val="0"/>
              <c:y val="0.126531288852051"/>
            </c:manualLayout>
          </c:layout>
          <c:overlay val="0"/>
        </c:title>
        <c:numFmt formatCode="0%" sourceLinked="0"/>
        <c:majorTickMark val="out"/>
        <c:minorTickMark val="none"/>
        <c:tickLblPos val="nextTo"/>
        <c:spPr>
          <a:ln w="6350"/>
        </c:spPr>
        <c:txPr>
          <a:bodyPr/>
          <a:lstStyle/>
          <a:p>
            <a:pPr>
              <a:defRPr sz="500"/>
            </a:pPr>
            <a:endParaRPr lang="en-US"/>
          </a:p>
        </c:txPr>
        <c:crossAx val="-2138954488"/>
        <c:crosses val="autoZero"/>
        <c:crossBetween val="midCat"/>
        <c:majorUnit val="0.1"/>
      </c:valAx>
      <c:spPr>
        <a:ln w="6350">
          <a:solidFill>
            <a:schemeClr val="bg1">
              <a:lumMod val="50000"/>
            </a:schemeClr>
          </a:solidFill>
        </a:ln>
      </c:spPr>
    </c:plotArea>
    <c:legend>
      <c:legendPos val="b"/>
      <c:legendEntry>
        <c:idx val="2"/>
        <c:delete val="1"/>
      </c:legendEntry>
      <c:legendEntry>
        <c:idx val="3"/>
        <c:delete val="1"/>
      </c:legendEntry>
      <c:legendEntry>
        <c:idx val="4"/>
        <c:delete val="1"/>
      </c:legendEntry>
      <c:legendEntry>
        <c:idx val="5"/>
        <c:delete val="1"/>
      </c:legendEntry>
      <c:layout>
        <c:manualLayout>
          <c:xMode val="edge"/>
          <c:yMode val="edge"/>
          <c:x val="0"/>
          <c:y val="0.93273219879773095"/>
          <c:w val="1"/>
          <c:h val="6.1415282934192801E-2"/>
        </c:manualLayout>
      </c:layout>
      <c:overlay val="0"/>
      <c:txPr>
        <a:bodyPr/>
        <a:lstStyle/>
        <a:p>
          <a:pPr>
            <a:defRPr sz="800"/>
          </a:pPr>
          <a:endParaRPr lang="en-US"/>
        </a:p>
      </c:txPr>
    </c:legend>
    <c:plotVisOnly val="1"/>
    <c:dispBlanksAs val="gap"/>
    <c:showDLblsOverMax val="0"/>
  </c:chart>
  <c:spPr>
    <a:ln w="6350"/>
    <a:effectLst/>
  </c:spPr>
  <c:externalData r:id="rId1">
    <c:autoUpdate val="0"/>
  </c:externalData>
  <c:userShapes r:id="rId2"/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77894226636305"/>
          <c:y val="8.4180938446688003E-2"/>
          <c:w val="0.72024746906636705"/>
          <c:h val="0.78661083324287595"/>
        </c:manualLayout>
      </c:layout>
      <c:scatterChart>
        <c:scatterStyle val="smoothMarker"/>
        <c:varyColors val="0"/>
        <c:ser>
          <c:idx val="0"/>
          <c:order val="0"/>
          <c:tx>
            <c:strRef>
              <c:f>T0!$AX$1</c:f>
              <c:strCache>
                <c:ptCount val="1"/>
                <c:pt idx="0">
                  <c:v>Fund if DW not detected</c:v>
                </c:pt>
              </c:strCache>
            </c:strRef>
          </c:tx>
          <c:spPr>
            <a:ln w="6350">
              <a:solidFill>
                <a:srgbClr val="00B0F0"/>
              </a:solidFill>
            </a:ln>
            <a:effectLst/>
          </c:spPr>
          <c:marker>
            <c:symbol val="square"/>
            <c:size val="2"/>
            <c:spPr>
              <a:solidFill>
                <a:srgbClr val="00B0F0"/>
              </a:solidFill>
              <a:ln w="6350">
                <a:noFill/>
              </a:ln>
              <a:effectLst/>
            </c:spPr>
          </c:marker>
          <c:xVal>
            <c:numRef>
              <c:f>T0!$AU$2:$AU$26</c:f>
              <c:numCache>
                <c:formatCode>General</c:formatCode>
                <c:ptCount val="2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</c:numCache>
            </c:numRef>
          </c:xVal>
          <c:yVal>
            <c:numRef>
              <c:f>'T2'!$AO$77:$AO$101</c:f>
              <c:numCache>
                <c:formatCode>0.0%</c:formatCode>
                <c:ptCount val="25"/>
                <c:pt idx="0">
                  <c:v>0.5</c:v>
                </c:pt>
                <c:pt idx="1">
                  <c:v>0.33333333333333298</c:v>
                </c:pt>
                <c:pt idx="2">
                  <c:v>0.83333333333333304</c:v>
                </c:pt>
                <c:pt idx="3">
                  <c:v>0.66666666666666696</c:v>
                </c:pt>
                <c:pt idx="4">
                  <c:v>0.83333333333333304</c:v>
                </c:pt>
                <c:pt idx="5">
                  <c:v>0.5</c:v>
                </c:pt>
                <c:pt idx="6">
                  <c:v>0.66666666666666696</c:v>
                </c:pt>
                <c:pt idx="7">
                  <c:v>0.66666666666666696</c:v>
                </c:pt>
                <c:pt idx="8">
                  <c:v>0.83333333333333304</c:v>
                </c:pt>
                <c:pt idx="9">
                  <c:v>0.83333333333333304</c:v>
                </c:pt>
                <c:pt idx="10">
                  <c:v>0.66666666666666696</c:v>
                </c:pt>
                <c:pt idx="11">
                  <c:v>0.5</c:v>
                </c:pt>
                <c:pt idx="12">
                  <c:v>0.66666666666666696</c:v>
                </c:pt>
                <c:pt idx="13">
                  <c:v>0.66666666666666696</c:v>
                </c:pt>
                <c:pt idx="14">
                  <c:v>0.83333333333333304</c:v>
                </c:pt>
                <c:pt idx="15">
                  <c:v>0.66666666666666696</c:v>
                </c:pt>
                <c:pt idx="16">
                  <c:v>0.66666666666666696</c:v>
                </c:pt>
                <c:pt idx="17">
                  <c:v>0.33333333333333298</c:v>
                </c:pt>
                <c:pt idx="18">
                  <c:v>0.66666666666666696</c:v>
                </c:pt>
                <c:pt idx="19">
                  <c:v>0.83333333333333304</c:v>
                </c:pt>
                <c:pt idx="20">
                  <c:v>0.83333333333333304</c:v>
                </c:pt>
                <c:pt idx="21">
                  <c:v>0.66666666666666696</c:v>
                </c:pt>
                <c:pt idx="22">
                  <c:v>0.83333333333333304</c:v>
                </c:pt>
                <c:pt idx="23">
                  <c:v>1</c:v>
                </c:pt>
                <c:pt idx="24">
                  <c:v>0.83333333333333304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BE69-4547-896D-7809E374245C}"/>
            </c:ext>
          </c:extLst>
        </c:ser>
        <c:ser>
          <c:idx val="1"/>
          <c:order val="1"/>
          <c:tx>
            <c:strRef>
              <c:f>T0!$AY$1</c:f>
              <c:strCache>
                <c:ptCount val="1"/>
                <c:pt idx="0">
                  <c:v>Fund if DW detected</c:v>
                </c:pt>
              </c:strCache>
            </c:strRef>
          </c:tx>
          <c:spPr>
            <a:ln w="6350" cmpd="sng">
              <a:solidFill>
                <a:srgbClr val="002060"/>
              </a:solidFill>
            </a:ln>
            <a:effectLst/>
          </c:spPr>
          <c:marker>
            <c:symbol val="square"/>
            <c:size val="2"/>
            <c:spPr>
              <a:solidFill>
                <a:schemeClr val="bg1"/>
              </a:solidFill>
              <a:ln w="3175">
                <a:solidFill>
                  <a:srgbClr val="002060"/>
                </a:solidFill>
              </a:ln>
              <a:effectLst/>
            </c:spPr>
          </c:marker>
          <c:xVal>
            <c:numRef>
              <c:f>T0!$AU$2:$AU$26</c:f>
              <c:numCache>
                <c:formatCode>General</c:formatCode>
                <c:ptCount val="2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</c:numCache>
            </c:numRef>
          </c:xVal>
          <c:yVal>
            <c:numRef>
              <c:f>'T2'!$AP$77:$AP$101</c:f>
              <c:numCache>
                <c:formatCode>0.0%</c:formatCode>
                <c:ptCount val="25"/>
                <c:pt idx="0">
                  <c:v>0.66666666666666696</c:v>
                </c:pt>
                <c:pt idx="1">
                  <c:v>0.33333333333333298</c:v>
                </c:pt>
                <c:pt idx="2">
                  <c:v>0.33333333333333298</c:v>
                </c:pt>
                <c:pt idx="3">
                  <c:v>0.5</c:v>
                </c:pt>
                <c:pt idx="4">
                  <c:v>0.5</c:v>
                </c:pt>
                <c:pt idx="5">
                  <c:v>0.5</c:v>
                </c:pt>
                <c:pt idx="6">
                  <c:v>0.83333333333333304</c:v>
                </c:pt>
                <c:pt idx="7">
                  <c:v>0.83333333333333304</c:v>
                </c:pt>
                <c:pt idx="8">
                  <c:v>0.83333333333333304</c:v>
                </c:pt>
                <c:pt idx="9">
                  <c:v>0.5</c:v>
                </c:pt>
                <c:pt idx="10">
                  <c:v>0.66666666666666696</c:v>
                </c:pt>
                <c:pt idx="11">
                  <c:v>0.83333333333333304</c:v>
                </c:pt>
                <c:pt idx="12">
                  <c:v>0.83333333333333304</c:v>
                </c:pt>
                <c:pt idx="13">
                  <c:v>1</c:v>
                </c:pt>
                <c:pt idx="14">
                  <c:v>0.83333333333333304</c:v>
                </c:pt>
                <c:pt idx="15">
                  <c:v>1</c:v>
                </c:pt>
                <c:pt idx="16">
                  <c:v>1</c:v>
                </c:pt>
                <c:pt idx="17">
                  <c:v>0.66666666666666696</c:v>
                </c:pt>
                <c:pt idx="18">
                  <c:v>0.66666666666666696</c:v>
                </c:pt>
                <c:pt idx="19">
                  <c:v>0.83333333333333304</c:v>
                </c:pt>
                <c:pt idx="20">
                  <c:v>0.83333333333333304</c:v>
                </c:pt>
                <c:pt idx="21">
                  <c:v>0.83333333333333304</c:v>
                </c:pt>
                <c:pt idx="22">
                  <c:v>0.5</c:v>
                </c:pt>
                <c:pt idx="23">
                  <c:v>0.66666666666666696</c:v>
                </c:pt>
                <c:pt idx="24">
                  <c:v>0.66666666666666696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BE69-4547-896D-7809E374245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-2105635560"/>
        <c:axId val="-2105649512"/>
      </c:scatterChart>
      <c:valAx>
        <c:axId val="-2105635560"/>
        <c:scaling>
          <c:orientation val="minMax"/>
          <c:max val="25"/>
          <c:min val="1"/>
        </c:scaling>
        <c:delete val="0"/>
        <c:axPos val="b"/>
        <c:title>
          <c:tx>
            <c:rich>
              <a:bodyPr/>
              <a:lstStyle/>
              <a:p>
                <a:pPr>
                  <a:defRPr sz="500" b="0"/>
                </a:pPr>
                <a:r>
                  <a:rPr lang="en-US" sz="5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rPr>
                  <a:t> </a:t>
                </a:r>
                <a:r>
                  <a:rPr lang="en-US" sz="500" b="0"/>
                  <a:t>Round</a:t>
                </a:r>
              </a:p>
            </c:rich>
          </c:tx>
          <c:layout>
            <c:manualLayout>
              <c:xMode val="edge"/>
              <c:yMode val="edge"/>
              <c:x val="0.40041885008276401"/>
              <c:y val="0.90604453870625601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6350"/>
        </c:spPr>
        <c:txPr>
          <a:bodyPr/>
          <a:lstStyle/>
          <a:p>
            <a:pPr>
              <a:defRPr sz="500"/>
            </a:pPr>
            <a:endParaRPr lang="en-US"/>
          </a:p>
        </c:txPr>
        <c:crossAx val="-2105649512"/>
        <c:crosses val="autoZero"/>
        <c:crossBetween val="midCat"/>
        <c:majorUnit val="24"/>
      </c:valAx>
      <c:valAx>
        <c:axId val="-2105649512"/>
        <c:scaling>
          <c:orientation val="minMax"/>
          <c:max val="1"/>
        </c:scaling>
        <c:delete val="0"/>
        <c:axPos val="l"/>
        <c:majorGridlines>
          <c:spPr>
            <a:ln w="6350"/>
          </c:spPr>
        </c:majorGridlines>
        <c:title>
          <c:tx>
            <c:rich>
              <a:bodyPr rot="-5400000" vert="horz"/>
              <a:lstStyle/>
              <a:p>
                <a:pPr>
                  <a:defRPr sz="500" b="0"/>
                </a:pPr>
                <a:r>
                  <a:rPr lang="en-US" sz="500" b="0" i="0" u="none" strike="noStrike" baseline="0">
                    <a:effectLst/>
                  </a:rPr>
                  <a:t>Borrow</a:t>
                </a:r>
                <a:r>
                  <a:rPr lang="en-US" sz="500" b="0" i="0" u="none" strike="noStrike" kern="1200" baseline="0">
                    <a:solidFill>
                      <a:sysClr val="windowText" lastClr="000000"/>
                    </a:solidFill>
                    <a:effectLst/>
                    <a:latin typeface="+mn-lt"/>
                    <a:ea typeface="+mn-ea"/>
                    <a:cs typeface="+mn-cs"/>
                  </a:rPr>
                  <a:t> </a:t>
                </a:r>
                <a:r>
                  <a:rPr lang="en-US" sz="500" b="0" i="0" u="none" strike="noStrike" baseline="0">
                    <a:effectLst/>
                  </a:rPr>
                  <a:t>at</a:t>
                </a:r>
                <a:r>
                  <a:rPr lang="en-US" sz="500" b="0" i="0" u="none" strike="noStrike" kern="1200" baseline="0">
                    <a:solidFill>
                      <a:sysClr val="windowText" lastClr="000000"/>
                    </a:solidFill>
                    <a:effectLst/>
                    <a:latin typeface="+mn-lt"/>
                    <a:ea typeface="+mn-ea"/>
                    <a:cs typeface="+mn-cs"/>
                  </a:rPr>
                  <a:t> </a:t>
                </a:r>
                <a:r>
                  <a:rPr lang="en-US" sz="500" b="0" i="0" u="none" strike="noStrike" baseline="0">
                    <a:effectLst/>
                  </a:rPr>
                  <a:t>DW</a:t>
                </a:r>
                <a:endParaRPr lang="en-US" sz="500" b="0"/>
              </a:p>
            </c:rich>
          </c:tx>
          <c:layout>
            <c:manualLayout>
              <c:xMode val="edge"/>
              <c:yMode val="edge"/>
              <c:x val="0"/>
              <c:y val="0.28127771144195501"/>
            </c:manualLayout>
          </c:layout>
          <c:overlay val="0"/>
        </c:title>
        <c:numFmt formatCode="0%" sourceLinked="0"/>
        <c:majorTickMark val="out"/>
        <c:minorTickMark val="none"/>
        <c:tickLblPos val="nextTo"/>
        <c:spPr>
          <a:ln w="6350"/>
        </c:spPr>
        <c:txPr>
          <a:bodyPr/>
          <a:lstStyle/>
          <a:p>
            <a:pPr>
              <a:defRPr sz="400"/>
            </a:pPr>
            <a:endParaRPr lang="en-US"/>
          </a:p>
        </c:txPr>
        <c:crossAx val="-2105635560"/>
        <c:crosses val="autoZero"/>
        <c:crossBetween val="midCat"/>
        <c:majorUnit val="1"/>
      </c:valAx>
      <c:spPr>
        <a:ln w="6350">
          <a:solidFill>
            <a:schemeClr val="bg1">
              <a:lumMod val="50000"/>
            </a:schemeClr>
          </a:solidFill>
        </a:ln>
      </c:spPr>
    </c:plotArea>
    <c:plotVisOnly val="1"/>
    <c:dispBlanksAs val="gap"/>
    <c:showDLblsOverMax val="0"/>
  </c:chart>
  <c:spPr>
    <a:ln w="6350"/>
    <a:effectLst/>
  </c:spPr>
  <c:externalData r:id="rId1">
    <c:autoUpdate val="0"/>
  </c:externalData>
</c:chartSpace>
</file>

<file path=word/charts/chart4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77894226636305"/>
          <c:y val="8.4180938446688003E-2"/>
          <c:w val="0.72024746906636705"/>
          <c:h val="0.78661083324287595"/>
        </c:manualLayout>
      </c:layout>
      <c:scatterChart>
        <c:scatterStyle val="smoothMarker"/>
        <c:varyColors val="0"/>
        <c:ser>
          <c:idx val="0"/>
          <c:order val="0"/>
          <c:tx>
            <c:strRef>
              <c:f>T0!$AX$1</c:f>
              <c:strCache>
                <c:ptCount val="1"/>
                <c:pt idx="0">
                  <c:v>Fund if DW not detected</c:v>
                </c:pt>
              </c:strCache>
            </c:strRef>
          </c:tx>
          <c:spPr>
            <a:ln w="6350">
              <a:solidFill>
                <a:srgbClr val="FF0000"/>
              </a:solidFill>
            </a:ln>
            <a:effectLst/>
          </c:spPr>
          <c:marker>
            <c:symbol val="circle"/>
            <c:size val="2"/>
            <c:spPr>
              <a:solidFill>
                <a:srgbClr val="FF0000"/>
              </a:solidFill>
              <a:ln w="6350">
                <a:solidFill>
                  <a:srgbClr val="FF0000"/>
                </a:solidFill>
              </a:ln>
              <a:effectLst/>
            </c:spPr>
          </c:marker>
          <c:xVal>
            <c:numRef>
              <c:f>T0!$AU$2:$AU$26</c:f>
              <c:numCache>
                <c:formatCode>General</c:formatCode>
                <c:ptCount val="2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</c:numCache>
            </c:numRef>
          </c:xVal>
          <c:yVal>
            <c:numRef>
              <c:f>'T2'!$AQ$102:$AQ$126</c:f>
              <c:numCache>
                <c:formatCode>0.0%</c:formatCode>
                <c:ptCount val="25"/>
                <c:pt idx="0">
                  <c:v>0.83333333333333304</c:v>
                </c:pt>
                <c:pt idx="1">
                  <c:v>0.66666666666666696</c:v>
                </c:pt>
                <c:pt idx="2">
                  <c:v>0.66666666666666696</c:v>
                </c:pt>
                <c:pt idx="3">
                  <c:v>0.83333333333333304</c:v>
                </c:pt>
                <c:pt idx="4">
                  <c:v>0.66666666666666696</c:v>
                </c:pt>
                <c:pt idx="5">
                  <c:v>0.83333333333333304</c:v>
                </c:pt>
                <c:pt idx="6">
                  <c:v>0.83333333333333304</c:v>
                </c:pt>
                <c:pt idx="7">
                  <c:v>1</c:v>
                </c:pt>
                <c:pt idx="8">
                  <c:v>0.83333333333333304</c:v>
                </c:pt>
                <c:pt idx="9">
                  <c:v>1</c:v>
                </c:pt>
                <c:pt idx="10">
                  <c:v>0.5</c:v>
                </c:pt>
                <c:pt idx="11">
                  <c:v>0.83333333333333304</c:v>
                </c:pt>
                <c:pt idx="12">
                  <c:v>1</c:v>
                </c:pt>
                <c:pt idx="13">
                  <c:v>0.5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0.66666666666666696</c:v>
                </c:pt>
                <c:pt idx="19">
                  <c:v>0.83333333333333304</c:v>
                </c:pt>
                <c:pt idx="20">
                  <c:v>0.83333333333333304</c:v>
                </c:pt>
                <c:pt idx="21">
                  <c:v>0.83333333333333304</c:v>
                </c:pt>
                <c:pt idx="22">
                  <c:v>1</c:v>
                </c:pt>
                <c:pt idx="23">
                  <c:v>0.83333333333333304</c:v>
                </c:pt>
                <c:pt idx="24">
                  <c:v>0.66666666666666696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57E2-8A43-B269-8584AE1655D8}"/>
            </c:ext>
          </c:extLst>
        </c:ser>
        <c:ser>
          <c:idx val="1"/>
          <c:order val="1"/>
          <c:tx>
            <c:strRef>
              <c:f>T0!$AY$1</c:f>
              <c:strCache>
                <c:ptCount val="1"/>
                <c:pt idx="0">
                  <c:v>Fund if DW detected</c:v>
                </c:pt>
              </c:strCache>
            </c:strRef>
          </c:tx>
          <c:spPr>
            <a:ln w="6350" cmpd="sng">
              <a:solidFill>
                <a:srgbClr val="FF9300"/>
              </a:solidFill>
            </a:ln>
            <a:effectLst/>
          </c:spPr>
          <c:marker>
            <c:symbol val="circle"/>
            <c:size val="2"/>
            <c:spPr>
              <a:solidFill>
                <a:schemeClr val="bg1"/>
              </a:solidFill>
              <a:ln w="6350">
                <a:solidFill>
                  <a:srgbClr val="FF9300"/>
                </a:solidFill>
              </a:ln>
              <a:effectLst/>
            </c:spPr>
          </c:marker>
          <c:xVal>
            <c:numRef>
              <c:f>T0!$AU$2:$AU$26</c:f>
              <c:numCache>
                <c:formatCode>General</c:formatCode>
                <c:ptCount val="2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</c:numCache>
            </c:numRef>
          </c:xVal>
          <c:yVal>
            <c:numRef>
              <c:f>'T2'!$AR$102:$AR$126</c:f>
              <c:numCache>
                <c:formatCode>0.0%</c:formatCode>
                <c:ptCount val="25"/>
                <c:pt idx="0">
                  <c:v>0.5</c:v>
                </c:pt>
                <c:pt idx="1">
                  <c:v>0.5</c:v>
                </c:pt>
                <c:pt idx="2">
                  <c:v>0.5</c:v>
                </c:pt>
                <c:pt idx="3">
                  <c:v>0.16666666666666699</c:v>
                </c:pt>
                <c:pt idx="4">
                  <c:v>0.16666666666666699</c:v>
                </c:pt>
                <c:pt idx="5">
                  <c:v>0.33333333333333298</c:v>
                </c:pt>
                <c:pt idx="6">
                  <c:v>0.33333333333333298</c:v>
                </c:pt>
                <c:pt idx="7">
                  <c:v>0.33333333333333298</c:v>
                </c:pt>
                <c:pt idx="8">
                  <c:v>0.33333333333333298</c:v>
                </c:pt>
                <c:pt idx="9">
                  <c:v>0.16666666666666699</c:v>
                </c:pt>
                <c:pt idx="10">
                  <c:v>0.33333333333333298</c:v>
                </c:pt>
                <c:pt idx="11">
                  <c:v>0.33333333333333298</c:v>
                </c:pt>
                <c:pt idx="12">
                  <c:v>0.66666666666666696</c:v>
                </c:pt>
                <c:pt idx="13">
                  <c:v>0.33333333333333298</c:v>
                </c:pt>
                <c:pt idx="14">
                  <c:v>0.33333333333333298</c:v>
                </c:pt>
                <c:pt idx="15">
                  <c:v>0.5</c:v>
                </c:pt>
                <c:pt idx="16">
                  <c:v>0.5</c:v>
                </c:pt>
                <c:pt idx="17">
                  <c:v>0.33333333333333298</c:v>
                </c:pt>
                <c:pt idx="18">
                  <c:v>0.5</c:v>
                </c:pt>
                <c:pt idx="19">
                  <c:v>0.66666666666666696</c:v>
                </c:pt>
                <c:pt idx="20">
                  <c:v>0.5</c:v>
                </c:pt>
                <c:pt idx="21">
                  <c:v>0.66666666666666696</c:v>
                </c:pt>
                <c:pt idx="22">
                  <c:v>0.5</c:v>
                </c:pt>
                <c:pt idx="23">
                  <c:v>0.5</c:v>
                </c:pt>
                <c:pt idx="24">
                  <c:v>0.66666666666666696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57E2-8A43-B269-8584AE1655D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078417368"/>
        <c:axId val="2078485832"/>
      </c:scatterChart>
      <c:valAx>
        <c:axId val="2078417368"/>
        <c:scaling>
          <c:orientation val="minMax"/>
          <c:max val="25"/>
          <c:min val="1"/>
        </c:scaling>
        <c:delete val="0"/>
        <c:axPos val="b"/>
        <c:title>
          <c:tx>
            <c:rich>
              <a:bodyPr/>
              <a:lstStyle/>
              <a:p>
                <a:pPr>
                  <a:defRPr sz="500" b="0"/>
                </a:pPr>
                <a:r>
                  <a:rPr lang="en-US" sz="5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rPr>
                  <a:t> </a:t>
                </a:r>
                <a:r>
                  <a:rPr lang="en-US" sz="500" b="0"/>
                  <a:t>Round</a:t>
                </a:r>
              </a:p>
            </c:rich>
          </c:tx>
          <c:layout>
            <c:manualLayout>
              <c:xMode val="edge"/>
              <c:yMode val="edge"/>
              <c:x val="0.40041885008276401"/>
              <c:y val="0.90604453870625601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6350"/>
        </c:spPr>
        <c:txPr>
          <a:bodyPr/>
          <a:lstStyle/>
          <a:p>
            <a:pPr>
              <a:defRPr sz="500"/>
            </a:pPr>
            <a:endParaRPr lang="en-US"/>
          </a:p>
        </c:txPr>
        <c:crossAx val="2078485832"/>
        <c:crosses val="autoZero"/>
        <c:crossBetween val="midCat"/>
        <c:majorUnit val="24"/>
      </c:valAx>
      <c:valAx>
        <c:axId val="2078485832"/>
        <c:scaling>
          <c:orientation val="minMax"/>
          <c:max val="1"/>
        </c:scaling>
        <c:delete val="0"/>
        <c:axPos val="l"/>
        <c:majorGridlines>
          <c:spPr>
            <a:ln w="6350"/>
          </c:spPr>
        </c:majorGridlines>
        <c:title>
          <c:tx>
            <c:rich>
              <a:bodyPr rot="-5400000" vert="horz"/>
              <a:lstStyle/>
              <a:p>
                <a:pPr>
                  <a:defRPr sz="500" b="0"/>
                </a:pPr>
                <a:r>
                  <a:rPr lang="en-US" sz="500" b="0" i="0" u="none" strike="noStrike" baseline="0">
                    <a:effectLst/>
                  </a:rPr>
                  <a:t>Fund</a:t>
                </a:r>
                <a:r>
                  <a:rPr lang="en-US" sz="500" b="0" i="0" u="none" strike="noStrike" kern="1200" baseline="0">
                    <a:solidFill>
                      <a:sysClr val="windowText" lastClr="000000"/>
                    </a:solidFill>
                    <a:effectLst/>
                    <a:latin typeface="+mn-lt"/>
                    <a:ea typeface="+mn-ea"/>
                    <a:cs typeface="+mn-cs"/>
                  </a:rPr>
                  <a:t> </a:t>
                </a:r>
                <a:r>
                  <a:rPr lang="en-US" sz="500" b="0" i="0" u="none" strike="noStrike" baseline="0">
                    <a:effectLst/>
                  </a:rPr>
                  <a:t>the</a:t>
                </a:r>
                <a:r>
                  <a:rPr lang="en-US" sz="500" b="0" i="0" u="none" strike="noStrike" kern="1200" baseline="0">
                    <a:solidFill>
                      <a:sysClr val="windowText" lastClr="000000"/>
                    </a:solidFill>
                    <a:effectLst/>
                    <a:latin typeface="+mn-lt"/>
                    <a:ea typeface="+mn-ea"/>
                    <a:cs typeface="+mn-cs"/>
                  </a:rPr>
                  <a:t> </a:t>
                </a:r>
                <a:r>
                  <a:rPr lang="en-US" sz="500" b="0" i="0" u="none" strike="noStrike" baseline="0">
                    <a:effectLst/>
                  </a:rPr>
                  <a:t>Bank</a:t>
                </a:r>
                <a:r>
                  <a:rPr lang="en-US" sz="500" b="0" i="0" u="none" strike="noStrike" kern="1200" baseline="0">
                    <a:solidFill>
                      <a:sysClr val="windowText" lastClr="000000"/>
                    </a:solidFill>
                    <a:effectLst/>
                    <a:latin typeface="+mn-lt"/>
                    <a:ea typeface="+mn-ea"/>
                    <a:cs typeface="+mn-cs"/>
                  </a:rPr>
                  <a:t> </a:t>
                </a:r>
                <a:endParaRPr lang="en-US" sz="500" b="0"/>
              </a:p>
            </c:rich>
          </c:tx>
          <c:layout>
            <c:manualLayout>
              <c:xMode val="edge"/>
              <c:yMode val="edge"/>
              <c:x val="0"/>
              <c:y val="0.28127771144195501"/>
            </c:manualLayout>
          </c:layout>
          <c:overlay val="0"/>
        </c:title>
        <c:numFmt formatCode="0%" sourceLinked="0"/>
        <c:majorTickMark val="out"/>
        <c:minorTickMark val="none"/>
        <c:tickLblPos val="nextTo"/>
        <c:spPr>
          <a:ln w="6350"/>
        </c:spPr>
        <c:txPr>
          <a:bodyPr/>
          <a:lstStyle/>
          <a:p>
            <a:pPr>
              <a:defRPr sz="400"/>
            </a:pPr>
            <a:endParaRPr lang="en-US"/>
          </a:p>
        </c:txPr>
        <c:crossAx val="2078417368"/>
        <c:crosses val="autoZero"/>
        <c:crossBetween val="midCat"/>
        <c:majorUnit val="1"/>
      </c:valAx>
      <c:spPr>
        <a:ln w="6350">
          <a:solidFill>
            <a:schemeClr val="bg1">
              <a:lumMod val="50000"/>
            </a:schemeClr>
          </a:solidFill>
        </a:ln>
      </c:spPr>
    </c:plotArea>
    <c:plotVisOnly val="1"/>
    <c:dispBlanksAs val="gap"/>
    <c:showDLblsOverMax val="0"/>
  </c:chart>
  <c:spPr>
    <a:ln w="6350"/>
    <a:effectLst/>
  </c:spPr>
  <c:externalData r:id="rId1">
    <c:autoUpdate val="0"/>
  </c:externalData>
</c:chartSpace>
</file>

<file path=word/charts/chart4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77894226636305"/>
          <c:y val="8.4180938446688003E-2"/>
          <c:w val="0.72024746906636705"/>
          <c:h val="0.78661083324287595"/>
        </c:manualLayout>
      </c:layout>
      <c:scatterChart>
        <c:scatterStyle val="smoothMarker"/>
        <c:varyColors val="0"/>
        <c:ser>
          <c:idx val="0"/>
          <c:order val="0"/>
          <c:tx>
            <c:strRef>
              <c:f>T0!$AX$1</c:f>
              <c:strCache>
                <c:ptCount val="1"/>
                <c:pt idx="0">
                  <c:v>Fund if DW not detected</c:v>
                </c:pt>
              </c:strCache>
            </c:strRef>
          </c:tx>
          <c:spPr>
            <a:ln w="6350">
              <a:solidFill>
                <a:srgbClr val="00B0F0"/>
              </a:solidFill>
            </a:ln>
            <a:effectLst/>
          </c:spPr>
          <c:marker>
            <c:symbol val="square"/>
            <c:size val="2"/>
            <c:spPr>
              <a:solidFill>
                <a:srgbClr val="00B0F0"/>
              </a:solidFill>
              <a:ln w="6350">
                <a:noFill/>
              </a:ln>
              <a:effectLst/>
            </c:spPr>
          </c:marker>
          <c:xVal>
            <c:numRef>
              <c:f>T0!$AU$2:$AU$26</c:f>
              <c:numCache>
                <c:formatCode>General</c:formatCode>
                <c:ptCount val="2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</c:numCache>
            </c:numRef>
          </c:xVal>
          <c:yVal>
            <c:numRef>
              <c:f>'T2'!$AO$102:$AO$126</c:f>
              <c:numCache>
                <c:formatCode>0.0%</c:formatCode>
                <c:ptCount val="25"/>
                <c:pt idx="0">
                  <c:v>0.66666666666666696</c:v>
                </c:pt>
                <c:pt idx="1">
                  <c:v>0.83333333333333304</c:v>
                </c:pt>
                <c:pt idx="2">
                  <c:v>0.66666666666666696</c:v>
                </c:pt>
                <c:pt idx="3">
                  <c:v>0.33333333333333298</c:v>
                </c:pt>
                <c:pt idx="4">
                  <c:v>0.66666666666666696</c:v>
                </c:pt>
                <c:pt idx="5">
                  <c:v>0.66666666666666696</c:v>
                </c:pt>
                <c:pt idx="6">
                  <c:v>0.83333333333333304</c:v>
                </c:pt>
                <c:pt idx="7">
                  <c:v>0.83333333333333304</c:v>
                </c:pt>
                <c:pt idx="8">
                  <c:v>0.66666666666666696</c:v>
                </c:pt>
                <c:pt idx="9">
                  <c:v>0.66666666666666696</c:v>
                </c:pt>
                <c:pt idx="10">
                  <c:v>0.66666666666666696</c:v>
                </c:pt>
                <c:pt idx="11">
                  <c:v>0.83333333333333304</c:v>
                </c:pt>
                <c:pt idx="12">
                  <c:v>0.66666666666666696</c:v>
                </c:pt>
                <c:pt idx="13">
                  <c:v>0.83333333333333304</c:v>
                </c:pt>
                <c:pt idx="14">
                  <c:v>0.66666666666666696</c:v>
                </c:pt>
                <c:pt idx="15">
                  <c:v>0.66666666666666696</c:v>
                </c:pt>
                <c:pt idx="16">
                  <c:v>0.66666666666666696</c:v>
                </c:pt>
                <c:pt idx="17">
                  <c:v>0.83333333333333304</c:v>
                </c:pt>
                <c:pt idx="18">
                  <c:v>0.66666666666666696</c:v>
                </c:pt>
                <c:pt idx="19">
                  <c:v>0.66666666666666696</c:v>
                </c:pt>
                <c:pt idx="20">
                  <c:v>1</c:v>
                </c:pt>
                <c:pt idx="21">
                  <c:v>0.66666666666666696</c:v>
                </c:pt>
                <c:pt idx="22">
                  <c:v>0.83333333333333304</c:v>
                </c:pt>
                <c:pt idx="23">
                  <c:v>0.66666666666666696</c:v>
                </c:pt>
                <c:pt idx="24">
                  <c:v>0.83333333333333304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BE76-B04E-9083-A4E9D10C60C9}"/>
            </c:ext>
          </c:extLst>
        </c:ser>
        <c:ser>
          <c:idx val="1"/>
          <c:order val="1"/>
          <c:tx>
            <c:strRef>
              <c:f>T0!$AY$1</c:f>
              <c:strCache>
                <c:ptCount val="1"/>
                <c:pt idx="0">
                  <c:v>Fund if DW detected</c:v>
                </c:pt>
              </c:strCache>
            </c:strRef>
          </c:tx>
          <c:spPr>
            <a:ln w="6350" cmpd="sng">
              <a:solidFill>
                <a:srgbClr val="002060"/>
              </a:solidFill>
            </a:ln>
            <a:effectLst/>
          </c:spPr>
          <c:marker>
            <c:symbol val="square"/>
            <c:size val="2"/>
            <c:spPr>
              <a:solidFill>
                <a:schemeClr val="bg1"/>
              </a:solidFill>
              <a:ln w="3175">
                <a:solidFill>
                  <a:srgbClr val="002060"/>
                </a:solidFill>
              </a:ln>
              <a:effectLst/>
            </c:spPr>
          </c:marker>
          <c:xVal>
            <c:numRef>
              <c:f>T0!$AU$2:$AU$26</c:f>
              <c:numCache>
                <c:formatCode>General</c:formatCode>
                <c:ptCount val="2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</c:numCache>
            </c:numRef>
          </c:xVal>
          <c:yVal>
            <c:numRef>
              <c:f>'T2'!$AP$27:$AP$51</c:f>
              <c:numCache>
                <c:formatCode>0.0%</c:formatCode>
                <c:ptCount val="25"/>
                <c:pt idx="0">
                  <c:v>0.83333333333333304</c:v>
                </c:pt>
                <c:pt idx="1">
                  <c:v>0.66666666666666696</c:v>
                </c:pt>
                <c:pt idx="2">
                  <c:v>0.83333333333333304</c:v>
                </c:pt>
                <c:pt idx="3">
                  <c:v>0.83333333333333304</c:v>
                </c:pt>
                <c:pt idx="4">
                  <c:v>0.66666666666666696</c:v>
                </c:pt>
                <c:pt idx="5">
                  <c:v>0.66666666666666696</c:v>
                </c:pt>
                <c:pt idx="6">
                  <c:v>0.33333333333333298</c:v>
                </c:pt>
                <c:pt idx="7">
                  <c:v>0.66666666666666696</c:v>
                </c:pt>
                <c:pt idx="8">
                  <c:v>0.83333333333333304</c:v>
                </c:pt>
                <c:pt idx="9">
                  <c:v>0.83333333333333304</c:v>
                </c:pt>
                <c:pt idx="10">
                  <c:v>0.83333333333333304</c:v>
                </c:pt>
                <c:pt idx="11">
                  <c:v>0.83333333333333304</c:v>
                </c:pt>
                <c:pt idx="12">
                  <c:v>0.83333333333333304</c:v>
                </c:pt>
                <c:pt idx="13">
                  <c:v>0.83333333333333304</c:v>
                </c:pt>
                <c:pt idx="14">
                  <c:v>0.83333333333333304</c:v>
                </c:pt>
                <c:pt idx="15">
                  <c:v>0.83333333333333304</c:v>
                </c:pt>
                <c:pt idx="16">
                  <c:v>1</c:v>
                </c:pt>
                <c:pt idx="17">
                  <c:v>0.83333333333333304</c:v>
                </c:pt>
                <c:pt idx="18">
                  <c:v>0.83333333333333304</c:v>
                </c:pt>
                <c:pt idx="19">
                  <c:v>0.83333333333333304</c:v>
                </c:pt>
                <c:pt idx="20">
                  <c:v>0.83333333333333304</c:v>
                </c:pt>
                <c:pt idx="21">
                  <c:v>0.83333333333333304</c:v>
                </c:pt>
                <c:pt idx="22">
                  <c:v>1</c:v>
                </c:pt>
                <c:pt idx="23">
                  <c:v>1</c:v>
                </c:pt>
                <c:pt idx="24">
                  <c:v>0.66666666666666696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BE76-B04E-9083-A4E9D10C60C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078527976"/>
        <c:axId val="2078567496"/>
      </c:scatterChart>
      <c:valAx>
        <c:axId val="2078527976"/>
        <c:scaling>
          <c:orientation val="minMax"/>
          <c:max val="25"/>
          <c:min val="1"/>
        </c:scaling>
        <c:delete val="0"/>
        <c:axPos val="b"/>
        <c:title>
          <c:tx>
            <c:rich>
              <a:bodyPr/>
              <a:lstStyle/>
              <a:p>
                <a:pPr>
                  <a:defRPr sz="500" b="0"/>
                </a:pPr>
                <a:r>
                  <a:rPr lang="en-US" sz="5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rPr>
                  <a:t> </a:t>
                </a:r>
                <a:r>
                  <a:rPr lang="en-US" sz="500" b="0"/>
                  <a:t>Round</a:t>
                </a:r>
              </a:p>
            </c:rich>
          </c:tx>
          <c:layout>
            <c:manualLayout>
              <c:xMode val="edge"/>
              <c:yMode val="edge"/>
              <c:x val="0.40041885008276401"/>
              <c:y val="0.90604453870625601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6350"/>
        </c:spPr>
        <c:txPr>
          <a:bodyPr/>
          <a:lstStyle/>
          <a:p>
            <a:pPr>
              <a:defRPr sz="500"/>
            </a:pPr>
            <a:endParaRPr lang="en-US"/>
          </a:p>
        </c:txPr>
        <c:crossAx val="2078567496"/>
        <c:crosses val="autoZero"/>
        <c:crossBetween val="midCat"/>
        <c:majorUnit val="24"/>
      </c:valAx>
      <c:valAx>
        <c:axId val="2078567496"/>
        <c:scaling>
          <c:orientation val="minMax"/>
          <c:max val="1"/>
        </c:scaling>
        <c:delete val="0"/>
        <c:axPos val="l"/>
        <c:majorGridlines>
          <c:spPr>
            <a:ln w="6350"/>
          </c:spPr>
        </c:majorGridlines>
        <c:title>
          <c:tx>
            <c:rich>
              <a:bodyPr rot="-5400000" vert="horz"/>
              <a:lstStyle/>
              <a:p>
                <a:pPr>
                  <a:defRPr sz="500" b="0"/>
                </a:pPr>
                <a:r>
                  <a:rPr lang="en-US" sz="500" b="0" i="0" u="none" strike="noStrike" baseline="0">
                    <a:effectLst/>
                  </a:rPr>
                  <a:t>Borrow</a:t>
                </a:r>
                <a:r>
                  <a:rPr lang="en-US" sz="500" b="0" i="0" u="none" strike="noStrike" kern="1200" baseline="0">
                    <a:solidFill>
                      <a:sysClr val="windowText" lastClr="000000"/>
                    </a:solidFill>
                    <a:effectLst/>
                    <a:latin typeface="+mn-lt"/>
                    <a:ea typeface="+mn-ea"/>
                    <a:cs typeface="+mn-cs"/>
                  </a:rPr>
                  <a:t> </a:t>
                </a:r>
                <a:r>
                  <a:rPr lang="en-US" sz="500" b="0" i="0" u="none" strike="noStrike" baseline="0">
                    <a:effectLst/>
                  </a:rPr>
                  <a:t>at</a:t>
                </a:r>
                <a:r>
                  <a:rPr lang="en-US" sz="500" b="0" i="0" u="none" strike="noStrike" kern="1200" baseline="0">
                    <a:solidFill>
                      <a:sysClr val="windowText" lastClr="000000"/>
                    </a:solidFill>
                    <a:effectLst/>
                    <a:latin typeface="+mn-lt"/>
                    <a:ea typeface="+mn-ea"/>
                    <a:cs typeface="+mn-cs"/>
                  </a:rPr>
                  <a:t> </a:t>
                </a:r>
                <a:r>
                  <a:rPr lang="en-US" sz="500" b="0" i="0" u="none" strike="noStrike" baseline="0">
                    <a:effectLst/>
                  </a:rPr>
                  <a:t>DW</a:t>
                </a:r>
                <a:endParaRPr lang="en-US" sz="500" b="0"/>
              </a:p>
            </c:rich>
          </c:tx>
          <c:layout>
            <c:manualLayout>
              <c:xMode val="edge"/>
              <c:yMode val="edge"/>
              <c:x val="0"/>
              <c:y val="0.28127771144195501"/>
            </c:manualLayout>
          </c:layout>
          <c:overlay val="0"/>
        </c:title>
        <c:numFmt formatCode="0%" sourceLinked="0"/>
        <c:majorTickMark val="out"/>
        <c:minorTickMark val="none"/>
        <c:tickLblPos val="nextTo"/>
        <c:spPr>
          <a:ln w="6350"/>
        </c:spPr>
        <c:txPr>
          <a:bodyPr/>
          <a:lstStyle/>
          <a:p>
            <a:pPr>
              <a:defRPr sz="400"/>
            </a:pPr>
            <a:endParaRPr lang="en-US"/>
          </a:p>
        </c:txPr>
        <c:crossAx val="2078527976"/>
        <c:crosses val="autoZero"/>
        <c:crossBetween val="midCat"/>
        <c:majorUnit val="1"/>
      </c:valAx>
      <c:spPr>
        <a:ln w="6350">
          <a:solidFill>
            <a:schemeClr val="bg1">
              <a:lumMod val="50000"/>
            </a:schemeClr>
          </a:solidFill>
        </a:ln>
      </c:spPr>
    </c:plotArea>
    <c:plotVisOnly val="1"/>
    <c:dispBlanksAs val="gap"/>
    <c:showDLblsOverMax val="0"/>
  </c:chart>
  <c:spPr>
    <a:ln w="6350"/>
    <a:effectLst/>
  </c:spPr>
  <c:externalData r:id="rId1">
    <c:autoUpdate val="0"/>
  </c:externalData>
</c:chartSpace>
</file>

<file path=word/charts/chart4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77894226636305"/>
          <c:y val="8.4180938446688003E-2"/>
          <c:w val="0.72024746906636705"/>
          <c:h val="0.78661083324287595"/>
        </c:manualLayout>
      </c:layout>
      <c:scatterChart>
        <c:scatterStyle val="smoothMarker"/>
        <c:varyColors val="0"/>
        <c:ser>
          <c:idx val="0"/>
          <c:order val="0"/>
          <c:tx>
            <c:strRef>
              <c:f>T0!$AX$1</c:f>
              <c:strCache>
                <c:ptCount val="1"/>
                <c:pt idx="0">
                  <c:v>Fund if DW not detected</c:v>
                </c:pt>
              </c:strCache>
            </c:strRef>
          </c:tx>
          <c:spPr>
            <a:ln w="6350">
              <a:solidFill>
                <a:srgbClr val="FF0000"/>
              </a:solidFill>
            </a:ln>
            <a:effectLst/>
          </c:spPr>
          <c:marker>
            <c:symbol val="circle"/>
            <c:size val="2"/>
            <c:spPr>
              <a:solidFill>
                <a:srgbClr val="FF0000"/>
              </a:solidFill>
              <a:ln w="6350">
                <a:solidFill>
                  <a:srgbClr val="FF0000"/>
                </a:solidFill>
              </a:ln>
              <a:effectLst/>
            </c:spPr>
          </c:marker>
          <c:xVal>
            <c:numRef>
              <c:f>T0!$AU$2:$AU$26</c:f>
              <c:numCache>
                <c:formatCode>General</c:formatCode>
                <c:ptCount val="2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</c:numCache>
            </c:numRef>
          </c:xVal>
          <c:yVal>
            <c:numRef>
              <c:f>'T2'!$AQ$127:$AQ$151</c:f>
              <c:numCache>
                <c:formatCode>0.0%</c:formatCode>
                <c:ptCount val="25"/>
                <c:pt idx="0">
                  <c:v>0.66666666666666696</c:v>
                </c:pt>
                <c:pt idx="1">
                  <c:v>0.5</c:v>
                </c:pt>
                <c:pt idx="2">
                  <c:v>0.83333333333333304</c:v>
                </c:pt>
                <c:pt idx="3">
                  <c:v>0.5</c:v>
                </c:pt>
                <c:pt idx="4">
                  <c:v>0.83333333333333304</c:v>
                </c:pt>
                <c:pt idx="5">
                  <c:v>0.66666666666666696</c:v>
                </c:pt>
                <c:pt idx="6">
                  <c:v>0.83333333333333304</c:v>
                </c:pt>
                <c:pt idx="7">
                  <c:v>1</c:v>
                </c:pt>
                <c:pt idx="8">
                  <c:v>0.83333333333333304</c:v>
                </c:pt>
                <c:pt idx="9">
                  <c:v>0.66666666666666696</c:v>
                </c:pt>
                <c:pt idx="10">
                  <c:v>0.83333333333333304</c:v>
                </c:pt>
                <c:pt idx="11">
                  <c:v>0.83333333333333304</c:v>
                </c:pt>
                <c:pt idx="12">
                  <c:v>0.66666666666666696</c:v>
                </c:pt>
                <c:pt idx="13">
                  <c:v>0.66666666666666696</c:v>
                </c:pt>
                <c:pt idx="14">
                  <c:v>0.83333333333333304</c:v>
                </c:pt>
                <c:pt idx="15">
                  <c:v>0.83333333333333304</c:v>
                </c:pt>
                <c:pt idx="16">
                  <c:v>1</c:v>
                </c:pt>
                <c:pt idx="17">
                  <c:v>1</c:v>
                </c:pt>
                <c:pt idx="18">
                  <c:v>0.5</c:v>
                </c:pt>
                <c:pt idx="19">
                  <c:v>0.83333333333333304</c:v>
                </c:pt>
                <c:pt idx="20">
                  <c:v>1</c:v>
                </c:pt>
                <c:pt idx="21">
                  <c:v>1</c:v>
                </c:pt>
                <c:pt idx="22">
                  <c:v>0.83333333333333304</c:v>
                </c:pt>
                <c:pt idx="23">
                  <c:v>0.83333333333333304</c:v>
                </c:pt>
                <c:pt idx="24">
                  <c:v>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1677-8044-ADCF-0658A3DCFEAB}"/>
            </c:ext>
          </c:extLst>
        </c:ser>
        <c:ser>
          <c:idx val="1"/>
          <c:order val="1"/>
          <c:tx>
            <c:strRef>
              <c:f>T0!$AY$1</c:f>
              <c:strCache>
                <c:ptCount val="1"/>
                <c:pt idx="0">
                  <c:v>Fund if DW detected</c:v>
                </c:pt>
              </c:strCache>
            </c:strRef>
          </c:tx>
          <c:spPr>
            <a:ln w="6350" cmpd="sng">
              <a:solidFill>
                <a:srgbClr val="FF9300"/>
              </a:solidFill>
            </a:ln>
            <a:effectLst/>
          </c:spPr>
          <c:marker>
            <c:symbol val="circle"/>
            <c:size val="2"/>
            <c:spPr>
              <a:solidFill>
                <a:schemeClr val="bg1"/>
              </a:solidFill>
              <a:ln w="6350">
                <a:solidFill>
                  <a:srgbClr val="FF9300"/>
                </a:solidFill>
              </a:ln>
              <a:effectLst/>
            </c:spPr>
          </c:marker>
          <c:xVal>
            <c:numRef>
              <c:f>T0!$AU$2:$AU$26</c:f>
              <c:numCache>
                <c:formatCode>General</c:formatCode>
                <c:ptCount val="2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</c:numCache>
            </c:numRef>
          </c:xVal>
          <c:yVal>
            <c:numRef>
              <c:f>'T2'!$AR$127:$AR$151</c:f>
              <c:numCache>
                <c:formatCode>0.0%</c:formatCode>
                <c:ptCount val="25"/>
                <c:pt idx="0">
                  <c:v>0.33333333333333298</c:v>
                </c:pt>
                <c:pt idx="1">
                  <c:v>0.33333333333333298</c:v>
                </c:pt>
                <c:pt idx="2">
                  <c:v>0.33333333333333298</c:v>
                </c:pt>
                <c:pt idx="3">
                  <c:v>0.5</c:v>
                </c:pt>
                <c:pt idx="4">
                  <c:v>0.33333333333333298</c:v>
                </c:pt>
                <c:pt idx="5">
                  <c:v>0.16666666666666699</c:v>
                </c:pt>
                <c:pt idx="6">
                  <c:v>0.16666666666666699</c:v>
                </c:pt>
                <c:pt idx="7">
                  <c:v>0.16666666666666699</c:v>
                </c:pt>
                <c:pt idx="8">
                  <c:v>0.16666666666666699</c:v>
                </c:pt>
                <c:pt idx="9">
                  <c:v>0.16666666666666699</c:v>
                </c:pt>
                <c:pt idx="10">
                  <c:v>0.33333333333333298</c:v>
                </c:pt>
                <c:pt idx="11">
                  <c:v>0.33333333333333298</c:v>
                </c:pt>
                <c:pt idx="12">
                  <c:v>0.66666666666666696</c:v>
                </c:pt>
                <c:pt idx="13">
                  <c:v>0.5</c:v>
                </c:pt>
                <c:pt idx="14">
                  <c:v>0.5</c:v>
                </c:pt>
                <c:pt idx="15">
                  <c:v>0.33333333333333298</c:v>
                </c:pt>
                <c:pt idx="16">
                  <c:v>0.5</c:v>
                </c:pt>
                <c:pt idx="17">
                  <c:v>0.5</c:v>
                </c:pt>
                <c:pt idx="18">
                  <c:v>0.16666666666666699</c:v>
                </c:pt>
                <c:pt idx="19">
                  <c:v>0.33333333333333298</c:v>
                </c:pt>
                <c:pt idx="20">
                  <c:v>0.5</c:v>
                </c:pt>
                <c:pt idx="21">
                  <c:v>0.66666666666666696</c:v>
                </c:pt>
                <c:pt idx="22">
                  <c:v>0.16666666666666699</c:v>
                </c:pt>
                <c:pt idx="23">
                  <c:v>0.33333333333333298</c:v>
                </c:pt>
                <c:pt idx="24">
                  <c:v>0.33333333333333298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1677-8044-ADCF-0658A3DCFEA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114725160"/>
        <c:axId val="2110016936"/>
      </c:scatterChart>
      <c:valAx>
        <c:axId val="2114725160"/>
        <c:scaling>
          <c:orientation val="minMax"/>
          <c:max val="25"/>
          <c:min val="1"/>
        </c:scaling>
        <c:delete val="0"/>
        <c:axPos val="b"/>
        <c:title>
          <c:tx>
            <c:rich>
              <a:bodyPr/>
              <a:lstStyle/>
              <a:p>
                <a:pPr>
                  <a:defRPr sz="500" b="0"/>
                </a:pPr>
                <a:r>
                  <a:rPr lang="en-US" sz="5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rPr>
                  <a:t> </a:t>
                </a:r>
                <a:r>
                  <a:rPr lang="en-US" sz="500" b="0"/>
                  <a:t>Round</a:t>
                </a:r>
              </a:p>
            </c:rich>
          </c:tx>
          <c:layout>
            <c:manualLayout>
              <c:xMode val="edge"/>
              <c:yMode val="edge"/>
              <c:x val="0.40041885008276401"/>
              <c:y val="0.90604453870625601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6350"/>
        </c:spPr>
        <c:txPr>
          <a:bodyPr/>
          <a:lstStyle/>
          <a:p>
            <a:pPr>
              <a:defRPr sz="500"/>
            </a:pPr>
            <a:endParaRPr lang="en-US"/>
          </a:p>
        </c:txPr>
        <c:crossAx val="2110016936"/>
        <c:crosses val="autoZero"/>
        <c:crossBetween val="midCat"/>
        <c:majorUnit val="24"/>
      </c:valAx>
      <c:valAx>
        <c:axId val="2110016936"/>
        <c:scaling>
          <c:orientation val="minMax"/>
          <c:max val="1"/>
        </c:scaling>
        <c:delete val="0"/>
        <c:axPos val="l"/>
        <c:majorGridlines>
          <c:spPr>
            <a:ln w="6350"/>
          </c:spPr>
        </c:majorGridlines>
        <c:title>
          <c:tx>
            <c:rich>
              <a:bodyPr rot="-5400000" vert="horz"/>
              <a:lstStyle/>
              <a:p>
                <a:pPr>
                  <a:defRPr sz="500" b="0"/>
                </a:pPr>
                <a:r>
                  <a:rPr lang="en-US" sz="500" b="0" i="0" u="none" strike="noStrike" baseline="0">
                    <a:effectLst/>
                  </a:rPr>
                  <a:t>Fund</a:t>
                </a:r>
                <a:r>
                  <a:rPr lang="en-US" sz="500" b="0" i="0" u="none" strike="noStrike" kern="1200" baseline="0">
                    <a:solidFill>
                      <a:sysClr val="windowText" lastClr="000000"/>
                    </a:solidFill>
                    <a:effectLst/>
                    <a:latin typeface="+mn-lt"/>
                    <a:ea typeface="+mn-ea"/>
                    <a:cs typeface="+mn-cs"/>
                  </a:rPr>
                  <a:t> </a:t>
                </a:r>
                <a:r>
                  <a:rPr lang="en-US" sz="500" b="0" i="0" u="none" strike="noStrike" baseline="0">
                    <a:effectLst/>
                  </a:rPr>
                  <a:t>the</a:t>
                </a:r>
                <a:r>
                  <a:rPr lang="en-US" sz="500" b="0" i="0" u="none" strike="noStrike" kern="1200" baseline="0">
                    <a:solidFill>
                      <a:sysClr val="windowText" lastClr="000000"/>
                    </a:solidFill>
                    <a:effectLst/>
                    <a:latin typeface="+mn-lt"/>
                    <a:ea typeface="+mn-ea"/>
                    <a:cs typeface="+mn-cs"/>
                  </a:rPr>
                  <a:t> </a:t>
                </a:r>
                <a:r>
                  <a:rPr lang="en-US" sz="500" b="0" i="0" u="none" strike="noStrike" baseline="0">
                    <a:effectLst/>
                  </a:rPr>
                  <a:t>Bank</a:t>
                </a:r>
                <a:r>
                  <a:rPr lang="en-US" sz="500" b="0" i="0" u="none" strike="noStrike" kern="1200" baseline="0">
                    <a:solidFill>
                      <a:sysClr val="windowText" lastClr="000000"/>
                    </a:solidFill>
                    <a:effectLst/>
                    <a:latin typeface="+mn-lt"/>
                    <a:ea typeface="+mn-ea"/>
                    <a:cs typeface="+mn-cs"/>
                  </a:rPr>
                  <a:t> </a:t>
                </a:r>
                <a:endParaRPr lang="en-US" sz="500" b="0"/>
              </a:p>
            </c:rich>
          </c:tx>
          <c:layout>
            <c:manualLayout>
              <c:xMode val="edge"/>
              <c:yMode val="edge"/>
              <c:x val="0"/>
              <c:y val="0.28127771144195501"/>
            </c:manualLayout>
          </c:layout>
          <c:overlay val="0"/>
        </c:title>
        <c:numFmt formatCode="0%" sourceLinked="0"/>
        <c:majorTickMark val="out"/>
        <c:minorTickMark val="none"/>
        <c:tickLblPos val="nextTo"/>
        <c:spPr>
          <a:ln w="6350"/>
        </c:spPr>
        <c:txPr>
          <a:bodyPr/>
          <a:lstStyle/>
          <a:p>
            <a:pPr>
              <a:defRPr sz="400"/>
            </a:pPr>
            <a:endParaRPr lang="en-US"/>
          </a:p>
        </c:txPr>
        <c:crossAx val="2114725160"/>
        <c:crosses val="autoZero"/>
        <c:crossBetween val="midCat"/>
        <c:majorUnit val="1"/>
      </c:valAx>
      <c:spPr>
        <a:ln w="6350">
          <a:solidFill>
            <a:schemeClr val="bg1">
              <a:lumMod val="50000"/>
            </a:schemeClr>
          </a:solidFill>
        </a:ln>
      </c:spPr>
    </c:plotArea>
    <c:plotVisOnly val="1"/>
    <c:dispBlanksAs val="gap"/>
    <c:showDLblsOverMax val="0"/>
  </c:chart>
  <c:spPr>
    <a:ln w="6350"/>
    <a:effectLst/>
  </c:spPr>
  <c:externalData r:id="rId1">
    <c:autoUpdate val="0"/>
  </c:externalData>
</c:chartSpace>
</file>

<file path=word/charts/chart4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77894226636305"/>
          <c:y val="8.4180938446688003E-2"/>
          <c:w val="0.72024746906636705"/>
          <c:h val="0.78661083324287595"/>
        </c:manualLayout>
      </c:layout>
      <c:scatterChart>
        <c:scatterStyle val="smoothMarker"/>
        <c:varyColors val="0"/>
        <c:ser>
          <c:idx val="0"/>
          <c:order val="0"/>
          <c:tx>
            <c:strRef>
              <c:f>T0!$AX$1</c:f>
              <c:strCache>
                <c:ptCount val="1"/>
                <c:pt idx="0">
                  <c:v>Fund if DW not detected</c:v>
                </c:pt>
              </c:strCache>
            </c:strRef>
          </c:tx>
          <c:spPr>
            <a:ln w="6350">
              <a:solidFill>
                <a:srgbClr val="00B0F0"/>
              </a:solidFill>
            </a:ln>
            <a:effectLst/>
          </c:spPr>
          <c:marker>
            <c:symbol val="square"/>
            <c:size val="2"/>
            <c:spPr>
              <a:solidFill>
                <a:srgbClr val="00B0F0"/>
              </a:solidFill>
              <a:ln w="6350">
                <a:noFill/>
              </a:ln>
              <a:effectLst/>
            </c:spPr>
          </c:marker>
          <c:xVal>
            <c:numRef>
              <c:f>T0!$AU$2:$AU$26</c:f>
              <c:numCache>
                <c:formatCode>General</c:formatCode>
                <c:ptCount val="2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</c:numCache>
            </c:numRef>
          </c:xVal>
          <c:yVal>
            <c:numRef>
              <c:f>'T2'!$AO$127:$AO$151</c:f>
              <c:numCache>
                <c:formatCode>0.0%</c:formatCode>
                <c:ptCount val="25"/>
                <c:pt idx="0">
                  <c:v>0.66666666666666696</c:v>
                </c:pt>
                <c:pt idx="1">
                  <c:v>0.83333333333333304</c:v>
                </c:pt>
                <c:pt idx="2">
                  <c:v>0.83333333333333304</c:v>
                </c:pt>
                <c:pt idx="3">
                  <c:v>1</c:v>
                </c:pt>
                <c:pt idx="4">
                  <c:v>0.83333333333333304</c:v>
                </c:pt>
                <c:pt idx="5">
                  <c:v>0.5</c:v>
                </c:pt>
                <c:pt idx="6">
                  <c:v>0.33333333333333298</c:v>
                </c:pt>
                <c:pt idx="7">
                  <c:v>0.33333333333333298</c:v>
                </c:pt>
                <c:pt idx="8">
                  <c:v>0.33333333333333298</c:v>
                </c:pt>
                <c:pt idx="9">
                  <c:v>0.33333333333333298</c:v>
                </c:pt>
                <c:pt idx="10">
                  <c:v>0.66666666666666696</c:v>
                </c:pt>
                <c:pt idx="11">
                  <c:v>0.83333333333333304</c:v>
                </c:pt>
                <c:pt idx="12">
                  <c:v>0.66666666666666696</c:v>
                </c:pt>
                <c:pt idx="13">
                  <c:v>0.83333333333333304</c:v>
                </c:pt>
                <c:pt idx="14">
                  <c:v>0.66666666666666696</c:v>
                </c:pt>
                <c:pt idx="15">
                  <c:v>1</c:v>
                </c:pt>
                <c:pt idx="16">
                  <c:v>0.83333333333333304</c:v>
                </c:pt>
                <c:pt idx="17">
                  <c:v>0.66666666666666696</c:v>
                </c:pt>
                <c:pt idx="18">
                  <c:v>0.66666666666666696</c:v>
                </c:pt>
                <c:pt idx="19">
                  <c:v>0.83333333333333304</c:v>
                </c:pt>
                <c:pt idx="20">
                  <c:v>1</c:v>
                </c:pt>
                <c:pt idx="21">
                  <c:v>0.83333333333333304</c:v>
                </c:pt>
                <c:pt idx="22">
                  <c:v>0.83333333333333304</c:v>
                </c:pt>
                <c:pt idx="23">
                  <c:v>1</c:v>
                </c:pt>
                <c:pt idx="24">
                  <c:v>0.83333333333333304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C5C5-F048-86C1-E04FFD9B182B}"/>
            </c:ext>
          </c:extLst>
        </c:ser>
        <c:ser>
          <c:idx val="1"/>
          <c:order val="1"/>
          <c:tx>
            <c:strRef>
              <c:f>T0!$AY$1</c:f>
              <c:strCache>
                <c:ptCount val="1"/>
                <c:pt idx="0">
                  <c:v>Fund if DW detected</c:v>
                </c:pt>
              </c:strCache>
            </c:strRef>
          </c:tx>
          <c:spPr>
            <a:ln w="6350" cmpd="sng">
              <a:solidFill>
                <a:srgbClr val="002060"/>
              </a:solidFill>
            </a:ln>
            <a:effectLst/>
          </c:spPr>
          <c:marker>
            <c:symbol val="square"/>
            <c:size val="2"/>
            <c:spPr>
              <a:solidFill>
                <a:schemeClr val="bg1"/>
              </a:solidFill>
              <a:ln w="3175">
                <a:solidFill>
                  <a:srgbClr val="002060"/>
                </a:solidFill>
              </a:ln>
              <a:effectLst/>
            </c:spPr>
          </c:marker>
          <c:xVal>
            <c:numRef>
              <c:f>T0!$AU$2:$AU$26</c:f>
              <c:numCache>
                <c:formatCode>General</c:formatCode>
                <c:ptCount val="2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</c:numCache>
            </c:numRef>
          </c:xVal>
          <c:yVal>
            <c:numRef>
              <c:f>'T2'!$AP$127:$AP$151</c:f>
              <c:numCache>
                <c:formatCode>0.0%</c:formatCode>
                <c:ptCount val="25"/>
                <c:pt idx="0">
                  <c:v>1</c:v>
                </c:pt>
                <c:pt idx="1">
                  <c:v>0.83333333333333304</c:v>
                </c:pt>
                <c:pt idx="2">
                  <c:v>0.66666666666666696</c:v>
                </c:pt>
                <c:pt idx="3">
                  <c:v>0.83333333333333304</c:v>
                </c:pt>
                <c:pt idx="4">
                  <c:v>0.83333333333333304</c:v>
                </c:pt>
                <c:pt idx="5">
                  <c:v>0.5</c:v>
                </c:pt>
                <c:pt idx="6">
                  <c:v>0.5</c:v>
                </c:pt>
                <c:pt idx="7">
                  <c:v>0.16666666666666699</c:v>
                </c:pt>
                <c:pt idx="8">
                  <c:v>0.33333333333333298</c:v>
                </c:pt>
                <c:pt idx="9">
                  <c:v>0.5</c:v>
                </c:pt>
                <c:pt idx="10">
                  <c:v>0.5</c:v>
                </c:pt>
                <c:pt idx="11">
                  <c:v>0.5</c:v>
                </c:pt>
                <c:pt idx="12">
                  <c:v>0.5</c:v>
                </c:pt>
                <c:pt idx="13">
                  <c:v>0.5</c:v>
                </c:pt>
                <c:pt idx="14">
                  <c:v>0.66666666666666696</c:v>
                </c:pt>
                <c:pt idx="15">
                  <c:v>0.66666666666666696</c:v>
                </c:pt>
                <c:pt idx="16">
                  <c:v>0.66666666666666696</c:v>
                </c:pt>
                <c:pt idx="17">
                  <c:v>0.5</c:v>
                </c:pt>
                <c:pt idx="18">
                  <c:v>0.83333333333333304</c:v>
                </c:pt>
                <c:pt idx="19">
                  <c:v>0.5</c:v>
                </c:pt>
                <c:pt idx="20">
                  <c:v>0.66666666666666696</c:v>
                </c:pt>
                <c:pt idx="21">
                  <c:v>0.66666666666666696</c:v>
                </c:pt>
                <c:pt idx="22">
                  <c:v>0.66666666666666696</c:v>
                </c:pt>
                <c:pt idx="23">
                  <c:v>0.5</c:v>
                </c:pt>
                <c:pt idx="24">
                  <c:v>0.5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C5C5-F048-86C1-E04FFD9B182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110189928"/>
        <c:axId val="-2095608632"/>
      </c:scatterChart>
      <c:valAx>
        <c:axId val="2110189928"/>
        <c:scaling>
          <c:orientation val="minMax"/>
          <c:max val="25"/>
          <c:min val="1"/>
        </c:scaling>
        <c:delete val="0"/>
        <c:axPos val="b"/>
        <c:title>
          <c:tx>
            <c:rich>
              <a:bodyPr/>
              <a:lstStyle/>
              <a:p>
                <a:pPr>
                  <a:defRPr sz="500" b="0"/>
                </a:pPr>
                <a:r>
                  <a:rPr lang="en-US" sz="5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rPr>
                  <a:t> </a:t>
                </a:r>
                <a:r>
                  <a:rPr lang="en-US" sz="500" b="0"/>
                  <a:t>Round</a:t>
                </a:r>
              </a:p>
            </c:rich>
          </c:tx>
          <c:layout>
            <c:manualLayout>
              <c:xMode val="edge"/>
              <c:yMode val="edge"/>
              <c:x val="0.40041885008276401"/>
              <c:y val="0.90604453870625601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6350"/>
        </c:spPr>
        <c:txPr>
          <a:bodyPr/>
          <a:lstStyle/>
          <a:p>
            <a:pPr>
              <a:defRPr sz="500"/>
            </a:pPr>
            <a:endParaRPr lang="en-US"/>
          </a:p>
        </c:txPr>
        <c:crossAx val="-2095608632"/>
        <c:crosses val="autoZero"/>
        <c:crossBetween val="midCat"/>
        <c:majorUnit val="24"/>
      </c:valAx>
      <c:valAx>
        <c:axId val="-2095608632"/>
        <c:scaling>
          <c:orientation val="minMax"/>
          <c:max val="1"/>
        </c:scaling>
        <c:delete val="0"/>
        <c:axPos val="l"/>
        <c:majorGridlines>
          <c:spPr>
            <a:ln w="6350"/>
          </c:spPr>
        </c:majorGridlines>
        <c:title>
          <c:tx>
            <c:rich>
              <a:bodyPr rot="-5400000" vert="horz"/>
              <a:lstStyle/>
              <a:p>
                <a:pPr>
                  <a:defRPr sz="500" b="0"/>
                </a:pPr>
                <a:r>
                  <a:rPr lang="en-US" sz="500" b="0" i="0" u="none" strike="noStrike" baseline="0">
                    <a:effectLst/>
                  </a:rPr>
                  <a:t>Borrow</a:t>
                </a:r>
                <a:r>
                  <a:rPr lang="en-US" sz="500" b="0" i="0" u="none" strike="noStrike" kern="1200" baseline="0">
                    <a:solidFill>
                      <a:sysClr val="windowText" lastClr="000000"/>
                    </a:solidFill>
                    <a:effectLst/>
                    <a:latin typeface="+mn-lt"/>
                    <a:ea typeface="+mn-ea"/>
                    <a:cs typeface="+mn-cs"/>
                  </a:rPr>
                  <a:t> </a:t>
                </a:r>
                <a:r>
                  <a:rPr lang="en-US" sz="500" b="0" i="0" u="none" strike="noStrike" baseline="0">
                    <a:effectLst/>
                  </a:rPr>
                  <a:t>at</a:t>
                </a:r>
                <a:r>
                  <a:rPr lang="en-US" sz="500" b="0" i="0" u="none" strike="noStrike" kern="1200" baseline="0">
                    <a:solidFill>
                      <a:sysClr val="windowText" lastClr="000000"/>
                    </a:solidFill>
                    <a:effectLst/>
                    <a:latin typeface="+mn-lt"/>
                    <a:ea typeface="+mn-ea"/>
                    <a:cs typeface="+mn-cs"/>
                  </a:rPr>
                  <a:t> </a:t>
                </a:r>
                <a:r>
                  <a:rPr lang="en-US" sz="500" b="0" i="0" u="none" strike="noStrike" baseline="0">
                    <a:effectLst/>
                  </a:rPr>
                  <a:t>DW</a:t>
                </a:r>
                <a:endParaRPr lang="en-US" sz="500" b="0"/>
              </a:p>
            </c:rich>
          </c:tx>
          <c:layout>
            <c:manualLayout>
              <c:xMode val="edge"/>
              <c:yMode val="edge"/>
              <c:x val="0"/>
              <c:y val="0.28127771144195501"/>
            </c:manualLayout>
          </c:layout>
          <c:overlay val="0"/>
        </c:title>
        <c:numFmt formatCode="0%" sourceLinked="0"/>
        <c:majorTickMark val="out"/>
        <c:minorTickMark val="none"/>
        <c:tickLblPos val="nextTo"/>
        <c:spPr>
          <a:ln w="6350"/>
        </c:spPr>
        <c:txPr>
          <a:bodyPr/>
          <a:lstStyle/>
          <a:p>
            <a:pPr>
              <a:defRPr sz="400"/>
            </a:pPr>
            <a:endParaRPr lang="en-US"/>
          </a:p>
        </c:txPr>
        <c:crossAx val="2110189928"/>
        <c:crosses val="autoZero"/>
        <c:crossBetween val="midCat"/>
        <c:majorUnit val="1"/>
      </c:valAx>
      <c:spPr>
        <a:ln w="6350">
          <a:solidFill>
            <a:schemeClr val="bg1">
              <a:lumMod val="50000"/>
            </a:schemeClr>
          </a:solidFill>
        </a:ln>
      </c:spPr>
    </c:plotArea>
    <c:plotVisOnly val="1"/>
    <c:dispBlanksAs val="gap"/>
    <c:showDLblsOverMax val="0"/>
  </c:chart>
  <c:spPr>
    <a:ln w="6350"/>
    <a:effectLst/>
  </c:spPr>
  <c:externalData r:id="rId1">
    <c:autoUpdate val="0"/>
  </c:externalData>
</c:chartSpace>
</file>

<file path=word/charts/chart4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77894226636305"/>
          <c:y val="8.4180938446688003E-2"/>
          <c:w val="0.72024746906636705"/>
          <c:h val="0.78661083324287595"/>
        </c:manualLayout>
      </c:layout>
      <c:scatterChart>
        <c:scatterStyle val="smoothMarker"/>
        <c:varyColors val="0"/>
        <c:ser>
          <c:idx val="0"/>
          <c:order val="0"/>
          <c:tx>
            <c:strRef>
              <c:f>T0!$AX$1</c:f>
              <c:strCache>
                <c:ptCount val="1"/>
                <c:pt idx="0">
                  <c:v>Fund if DW not detected</c:v>
                </c:pt>
              </c:strCache>
            </c:strRef>
          </c:tx>
          <c:spPr>
            <a:ln w="6350">
              <a:solidFill>
                <a:srgbClr val="FF0000"/>
              </a:solidFill>
            </a:ln>
            <a:effectLst/>
          </c:spPr>
          <c:marker>
            <c:symbol val="circle"/>
            <c:size val="2"/>
            <c:spPr>
              <a:solidFill>
                <a:srgbClr val="FF0000"/>
              </a:solidFill>
              <a:ln w="6350">
                <a:solidFill>
                  <a:srgbClr val="FF0000"/>
                </a:solidFill>
              </a:ln>
              <a:effectLst/>
            </c:spPr>
          </c:marker>
          <c:xVal>
            <c:numRef>
              <c:f>T0!$AU$2:$AU$26</c:f>
              <c:numCache>
                <c:formatCode>General</c:formatCode>
                <c:ptCount val="2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</c:numCache>
            </c:numRef>
          </c:xVal>
          <c:yVal>
            <c:numRef>
              <c:f>'T3'!$AQ$2:$AQ$26</c:f>
              <c:numCache>
                <c:formatCode>0.0%</c:formatCode>
                <c:ptCount val="25"/>
                <c:pt idx="0">
                  <c:v>0.83333333333333304</c:v>
                </c:pt>
                <c:pt idx="1">
                  <c:v>0.5</c:v>
                </c:pt>
                <c:pt idx="2">
                  <c:v>0.66666666666666696</c:v>
                </c:pt>
                <c:pt idx="3">
                  <c:v>0.5</c:v>
                </c:pt>
                <c:pt idx="4">
                  <c:v>0.66666666666666696</c:v>
                </c:pt>
                <c:pt idx="5">
                  <c:v>0.66666666666666696</c:v>
                </c:pt>
                <c:pt idx="6">
                  <c:v>1</c:v>
                </c:pt>
                <c:pt idx="7">
                  <c:v>0.66666666666666696</c:v>
                </c:pt>
                <c:pt idx="8">
                  <c:v>0.83333333333333304</c:v>
                </c:pt>
                <c:pt idx="9">
                  <c:v>0.83333333333333304</c:v>
                </c:pt>
                <c:pt idx="10">
                  <c:v>0.83333333333333304</c:v>
                </c:pt>
                <c:pt idx="11">
                  <c:v>0.83333333333333304</c:v>
                </c:pt>
                <c:pt idx="12">
                  <c:v>0.83333333333333304</c:v>
                </c:pt>
                <c:pt idx="13">
                  <c:v>0.66666666666666696</c:v>
                </c:pt>
                <c:pt idx="14">
                  <c:v>0.83333333333333304</c:v>
                </c:pt>
                <c:pt idx="15">
                  <c:v>0.66666666666666696</c:v>
                </c:pt>
                <c:pt idx="16">
                  <c:v>0.83333333333333304</c:v>
                </c:pt>
                <c:pt idx="17">
                  <c:v>1</c:v>
                </c:pt>
                <c:pt idx="18">
                  <c:v>0.83333333333333304</c:v>
                </c:pt>
                <c:pt idx="19">
                  <c:v>0.83333333333333304</c:v>
                </c:pt>
                <c:pt idx="20">
                  <c:v>1</c:v>
                </c:pt>
                <c:pt idx="21">
                  <c:v>0.83333333333333304</c:v>
                </c:pt>
                <c:pt idx="22">
                  <c:v>0.66666666666666696</c:v>
                </c:pt>
                <c:pt idx="23">
                  <c:v>0.83333333333333304</c:v>
                </c:pt>
                <c:pt idx="24">
                  <c:v>0.66666666666666696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CF56-064D-8134-52F9EBD72EA3}"/>
            </c:ext>
          </c:extLst>
        </c:ser>
        <c:ser>
          <c:idx val="1"/>
          <c:order val="1"/>
          <c:tx>
            <c:strRef>
              <c:f>T0!$AY$1</c:f>
              <c:strCache>
                <c:ptCount val="1"/>
                <c:pt idx="0">
                  <c:v>Fund if DW detected</c:v>
                </c:pt>
              </c:strCache>
            </c:strRef>
          </c:tx>
          <c:spPr>
            <a:ln w="6350" cmpd="sng">
              <a:solidFill>
                <a:srgbClr val="FF9300"/>
              </a:solidFill>
            </a:ln>
            <a:effectLst/>
          </c:spPr>
          <c:marker>
            <c:symbol val="circle"/>
            <c:size val="2"/>
            <c:spPr>
              <a:solidFill>
                <a:schemeClr val="bg1"/>
              </a:solidFill>
              <a:ln w="6350">
                <a:solidFill>
                  <a:srgbClr val="FF9300"/>
                </a:solidFill>
              </a:ln>
              <a:effectLst/>
            </c:spPr>
          </c:marker>
          <c:xVal>
            <c:numRef>
              <c:f>T0!$AU$2:$AU$26</c:f>
              <c:numCache>
                <c:formatCode>General</c:formatCode>
                <c:ptCount val="2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</c:numCache>
            </c:numRef>
          </c:xVal>
          <c:yVal>
            <c:numRef>
              <c:f>'T3'!$AR$2:$AR$26</c:f>
              <c:numCache>
                <c:formatCode>0.0%</c:formatCode>
                <c:ptCount val="25"/>
                <c:pt idx="0">
                  <c:v>0.5</c:v>
                </c:pt>
                <c:pt idx="1">
                  <c:v>0.66666666666666696</c:v>
                </c:pt>
                <c:pt idx="2">
                  <c:v>0.5</c:v>
                </c:pt>
                <c:pt idx="3">
                  <c:v>0.33333333333333298</c:v>
                </c:pt>
                <c:pt idx="4">
                  <c:v>0.16666666666666699</c:v>
                </c:pt>
                <c:pt idx="5">
                  <c:v>0.5</c:v>
                </c:pt>
                <c:pt idx="6">
                  <c:v>0.33333333333333298</c:v>
                </c:pt>
                <c:pt idx="7">
                  <c:v>0.33333333333333298</c:v>
                </c:pt>
                <c:pt idx="8">
                  <c:v>0.33333333333333298</c:v>
                </c:pt>
                <c:pt idx="9">
                  <c:v>0.33333333333333298</c:v>
                </c:pt>
                <c:pt idx="10">
                  <c:v>0.16666666666666699</c:v>
                </c:pt>
                <c:pt idx="11">
                  <c:v>0</c:v>
                </c:pt>
                <c:pt idx="12">
                  <c:v>0</c:v>
                </c:pt>
                <c:pt idx="13">
                  <c:v>0.16666666666666699</c:v>
                </c:pt>
                <c:pt idx="14">
                  <c:v>0.33333333333333298</c:v>
                </c:pt>
                <c:pt idx="15">
                  <c:v>0.16666666666666699</c:v>
                </c:pt>
                <c:pt idx="16">
                  <c:v>0</c:v>
                </c:pt>
                <c:pt idx="17">
                  <c:v>0</c:v>
                </c:pt>
                <c:pt idx="18">
                  <c:v>0.16666666666666699</c:v>
                </c:pt>
                <c:pt idx="19">
                  <c:v>0.16666666666666699</c:v>
                </c:pt>
                <c:pt idx="20">
                  <c:v>0</c:v>
                </c:pt>
                <c:pt idx="21">
                  <c:v>0</c:v>
                </c:pt>
                <c:pt idx="22">
                  <c:v>0.16666666666666699</c:v>
                </c:pt>
                <c:pt idx="23">
                  <c:v>0.16666666666666699</c:v>
                </c:pt>
                <c:pt idx="24">
                  <c:v>0.16666666666666699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CF56-064D-8134-52F9EBD72EA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110480712"/>
        <c:axId val="-2095578472"/>
      </c:scatterChart>
      <c:valAx>
        <c:axId val="2110480712"/>
        <c:scaling>
          <c:orientation val="minMax"/>
          <c:max val="25"/>
          <c:min val="1"/>
        </c:scaling>
        <c:delete val="0"/>
        <c:axPos val="b"/>
        <c:title>
          <c:tx>
            <c:rich>
              <a:bodyPr/>
              <a:lstStyle/>
              <a:p>
                <a:pPr>
                  <a:defRPr sz="500" b="0"/>
                </a:pPr>
                <a:r>
                  <a:rPr lang="en-US" sz="5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rPr>
                  <a:t> </a:t>
                </a:r>
                <a:r>
                  <a:rPr lang="en-US" sz="500" b="0"/>
                  <a:t>Round</a:t>
                </a:r>
              </a:p>
            </c:rich>
          </c:tx>
          <c:layout>
            <c:manualLayout>
              <c:xMode val="edge"/>
              <c:yMode val="edge"/>
              <c:x val="0.40041885008276401"/>
              <c:y val="0.90604453870625601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6350"/>
        </c:spPr>
        <c:txPr>
          <a:bodyPr/>
          <a:lstStyle/>
          <a:p>
            <a:pPr>
              <a:defRPr sz="500"/>
            </a:pPr>
            <a:endParaRPr lang="en-US"/>
          </a:p>
        </c:txPr>
        <c:crossAx val="-2095578472"/>
        <c:crosses val="autoZero"/>
        <c:crossBetween val="midCat"/>
        <c:majorUnit val="24"/>
      </c:valAx>
      <c:valAx>
        <c:axId val="-2095578472"/>
        <c:scaling>
          <c:orientation val="minMax"/>
          <c:max val="1"/>
        </c:scaling>
        <c:delete val="0"/>
        <c:axPos val="l"/>
        <c:majorGridlines>
          <c:spPr>
            <a:ln w="6350"/>
          </c:spPr>
        </c:majorGridlines>
        <c:title>
          <c:tx>
            <c:rich>
              <a:bodyPr rot="-5400000" vert="horz"/>
              <a:lstStyle/>
              <a:p>
                <a:pPr>
                  <a:defRPr sz="500" b="0"/>
                </a:pPr>
                <a:r>
                  <a:rPr lang="en-US" sz="500" b="0" i="0" u="none" strike="noStrike" baseline="0">
                    <a:effectLst/>
                  </a:rPr>
                  <a:t>Fund</a:t>
                </a:r>
                <a:r>
                  <a:rPr lang="en-US" sz="500" b="0" i="0" u="none" strike="noStrike" kern="1200" baseline="0">
                    <a:solidFill>
                      <a:sysClr val="windowText" lastClr="000000"/>
                    </a:solidFill>
                    <a:effectLst/>
                    <a:latin typeface="+mn-lt"/>
                    <a:ea typeface="+mn-ea"/>
                    <a:cs typeface="+mn-cs"/>
                  </a:rPr>
                  <a:t> </a:t>
                </a:r>
                <a:r>
                  <a:rPr lang="en-US" sz="500" b="0" i="0" u="none" strike="noStrike" baseline="0">
                    <a:effectLst/>
                  </a:rPr>
                  <a:t>the</a:t>
                </a:r>
                <a:r>
                  <a:rPr lang="en-US" sz="500" b="0" i="0" u="none" strike="noStrike" kern="1200" baseline="0">
                    <a:solidFill>
                      <a:sysClr val="windowText" lastClr="000000"/>
                    </a:solidFill>
                    <a:effectLst/>
                    <a:latin typeface="+mn-lt"/>
                    <a:ea typeface="+mn-ea"/>
                    <a:cs typeface="+mn-cs"/>
                  </a:rPr>
                  <a:t> </a:t>
                </a:r>
                <a:r>
                  <a:rPr lang="en-US" sz="500" b="0" i="0" u="none" strike="noStrike" baseline="0">
                    <a:effectLst/>
                  </a:rPr>
                  <a:t>Bank</a:t>
                </a:r>
                <a:r>
                  <a:rPr lang="en-US" sz="500" b="0" i="0" u="none" strike="noStrike" kern="1200" baseline="0">
                    <a:solidFill>
                      <a:sysClr val="windowText" lastClr="000000"/>
                    </a:solidFill>
                    <a:effectLst/>
                    <a:latin typeface="+mn-lt"/>
                    <a:ea typeface="+mn-ea"/>
                    <a:cs typeface="+mn-cs"/>
                  </a:rPr>
                  <a:t> </a:t>
                </a:r>
                <a:endParaRPr lang="en-US" sz="500" b="0"/>
              </a:p>
            </c:rich>
          </c:tx>
          <c:layout>
            <c:manualLayout>
              <c:xMode val="edge"/>
              <c:yMode val="edge"/>
              <c:x val="0"/>
              <c:y val="0.28127771144195501"/>
            </c:manualLayout>
          </c:layout>
          <c:overlay val="0"/>
        </c:title>
        <c:numFmt formatCode="0%" sourceLinked="0"/>
        <c:majorTickMark val="out"/>
        <c:minorTickMark val="none"/>
        <c:tickLblPos val="nextTo"/>
        <c:spPr>
          <a:ln w="6350"/>
        </c:spPr>
        <c:txPr>
          <a:bodyPr/>
          <a:lstStyle/>
          <a:p>
            <a:pPr>
              <a:defRPr sz="400"/>
            </a:pPr>
            <a:endParaRPr lang="en-US"/>
          </a:p>
        </c:txPr>
        <c:crossAx val="2110480712"/>
        <c:crosses val="autoZero"/>
        <c:crossBetween val="midCat"/>
        <c:majorUnit val="1"/>
      </c:valAx>
      <c:spPr>
        <a:ln w="6350">
          <a:solidFill>
            <a:schemeClr val="bg1">
              <a:lumMod val="50000"/>
            </a:schemeClr>
          </a:solidFill>
        </a:ln>
      </c:spPr>
    </c:plotArea>
    <c:plotVisOnly val="1"/>
    <c:dispBlanksAs val="gap"/>
    <c:showDLblsOverMax val="0"/>
  </c:chart>
  <c:spPr>
    <a:ln w="6350"/>
    <a:effectLst/>
  </c:spPr>
  <c:externalData r:id="rId1">
    <c:autoUpdate val="0"/>
  </c:externalData>
</c:chartSpace>
</file>

<file path=word/charts/chart4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77894226636305"/>
          <c:y val="8.4180938446688003E-2"/>
          <c:w val="0.72024746906636705"/>
          <c:h val="0.78661083324287595"/>
        </c:manualLayout>
      </c:layout>
      <c:scatterChart>
        <c:scatterStyle val="smoothMarker"/>
        <c:varyColors val="0"/>
        <c:ser>
          <c:idx val="0"/>
          <c:order val="0"/>
          <c:tx>
            <c:strRef>
              <c:f>T0!$AX$1</c:f>
              <c:strCache>
                <c:ptCount val="1"/>
                <c:pt idx="0">
                  <c:v>Fund if DW not detected</c:v>
                </c:pt>
              </c:strCache>
            </c:strRef>
          </c:tx>
          <c:spPr>
            <a:ln w="6350">
              <a:solidFill>
                <a:srgbClr val="00B0F0"/>
              </a:solidFill>
            </a:ln>
            <a:effectLst/>
          </c:spPr>
          <c:marker>
            <c:symbol val="square"/>
            <c:size val="2"/>
            <c:spPr>
              <a:solidFill>
                <a:srgbClr val="00B0F0"/>
              </a:solidFill>
              <a:ln w="6350">
                <a:noFill/>
              </a:ln>
              <a:effectLst/>
            </c:spPr>
          </c:marker>
          <c:xVal>
            <c:numRef>
              <c:f>'T1'!$AU$2:$AU$26</c:f>
              <c:numCache>
                <c:formatCode>General</c:formatCode>
                <c:ptCount val="2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</c:numCache>
            </c:numRef>
          </c:xVal>
          <c:yVal>
            <c:numRef>
              <c:f>'T3'!$AO$2:$AO$26</c:f>
              <c:numCache>
                <c:formatCode>0.0%</c:formatCode>
                <c:ptCount val="25"/>
                <c:pt idx="0">
                  <c:v>0.5</c:v>
                </c:pt>
                <c:pt idx="1">
                  <c:v>0.5</c:v>
                </c:pt>
                <c:pt idx="2">
                  <c:v>0.33333333333333298</c:v>
                </c:pt>
                <c:pt idx="3">
                  <c:v>0.5</c:v>
                </c:pt>
                <c:pt idx="4">
                  <c:v>0.33333333333333298</c:v>
                </c:pt>
                <c:pt idx="5">
                  <c:v>0.66666666666666696</c:v>
                </c:pt>
                <c:pt idx="6">
                  <c:v>0.33333333333333298</c:v>
                </c:pt>
                <c:pt idx="7">
                  <c:v>0.5</c:v>
                </c:pt>
                <c:pt idx="8">
                  <c:v>0.33333333333333298</c:v>
                </c:pt>
                <c:pt idx="9">
                  <c:v>0.5</c:v>
                </c:pt>
                <c:pt idx="10">
                  <c:v>0.33333333333333298</c:v>
                </c:pt>
                <c:pt idx="11">
                  <c:v>0.33333333333333298</c:v>
                </c:pt>
                <c:pt idx="12">
                  <c:v>0.5</c:v>
                </c:pt>
                <c:pt idx="13">
                  <c:v>0.33333333333333298</c:v>
                </c:pt>
                <c:pt idx="14">
                  <c:v>0.33333333333333298</c:v>
                </c:pt>
                <c:pt idx="15">
                  <c:v>0.33333333333333298</c:v>
                </c:pt>
                <c:pt idx="16">
                  <c:v>0.16666666666666699</c:v>
                </c:pt>
                <c:pt idx="17">
                  <c:v>0.16666666666666699</c:v>
                </c:pt>
                <c:pt idx="18">
                  <c:v>0.16666666666666699</c:v>
                </c:pt>
                <c:pt idx="19">
                  <c:v>0.16666666666666699</c:v>
                </c:pt>
                <c:pt idx="20">
                  <c:v>0.16666666666666699</c:v>
                </c:pt>
                <c:pt idx="21">
                  <c:v>0</c:v>
                </c:pt>
                <c:pt idx="22">
                  <c:v>0.16666666666666699</c:v>
                </c:pt>
                <c:pt idx="23">
                  <c:v>0</c:v>
                </c:pt>
                <c:pt idx="24">
                  <c:v>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30B1-7A47-81CC-F0C2194CF57A}"/>
            </c:ext>
          </c:extLst>
        </c:ser>
        <c:ser>
          <c:idx val="1"/>
          <c:order val="1"/>
          <c:tx>
            <c:strRef>
              <c:f>T0!$AY$1</c:f>
              <c:strCache>
                <c:ptCount val="1"/>
                <c:pt idx="0">
                  <c:v>Fund if DW detected</c:v>
                </c:pt>
              </c:strCache>
            </c:strRef>
          </c:tx>
          <c:spPr>
            <a:ln w="6350" cmpd="sng">
              <a:solidFill>
                <a:srgbClr val="002060"/>
              </a:solidFill>
            </a:ln>
            <a:effectLst/>
          </c:spPr>
          <c:marker>
            <c:symbol val="square"/>
            <c:size val="2"/>
            <c:spPr>
              <a:solidFill>
                <a:schemeClr val="bg1"/>
              </a:solidFill>
              <a:ln w="3175">
                <a:solidFill>
                  <a:srgbClr val="002060"/>
                </a:solidFill>
              </a:ln>
              <a:effectLst/>
            </c:spPr>
          </c:marker>
          <c:xVal>
            <c:numRef>
              <c:f>'T1'!$AU$2:$AU$26</c:f>
              <c:numCache>
                <c:formatCode>General</c:formatCode>
                <c:ptCount val="2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</c:numCache>
            </c:numRef>
          </c:xVal>
          <c:yVal>
            <c:numRef>
              <c:f>'T3'!$AP$2:$AP$26</c:f>
              <c:numCache>
                <c:formatCode>0.0%</c:formatCode>
                <c:ptCount val="25"/>
                <c:pt idx="0">
                  <c:v>0.33333333333333298</c:v>
                </c:pt>
                <c:pt idx="1">
                  <c:v>0.33333333333333298</c:v>
                </c:pt>
                <c:pt idx="2">
                  <c:v>0.5</c:v>
                </c:pt>
                <c:pt idx="3">
                  <c:v>0.5</c:v>
                </c:pt>
                <c:pt idx="4">
                  <c:v>0.33333333333333298</c:v>
                </c:pt>
                <c:pt idx="5">
                  <c:v>0.66666666666666696</c:v>
                </c:pt>
                <c:pt idx="6">
                  <c:v>0.5</c:v>
                </c:pt>
                <c:pt idx="7">
                  <c:v>0.5</c:v>
                </c:pt>
                <c:pt idx="8">
                  <c:v>0.66666666666666696</c:v>
                </c:pt>
                <c:pt idx="9">
                  <c:v>0.66666666666666696</c:v>
                </c:pt>
                <c:pt idx="10">
                  <c:v>0.33333333333333298</c:v>
                </c:pt>
                <c:pt idx="11">
                  <c:v>0.33333333333333298</c:v>
                </c:pt>
                <c:pt idx="12">
                  <c:v>0.33333333333333298</c:v>
                </c:pt>
                <c:pt idx="13">
                  <c:v>0.33333333333333298</c:v>
                </c:pt>
                <c:pt idx="14">
                  <c:v>0.33333333333333298</c:v>
                </c:pt>
                <c:pt idx="15">
                  <c:v>0.33333333333333298</c:v>
                </c:pt>
                <c:pt idx="16">
                  <c:v>0.33333333333333298</c:v>
                </c:pt>
                <c:pt idx="17">
                  <c:v>0.33333333333333298</c:v>
                </c:pt>
                <c:pt idx="18">
                  <c:v>0.33333333333333298</c:v>
                </c:pt>
                <c:pt idx="19">
                  <c:v>0.5</c:v>
                </c:pt>
                <c:pt idx="20">
                  <c:v>0.33333333333333298</c:v>
                </c:pt>
                <c:pt idx="21">
                  <c:v>0.16666666666666699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30B1-7A47-81CC-F0C2194CF57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-2095545240"/>
        <c:axId val="-2095537032"/>
      </c:scatterChart>
      <c:valAx>
        <c:axId val="-2095545240"/>
        <c:scaling>
          <c:orientation val="minMax"/>
          <c:max val="25"/>
          <c:min val="1"/>
        </c:scaling>
        <c:delete val="0"/>
        <c:axPos val="b"/>
        <c:title>
          <c:tx>
            <c:rich>
              <a:bodyPr/>
              <a:lstStyle/>
              <a:p>
                <a:pPr>
                  <a:defRPr sz="500" b="0"/>
                </a:pPr>
                <a:r>
                  <a:rPr lang="en-US" sz="5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rPr>
                  <a:t> </a:t>
                </a:r>
                <a:r>
                  <a:rPr lang="en-US" sz="500" b="0"/>
                  <a:t>Round</a:t>
                </a:r>
              </a:p>
            </c:rich>
          </c:tx>
          <c:layout>
            <c:manualLayout>
              <c:xMode val="edge"/>
              <c:yMode val="edge"/>
              <c:x val="0.40041885008276401"/>
              <c:y val="0.90604453870625601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6350"/>
        </c:spPr>
        <c:txPr>
          <a:bodyPr/>
          <a:lstStyle/>
          <a:p>
            <a:pPr>
              <a:defRPr sz="500"/>
            </a:pPr>
            <a:endParaRPr lang="en-US"/>
          </a:p>
        </c:txPr>
        <c:crossAx val="-2095537032"/>
        <c:crosses val="autoZero"/>
        <c:crossBetween val="midCat"/>
        <c:majorUnit val="24"/>
      </c:valAx>
      <c:valAx>
        <c:axId val="-2095537032"/>
        <c:scaling>
          <c:orientation val="minMax"/>
          <c:max val="1"/>
        </c:scaling>
        <c:delete val="0"/>
        <c:axPos val="l"/>
        <c:majorGridlines>
          <c:spPr>
            <a:ln w="6350"/>
          </c:spPr>
        </c:majorGridlines>
        <c:title>
          <c:tx>
            <c:rich>
              <a:bodyPr rot="-5400000" vert="horz"/>
              <a:lstStyle/>
              <a:p>
                <a:pPr>
                  <a:defRPr sz="500" b="0"/>
                </a:pPr>
                <a:r>
                  <a:rPr lang="en-US" sz="500" b="0" i="0" u="none" strike="noStrike" baseline="0">
                    <a:effectLst/>
                  </a:rPr>
                  <a:t>Borrow</a:t>
                </a:r>
                <a:r>
                  <a:rPr lang="en-US" sz="500" b="0" i="0" u="none" strike="noStrike" kern="1200" baseline="0">
                    <a:solidFill>
                      <a:sysClr val="windowText" lastClr="000000"/>
                    </a:solidFill>
                    <a:effectLst/>
                    <a:latin typeface="+mn-lt"/>
                    <a:ea typeface="+mn-ea"/>
                    <a:cs typeface="+mn-cs"/>
                  </a:rPr>
                  <a:t> </a:t>
                </a:r>
                <a:r>
                  <a:rPr lang="en-US" sz="500" b="0" i="0" u="none" strike="noStrike" baseline="0">
                    <a:effectLst/>
                  </a:rPr>
                  <a:t>at</a:t>
                </a:r>
                <a:r>
                  <a:rPr lang="en-US" sz="500" b="0" i="0" u="none" strike="noStrike" kern="1200" baseline="0">
                    <a:solidFill>
                      <a:sysClr val="windowText" lastClr="000000"/>
                    </a:solidFill>
                    <a:effectLst/>
                    <a:latin typeface="+mn-lt"/>
                    <a:ea typeface="+mn-ea"/>
                    <a:cs typeface="+mn-cs"/>
                  </a:rPr>
                  <a:t> </a:t>
                </a:r>
                <a:r>
                  <a:rPr lang="en-US" sz="500" b="0" i="0" u="none" strike="noStrike" baseline="0">
                    <a:effectLst/>
                  </a:rPr>
                  <a:t>DW</a:t>
                </a:r>
                <a:endParaRPr lang="en-US" sz="500" b="0"/>
              </a:p>
            </c:rich>
          </c:tx>
          <c:layout>
            <c:manualLayout>
              <c:xMode val="edge"/>
              <c:yMode val="edge"/>
              <c:x val="0"/>
              <c:y val="0.28127771144195501"/>
            </c:manualLayout>
          </c:layout>
          <c:overlay val="0"/>
        </c:title>
        <c:numFmt formatCode="0%" sourceLinked="0"/>
        <c:majorTickMark val="out"/>
        <c:minorTickMark val="none"/>
        <c:tickLblPos val="nextTo"/>
        <c:spPr>
          <a:ln w="6350"/>
        </c:spPr>
        <c:txPr>
          <a:bodyPr/>
          <a:lstStyle/>
          <a:p>
            <a:pPr>
              <a:defRPr sz="400"/>
            </a:pPr>
            <a:endParaRPr lang="en-US"/>
          </a:p>
        </c:txPr>
        <c:crossAx val="-2095545240"/>
        <c:crosses val="autoZero"/>
        <c:crossBetween val="midCat"/>
        <c:majorUnit val="1"/>
      </c:valAx>
      <c:spPr>
        <a:ln w="6350">
          <a:solidFill>
            <a:schemeClr val="bg1">
              <a:lumMod val="50000"/>
            </a:schemeClr>
          </a:solidFill>
        </a:ln>
      </c:spPr>
    </c:plotArea>
    <c:plotVisOnly val="1"/>
    <c:dispBlanksAs val="gap"/>
    <c:showDLblsOverMax val="0"/>
  </c:chart>
  <c:spPr>
    <a:ln w="6350"/>
    <a:effectLst/>
  </c:spPr>
  <c:externalData r:id="rId1">
    <c:autoUpdate val="0"/>
  </c:externalData>
</c:chartSpace>
</file>

<file path=word/charts/chart4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77894226636305"/>
          <c:y val="8.4180938446688003E-2"/>
          <c:w val="0.72024746906636705"/>
          <c:h val="0.78661083324287595"/>
        </c:manualLayout>
      </c:layout>
      <c:scatterChart>
        <c:scatterStyle val="smoothMarker"/>
        <c:varyColors val="0"/>
        <c:ser>
          <c:idx val="0"/>
          <c:order val="0"/>
          <c:tx>
            <c:strRef>
              <c:f>T0!$AX$1</c:f>
              <c:strCache>
                <c:ptCount val="1"/>
                <c:pt idx="0">
                  <c:v>Fund if DW not detected</c:v>
                </c:pt>
              </c:strCache>
            </c:strRef>
          </c:tx>
          <c:spPr>
            <a:ln w="6350">
              <a:solidFill>
                <a:srgbClr val="FF0000"/>
              </a:solidFill>
            </a:ln>
            <a:effectLst/>
          </c:spPr>
          <c:marker>
            <c:symbol val="circle"/>
            <c:size val="2"/>
            <c:spPr>
              <a:solidFill>
                <a:srgbClr val="FF0000"/>
              </a:solidFill>
              <a:ln w="6350">
                <a:solidFill>
                  <a:srgbClr val="FF0000"/>
                </a:solidFill>
              </a:ln>
              <a:effectLst/>
            </c:spPr>
          </c:marker>
          <c:xVal>
            <c:numRef>
              <c:f>'T1'!$AU$2:$AU$26</c:f>
              <c:numCache>
                <c:formatCode>General</c:formatCode>
                <c:ptCount val="2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</c:numCache>
            </c:numRef>
          </c:xVal>
          <c:yVal>
            <c:numRef>
              <c:f>'T3'!$AQ$27:$AQ$51</c:f>
              <c:numCache>
                <c:formatCode>0.0%</c:formatCode>
                <c:ptCount val="25"/>
                <c:pt idx="0">
                  <c:v>0.83333333333333304</c:v>
                </c:pt>
                <c:pt idx="1">
                  <c:v>0.5</c:v>
                </c:pt>
                <c:pt idx="2">
                  <c:v>0.33333333333333298</c:v>
                </c:pt>
                <c:pt idx="3">
                  <c:v>0.66666666666666696</c:v>
                </c:pt>
                <c:pt idx="4">
                  <c:v>0.66666666666666696</c:v>
                </c:pt>
                <c:pt idx="5">
                  <c:v>0.83333333333333304</c:v>
                </c:pt>
                <c:pt idx="6">
                  <c:v>0.83333333333333304</c:v>
                </c:pt>
                <c:pt idx="7">
                  <c:v>0.66666666666666696</c:v>
                </c:pt>
                <c:pt idx="8">
                  <c:v>0.66666666666666696</c:v>
                </c:pt>
                <c:pt idx="9">
                  <c:v>0.5</c:v>
                </c:pt>
                <c:pt idx="10">
                  <c:v>0.5</c:v>
                </c:pt>
                <c:pt idx="11">
                  <c:v>0.83333333333333304</c:v>
                </c:pt>
                <c:pt idx="12">
                  <c:v>0.66666666666666696</c:v>
                </c:pt>
                <c:pt idx="13">
                  <c:v>0.66666666666666696</c:v>
                </c:pt>
                <c:pt idx="14">
                  <c:v>0.83333333333333304</c:v>
                </c:pt>
                <c:pt idx="15">
                  <c:v>0.5</c:v>
                </c:pt>
                <c:pt idx="16">
                  <c:v>0.66666666666666696</c:v>
                </c:pt>
                <c:pt idx="17">
                  <c:v>0.66666666666666696</c:v>
                </c:pt>
                <c:pt idx="18">
                  <c:v>0.66666666666666696</c:v>
                </c:pt>
                <c:pt idx="19">
                  <c:v>0.5</c:v>
                </c:pt>
                <c:pt idx="20">
                  <c:v>0.66666666666666696</c:v>
                </c:pt>
                <c:pt idx="21">
                  <c:v>0.66666666666666696</c:v>
                </c:pt>
                <c:pt idx="22">
                  <c:v>0.83333333333333304</c:v>
                </c:pt>
                <c:pt idx="23">
                  <c:v>0.66666666666666696</c:v>
                </c:pt>
                <c:pt idx="24">
                  <c:v>0.66666666666666696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CC91-8F47-8FA1-2F8771D0E2FE}"/>
            </c:ext>
          </c:extLst>
        </c:ser>
        <c:ser>
          <c:idx val="1"/>
          <c:order val="1"/>
          <c:tx>
            <c:strRef>
              <c:f>T0!$AY$1</c:f>
              <c:strCache>
                <c:ptCount val="1"/>
                <c:pt idx="0">
                  <c:v>Fund if DW detected</c:v>
                </c:pt>
              </c:strCache>
            </c:strRef>
          </c:tx>
          <c:spPr>
            <a:ln w="6350" cmpd="sng">
              <a:solidFill>
                <a:srgbClr val="FF9300"/>
              </a:solidFill>
            </a:ln>
            <a:effectLst/>
          </c:spPr>
          <c:marker>
            <c:symbol val="circle"/>
            <c:size val="2"/>
            <c:spPr>
              <a:solidFill>
                <a:schemeClr val="bg1"/>
              </a:solidFill>
              <a:ln w="6350">
                <a:solidFill>
                  <a:srgbClr val="FF9300"/>
                </a:solidFill>
              </a:ln>
              <a:effectLst/>
            </c:spPr>
          </c:marker>
          <c:xVal>
            <c:numRef>
              <c:f>T0!$AU$2:$AU$26</c:f>
              <c:numCache>
                <c:formatCode>General</c:formatCode>
                <c:ptCount val="2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</c:numCache>
            </c:numRef>
          </c:xVal>
          <c:yVal>
            <c:numRef>
              <c:f>'T3'!$AR$27:$AR$51</c:f>
              <c:numCache>
                <c:formatCode>0.0%</c:formatCode>
                <c:ptCount val="25"/>
                <c:pt idx="0">
                  <c:v>0.66666666666666696</c:v>
                </c:pt>
                <c:pt idx="1">
                  <c:v>0.16666666666666699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0.16666666666666699</c:v>
                </c:pt>
                <c:pt idx="6">
                  <c:v>0</c:v>
                </c:pt>
                <c:pt idx="7">
                  <c:v>0</c:v>
                </c:pt>
                <c:pt idx="8">
                  <c:v>0.16666666666666699</c:v>
                </c:pt>
                <c:pt idx="9">
                  <c:v>0.16666666666666699</c:v>
                </c:pt>
                <c:pt idx="10">
                  <c:v>0</c:v>
                </c:pt>
                <c:pt idx="11">
                  <c:v>0.16666666666666699</c:v>
                </c:pt>
                <c:pt idx="12">
                  <c:v>0</c:v>
                </c:pt>
                <c:pt idx="13">
                  <c:v>0.16666666666666699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CC91-8F47-8FA1-2F8771D0E2F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-2095503048"/>
        <c:axId val="-2095494728"/>
      </c:scatterChart>
      <c:valAx>
        <c:axId val="-2095503048"/>
        <c:scaling>
          <c:orientation val="minMax"/>
          <c:max val="25"/>
          <c:min val="1"/>
        </c:scaling>
        <c:delete val="0"/>
        <c:axPos val="b"/>
        <c:title>
          <c:tx>
            <c:rich>
              <a:bodyPr/>
              <a:lstStyle/>
              <a:p>
                <a:pPr>
                  <a:defRPr sz="500" b="0"/>
                </a:pPr>
                <a:r>
                  <a:rPr lang="en-US" sz="5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rPr>
                  <a:t> </a:t>
                </a:r>
                <a:r>
                  <a:rPr lang="en-US" sz="500" b="0"/>
                  <a:t>Round</a:t>
                </a:r>
              </a:p>
            </c:rich>
          </c:tx>
          <c:layout>
            <c:manualLayout>
              <c:xMode val="edge"/>
              <c:yMode val="edge"/>
              <c:x val="0.40041885008276401"/>
              <c:y val="0.90604453870625601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6350"/>
        </c:spPr>
        <c:txPr>
          <a:bodyPr/>
          <a:lstStyle/>
          <a:p>
            <a:pPr>
              <a:defRPr sz="500"/>
            </a:pPr>
            <a:endParaRPr lang="en-US"/>
          </a:p>
        </c:txPr>
        <c:crossAx val="-2095494728"/>
        <c:crosses val="autoZero"/>
        <c:crossBetween val="midCat"/>
        <c:majorUnit val="24"/>
      </c:valAx>
      <c:valAx>
        <c:axId val="-2095494728"/>
        <c:scaling>
          <c:orientation val="minMax"/>
          <c:max val="1"/>
        </c:scaling>
        <c:delete val="0"/>
        <c:axPos val="l"/>
        <c:majorGridlines>
          <c:spPr>
            <a:ln w="6350"/>
          </c:spPr>
        </c:majorGridlines>
        <c:title>
          <c:tx>
            <c:rich>
              <a:bodyPr rot="-5400000" vert="horz"/>
              <a:lstStyle/>
              <a:p>
                <a:pPr>
                  <a:defRPr sz="500" b="0"/>
                </a:pPr>
                <a:r>
                  <a:rPr lang="en-US" sz="500" b="0" i="0" u="none" strike="noStrike" baseline="0">
                    <a:effectLst/>
                  </a:rPr>
                  <a:t>Fund</a:t>
                </a:r>
                <a:r>
                  <a:rPr lang="en-US" sz="500" b="0" i="0" u="none" strike="noStrike" kern="1200" baseline="0">
                    <a:solidFill>
                      <a:sysClr val="windowText" lastClr="000000"/>
                    </a:solidFill>
                    <a:effectLst/>
                    <a:latin typeface="+mn-lt"/>
                    <a:ea typeface="+mn-ea"/>
                    <a:cs typeface="+mn-cs"/>
                  </a:rPr>
                  <a:t> </a:t>
                </a:r>
                <a:r>
                  <a:rPr lang="en-US" sz="500" b="0" i="0" u="none" strike="noStrike" baseline="0">
                    <a:effectLst/>
                  </a:rPr>
                  <a:t>the</a:t>
                </a:r>
                <a:r>
                  <a:rPr lang="en-US" sz="500" b="0" i="0" u="none" strike="noStrike" kern="1200" baseline="0">
                    <a:solidFill>
                      <a:sysClr val="windowText" lastClr="000000"/>
                    </a:solidFill>
                    <a:effectLst/>
                    <a:latin typeface="+mn-lt"/>
                    <a:ea typeface="+mn-ea"/>
                    <a:cs typeface="+mn-cs"/>
                  </a:rPr>
                  <a:t> </a:t>
                </a:r>
                <a:r>
                  <a:rPr lang="en-US" sz="500" b="0" i="0" u="none" strike="noStrike" baseline="0">
                    <a:effectLst/>
                  </a:rPr>
                  <a:t>Bank</a:t>
                </a:r>
                <a:r>
                  <a:rPr lang="en-US" sz="500" b="0" i="0" u="none" strike="noStrike" kern="1200" baseline="0">
                    <a:solidFill>
                      <a:sysClr val="windowText" lastClr="000000"/>
                    </a:solidFill>
                    <a:effectLst/>
                    <a:latin typeface="+mn-lt"/>
                    <a:ea typeface="+mn-ea"/>
                    <a:cs typeface="+mn-cs"/>
                  </a:rPr>
                  <a:t> </a:t>
                </a:r>
                <a:endParaRPr lang="en-US" sz="500" b="0"/>
              </a:p>
            </c:rich>
          </c:tx>
          <c:layout>
            <c:manualLayout>
              <c:xMode val="edge"/>
              <c:yMode val="edge"/>
              <c:x val="0"/>
              <c:y val="0.28127771144195501"/>
            </c:manualLayout>
          </c:layout>
          <c:overlay val="0"/>
        </c:title>
        <c:numFmt formatCode="0%" sourceLinked="0"/>
        <c:majorTickMark val="out"/>
        <c:minorTickMark val="none"/>
        <c:tickLblPos val="nextTo"/>
        <c:spPr>
          <a:ln w="6350"/>
        </c:spPr>
        <c:txPr>
          <a:bodyPr/>
          <a:lstStyle/>
          <a:p>
            <a:pPr>
              <a:defRPr sz="400"/>
            </a:pPr>
            <a:endParaRPr lang="en-US"/>
          </a:p>
        </c:txPr>
        <c:crossAx val="-2095503048"/>
        <c:crosses val="autoZero"/>
        <c:crossBetween val="midCat"/>
        <c:majorUnit val="1"/>
      </c:valAx>
      <c:spPr>
        <a:ln w="6350">
          <a:solidFill>
            <a:schemeClr val="bg1">
              <a:lumMod val="50000"/>
            </a:schemeClr>
          </a:solidFill>
        </a:ln>
      </c:spPr>
    </c:plotArea>
    <c:plotVisOnly val="1"/>
    <c:dispBlanksAs val="gap"/>
    <c:showDLblsOverMax val="0"/>
  </c:chart>
  <c:spPr>
    <a:ln w="6350"/>
    <a:effectLst/>
  </c:spPr>
  <c:externalData r:id="rId1">
    <c:autoUpdate val="0"/>
  </c:externalData>
</c:chartSpace>
</file>

<file path=word/charts/chart4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77894226636305"/>
          <c:y val="8.4180938446688003E-2"/>
          <c:w val="0.72024746906636705"/>
          <c:h val="0.78661083324287595"/>
        </c:manualLayout>
      </c:layout>
      <c:scatterChart>
        <c:scatterStyle val="smoothMarker"/>
        <c:varyColors val="0"/>
        <c:ser>
          <c:idx val="0"/>
          <c:order val="0"/>
          <c:tx>
            <c:strRef>
              <c:f>T0!$AX$1</c:f>
              <c:strCache>
                <c:ptCount val="1"/>
                <c:pt idx="0">
                  <c:v>Fund if DW not detected</c:v>
                </c:pt>
              </c:strCache>
            </c:strRef>
          </c:tx>
          <c:spPr>
            <a:ln w="6350">
              <a:solidFill>
                <a:srgbClr val="00B0F0"/>
              </a:solidFill>
            </a:ln>
            <a:effectLst/>
          </c:spPr>
          <c:marker>
            <c:symbol val="square"/>
            <c:size val="2"/>
            <c:spPr>
              <a:solidFill>
                <a:srgbClr val="00B0F0"/>
              </a:solidFill>
              <a:ln w="6350">
                <a:noFill/>
              </a:ln>
              <a:effectLst/>
            </c:spPr>
          </c:marker>
          <c:xVal>
            <c:numRef>
              <c:f>T0!$AU$2:$AU$26</c:f>
              <c:numCache>
                <c:formatCode>General</c:formatCode>
                <c:ptCount val="2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</c:numCache>
            </c:numRef>
          </c:xVal>
          <c:yVal>
            <c:numRef>
              <c:f>'T3'!$AO$27:$AO$51</c:f>
              <c:numCache>
                <c:formatCode>0.0%</c:formatCode>
                <c:ptCount val="25"/>
                <c:pt idx="0">
                  <c:v>0.33333333333333298</c:v>
                </c:pt>
                <c:pt idx="1">
                  <c:v>0.5</c:v>
                </c:pt>
                <c:pt idx="2">
                  <c:v>0.66666666666666696</c:v>
                </c:pt>
                <c:pt idx="3">
                  <c:v>1</c:v>
                </c:pt>
                <c:pt idx="4">
                  <c:v>0.5</c:v>
                </c:pt>
                <c:pt idx="5">
                  <c:v>0.66666666666666696</c:v>
                </c:pt>
                <c:pt idx="6">
                  <c:v>0.66666666666666696</c:v>
                </c:pt>
                <c:pt idx="7">
                  <c:v>0.5</c:v>
                </c:pt>
                <c:pt idx="8">
                  <c:v>0.33333333333333298</c:v>
                </c:pt>
                <c:pt idx="9">
                  <c:v>0.33333333333333298</c:v>
                </c:pt>
                <c:pt idx="10">
                  <c:v>0.5</c:v>
                </c:pt>
                <c:pt idx="11">
                  <c:v>0.5</c:v>
                </c:pt>
                <c:pt idx="12">
                  <c:v>0.33333333333333298</c:v>
                </c:pt>
                <c:pt idx="13">
                  <c:v>0.16666666666666699</c:v>
                </c:pt>
                <c:pt idx="14">
                  <c:v>0.16666666666666699</c:v>
                </c:pt>
                <c:pt idx="15">
                  <c:v>0.5</c:v>
                </c:pt>
                <c:pt idx="16">
                  <c:v>0.33333333333333298</c:v>
                </c:pt>
                <c:pt idx="17">
                  <c:v>0.33333333333333298</c:v>
                </c:pt>
                <c:pt idx="18">
                  <c:v>0.5</c:v>
                </c:pt>
                <c:pt idx="19">
                  <c:v>0.5</c:v>
                </c:pt>
                <c:pt idx="20">
                  <c:v>0.5</c:v>
                </c:pt>
                <c:pt idx="21">
                  <c:v>0.33333333333333298</c:v>
                </c:pt>
                <c:pt idx="22">
                  <c:v>0.5</c:v>
                </c:pt>
                <c:pt idx="23">
                  <c:v>0.33333333333333298</c:v>
                </c:pt>
                <c:pt idx="24">
                  <c:v>0.33333333333333298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88FF-284D-A20B-146EE869E464}"/>
            </c:ext>
          </c:extLst>
        </c:ser>
        <c:ser>
          <c:idx val="1"/>
          <c:order val="1"/>
          <c:tx>
            <c:strRef>
              <c:f>T0!$AY$1</c:f>
              <c:strCache>
                <c:ptCount val="1"/>
                <c:pt idx="0">
                  <c:v>Fund if DW detected</c:v>
                </c:pt>
              </c:strCache>
            </c:strRef>
          </c:tx>
          <c:spPr>
            <a:ln w="6350" cmpd="sng">
              <a:solidFill>
                <a:srgbClr val="002060"/>
              </a:solidFill>
            </a:ln>
            <a:effectLst/>
          </c:spPr>
          <c:marker>
            <c:symbol val="square"/>
            <c:size val="2"/>
            <c:spPr>
              <a:solidFill>
                <a:schemeClr val="bg1"/>
              </a:solidFill>
              <a:ln w="3175">
                <a:solidFill>
                  <a:srgbClr val="002060"/>
                </a:solidFill>
              </a:ln>
              <a:effectLst/>
            </c:spPr>
          </c:marker>
          <c:xVal>
            <c:numRef>
              <c:f>T0!$AU$2:$AU$26</c:f>
              <c:numCache>
                <c:formatCode>General</c:formatCode>
                <c:ptCount val="2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</c:numCache>
            </c:numRef>
          </c:xVal>
          <c:yVal>
            <c:numRef>
              <c:f>'T3'!$AP$27:$AP$51</c:f>
              <c:numCache>
                <c:formatCode>0.0%</c:formatCode>
                <c:ptCount val="25"/>
                <c:pt idx="0">
                  <c:v>0.33333333333333298</c:v>
                </c:pt>
                <c:pt idx="1">
                  <c:v>0.5</c:v>
                </c:pt>
                <c:pt idx="2">
                  <c:v>0.5</c:v>
                </c:pt>
                <c:pt idx="3">
                  <c:v>0.66666666666666696</c:v>
                </c:pt>
                <c:pt idx="4">
                  <c:v>0.33333333333333298</c:v>
                </c:pt>
                <c:pt idx="5">
                  <c:v>0.16666666666666699</c:v>
                </c:pt>
                <c:pt idx="6">
                  <c:v>0.16666666666666699</c:v>
                </c:pt>
                <c:pt idx="7">
                  <c:v>0</c:v>
                </c:pt>
                <c:pt idx="8">
                  <c:v>0</c:v>
                </c:pt>
                <c:pt idx="9">
                  <c:v>0.16666666666666699</c:v>
                </c:pt>
                <c:pt idx="10">
                  <c:v>0.16666666666666699</c:v>
                </c:pt>
                <c:pt idx="11">
                  <c:v>0.33333333333333298</c:v>
                </c:pt>
                <c:pt idx="12">
                  <c:v>0.16666666666666699</c:v>
                </c:pt>
                <c:pt idx="13">
                  <c:v>0.16666666666666699</c:v>
                </c:pt>
                <c:pt idx="14">
                  <c:v>0.16666666666666699</c:v>
                </c:pt>
                <c:pt idx="15">
                  <c:v>0.16666666666666699</c:v>
                </c:pt>
                <c:pt idx="16">
                  <c:v>0.16666666666666699</c:v>
                </c:pt>
                <c:pt idx="17">
                  <c:v>0.33333333333333298</c:v>
                </c:pt>
                <c:pt idx="18">
                  <c:v>0.33333333333333298</c:v>
                </c:pt>
                <c:pt idx="19">
                  <c:v>0.16666666666666699</c:v>
                </c:pt>
                <c:pt idx="20">
                  <c:v>0</c:v>
                </c:pt>
                <c:pt idx="21">
                  <c:v>0.16666666666666699</c:v>
                </c:pt>
                <c:pt idx="22">
                  <c:v>0.16666666666666699</c:v>
                </c:pt>
                <c:pt idx="23">
                  <c:v>0.16666666666666699</c:v>
                </c:pt>
                <c:pt idx="24">
                  <c:v>0.16666666666666699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88FF-284D-A20B-146EE869E46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-2095461096"/>
        <c:axId val="-2095452744"/>
      </c:scatterChart>
      <c:valAx>
        <c:axId val="-2095461096"/>
        <c:scaling>
          <c:orientation val="minMax"/>
          <c:max val="25"/>
          <c:min val="1"/>
        </c:scaling>
        <c:delete val="0"/>
        <c:axPos val="b"/>
        <c:title>
          <c:tx>
            <c:rich>
              <a:bodyPr/>
              <a:lstStyle/>
              <a:p>
                <a:pPr>
                  <a:defRPr sz="500" b="0"/>
                </a:pPr>
                <a:r>
                  <a:rPr lang="en-US" sz="5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rPr>
                  <a:t> </a:t>
                </a:r>
                <a:r>
                  <a:rPr lang="en-US" sz="500" b="0"/>
                  <a:t>Round</a:t>
                </a:r>
              </a:p>
            </c:rich>
          </c:tx>
          <c:layout>
            <c:manualLayout>
              <c:xMode val="edge"/>
              <c:yMode val="edge"/>
              <c:x val="0.40041885008276401"/>
              <c:y val="0.90604453870625601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6350"/>
        </c:spPr>
        <c:txPr>
          <a:bodyPr/>
          <a:lstStyle/>
          <a:p>
            <a:pPr>
              <a:defRPr sz="500"/>
            </a:pPr>
            <a:endParaRPr lang="en-US"/>
          </a:p>
        </c:txPr>
        <c:crossAx val="-2095452744"/>
        <c:crosses val="autoZero"/>
        <c:crossBetween val="midCat"/>
        <c:majorUnit val="24"/>
      </c:valAx>
      <c:valAx>
        <c:axId val="-2095452744"/>
        <c:scaling>
          <c:orientation val="minMax"/>
          <c:max val="1"/>
        </c:scaling>
        <c:delete val="0"/>
        <c:axPos val="l"/>
        <c:majorGridlines>
          <c:spPr>
            <a:ln w="6350"/>
          </c:spPr>
        </c:majorGridlines>
        <c:title>
          <c:tx>
            <c:rich>
              <a:bodyPr rot="-5400000" vert="horz"/>
              <a:lstStyle/>
              <a:p>
                <a:pPr>
                  <a:defRPr sz="500" b="0"/>
                </a:pPr>
                <a:r>
                  <a:rPr lang="en-US" sz="500" b="0" i="0" u="none" strike="noStrike" baseline="0">
                    <a:effectLst/>
                  </a:rPr>
                  <a:t>Borrow</a:t>
                </a:r>
                <a:r>
                  <a:rPr lang="en-US" sz="500" b="0" i="0" u="none" strike="noStrike" kern="1200" baseline="0">
                    <a:solidFill>
                      <a:sysClr val="windowText" lastClr="000000"/>
                    </a:solidFill>
                    <a:effectLst/>
                    <a:latin typeface="+mn-lt"/>
                    <a:ea typeface="+mn-ea"/>
                    <a:cs typeface="+mn-cs"/>
                  </a:rPr>
                  <a:t> </a:t>
                </a:r>
                <a:r>
                  <a:rPr lang="en-US" sz="500" b="0" i="0" u="none" strike="noStrike" baseline="0">
                    <a:effectLst/>
                  </a:rPr>
                  <a:t>at</a:t>
                </a:r>
                <a:r>
                  <a:rPr lang="en-US" sz="500" b="0" i="0" u="none" strike="noStrike" kern="1200" baseline="0">
                    <a:solidFill>
                      <a:sysClr val="windowText" lastClr="000000"/>
                    </a:solidFill>
                    <a:effectLst/>
                    <a:latin typeface="+mn-lt"/>
                    <a:ea typeface="+mn-ea"/>
                    <a:cs typeface="+mn-cs"/>
                  </a:rPr>
                  <a:t> </a:t>
                </a:r>
                <a:r>
                  <a:rPr lang="en-US" sz="500" b="0" i="0" u="none" strike="noStrike" baseline="0">
                    <a:effectLst/>
                  </a:rPr>
                  <a:t>DW</a:t>
                </a:r>
                <a:endParaRPr lang="en-US" sz="500" b="0"/>
              </a:p>
            </c:rich>
          </c:tx>
          <c:layout>
            <c:manualLayout>
              <c:xMode val="edge"/>
              <c:yMode val="edge"/>
              <c:x val="0"/>
              <c:y val="0.28127771144195501"/>
            </c:manualLayout>
          </c:layout>
          <c:overlay val="0"/>
        </c:title>
        <c:numFmt formatCode="0%" sourceLinked="0"/>
        <c:majorTickMark val="out"/>
        <c:minorTickMark val="none"/>
        <c:tickLblPos val="nextTo"/>
        <c:spPr>
          <a:ln w="6350"/>
        </c:spPr>
        <c:txPr>
          <a:bodyPr/>
          <a:lstStyle/>
          <a:p>
            <a:pPr>
              <a:defRPr sz="400"/>
            </a:pPr>
            <a:endParaRPr lang="en-US"/>
          </a:p>
        </c:txPr>
        <c:crossAx val="-2095461096"/>
        <c:crosses val="autoZero"/>
        <c:crossBetween val="midCat"/>
        <c:majorUnit val="1"/>
      </c:valAx>
      <c:spPr>
        <a:ln w="6350">
          <a:solidFill>
            <a:schemeClr val="bg1">
              <a:lumMod val="50000"/>
            </a:schemeClr>
          </a:solidFill>
        </a:ln>
      </c:spPr>
    </c:plotArea>
    <c:plotVisOnly val="1"/>
    <c:dispBlanksAs val="gap"/>
    <c:showDLblsOverMax val="0"/>
  </c:chart>
  <c:spPr>
    <a:ln w="6350"/>
    <a:effectLst/>
  </c:spPr>
  <c:externalData r:id="rId1">
    <c:autoUpdate val="0"/>
  </c:externalData>
</c:chartSpace>
</file>

<file path=word/charts/chart4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77894226636305"/>
          <c:y val="8.4180938446688003E-2"/>
          <c:w val="0.72024746906636705"/>
          <c:h val="0.78661083324287595"/>
        </c:manualLayout>
      </c:layout>
      <c:scatterChart>
        <c:scatterStyle val="smoothMarker"/>
        <c:varyColors val="0"/>
        <c:ser>
          <c:idx val="0"/>
          <c:order val="0"/>
          <c:tx>
            <c:strRef>
              <c:f>T0!$AX$1</c:f>
              <c:strCache>
                <c:ptCount val="1"/>
                <c:pt idx="0">
                  <c:v>Fund if DW not detected</c:v>
                </c:pt>
              </c:strCache>
            </c:strRef>
          </c:tx>
          <c:spPr>
            <a:ln w="6350">
              <a:solidFill>
                <a:srgbClr val="FF0000"/>
              </a:solidFill>
            </a:ln>
            <a:effectLst/>
          </c:spPr>
          <c:marker>
            <c:symbol val="circle"/>
            <c:size val="2"/>
            <c:spPr>
              <a:solidFill>
                <a:srgbClr val="FF0000"/>
              </a:solidFill>
              <a:ln w="6350">
                <a:solidFill>
                  <a:srgbClr val="FF0000"/>
                </a:solidFill>
              </a:ln>
              <a:effectLst/>
            </c:spPr>
          </c:marker>
          <c:xVal>
            <c:numRef>
              <c:f>T0!$AU$2:$AU$26</c:f>
              <c:numCache>
                <c:formatCode>General</c:formatCode>
                <c:ptCount val="2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</c:numCache>
            </c:numRef>
          </c:xVal>
          <c:yVal>
            <c:numRef>
              <c:f>'T3'!$AQ$52:$AQ$76</c:f>
              <c:numCache>
                <c:formatCode>0.0%</c:formatCode>
                <c:ptCount val="25"/>
                <c:pt idx="0">
                  <c:v>1</c:v>
                </c:pt>
                <c:pt idx="1">
                  <c:v>0.83333333333333304</c:v>
                </c:pt>
                <c:pt idx="2">
                  <c:v>0.66666666666666696</c:v>
                </c:pt>
                <c:pt idx="3">
                  <c:v>1</c:v>
                </c:pt>
                <c:pt idx="4">
                  <c:v>0.66666666666666696</c:v>
                </c:pt>
                <c:pt idx="5">
                  <c:v>0.83333333333333304</c:v>
                </c:pt>
                <c:pt idx="6">
                  <c:v>0.66666666666666696</c:v>
                </c:pt>
                <c:pt idx="7">
                  <c:v>0.83333333333333304</c:v>
                </c:pt>
                <c:pt idx="8">
                  <c:v>0.66666666666666696</c:v>
                </c:pt>
                <c:pt idx="9">
                  <c:v>0.83333333333333304</c:v>
                </c:pt>
                <c:pt idx="10">
                  <c:v>0.83333333333333304</c:v>
                </c:pt>
                <c:pt idx="11">
                  <c:v>0.83333333333333304</c:v>
                </c:pt>
                <c:pt idx="12">
                  <c:v>1</c:v>
                </c:pt>
                <c:pt idx="13">
                  <c:v>0.5</c:v>
                </c:pt>
                <c:pt idx="14">
                  <c:v>1</c:v>
                </c:pt>
                <c:pt idx="15">
                  <c:v>0.83333333333333304</c:v>
                </c:pt>
                <c:pt idx="16">
                  <c:v>1</c:v>
                </c:pt>
                <c:pt idx="17">
                  <c:v>0.66666666666666696</c:v>
                </c:pt>
                <c:pt idx="18">
                  <c:v>1</c:v>
                </c:pt>
                <c:pt idx="19">
                  <c:v>0.83333333333333304</c:v>
                </c:pt>
                <c:pt idx="20">
                  <c:v>0.66666666666666696</c:v>
                </c:pt>
                <c:pt idx="21">
                  <c:v>0.83333333333333304</c:v>
                </c:pt>
                <c:pt idx="22">
                  <c:v>0.83333333333333304</c:v>
                </c:pt>
                <c:pt idx="23">
                  <c:v>0.66666666666666696</c:v>
                </c:pt>
                <c:pt idx="24">
                  <c:v>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CAF0-F647-AA9D-489F07A61EBE}"/>
            </c:ext>
          </c:extLst>
        </c:ser>
        <c:ser>
          <c:idx val="1"/>
          <c:order val="1"/>
          <c:tx>
            <c:strRef>
              <c:f>T0!$AY$1</c:f>
              <c:strCache>
                <c:ptCount val="1"/>
                <c:pt idx="0">
                  <c:v>Fund if DW detected</c:v>
                </c:pt>
              </c:strCache>
            </c:strRef>
          </c:tx>
          <c:spPr>
            <a:ln w="6350" cmpd="sng">
              <a:solidFill>
                <a:srgbClr val="FF9300"/>
              </a:solidFill>
            </a:ln>
            <a:effectLst/>
          </c:spPr>
          <c:marker>
            <c:symbol val="circle"/>
            <c:size val="2"/>
            <c:spPr>
              <a:solidFill>
                <a:schemeClr val="bg1"/>
              </a:solidFill>
              <a:ln w="6350">
                <a:solidFill>
                  <a:srgbClr val="FF9300"/>
                </a:solidFill>
              </a:ln>
              <a:effectLst/>
            </c:spPr>
          </c:marker>
          <c:xVal>
            <c:numRef>
              <c:f>T0!$AU$2:$AU$26</c:f>
              <c:numCache>
                <c:formatCode>General</c:formatCode>
                <c:ptCount val="2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</c:numCache>
            </c:numRef>
          </c:xVal>
          <c:yVal>
            <c:numRef>
              <c:f>'T3'!$AR$52:$AR$76</c:f>
              <c:numCache>
                <c:formatCode>0.0%</c:formatCode>
                <c:ptCount val="25"/>
                <c:pt idx="0">
                  <c:v>0.5</c:v>
                </c:pt>
                <c:pt idx="1">
                  <c:v>0.66666666666666696</c:v>
                </c:pt>
                <c:pt idx="2">
                  <c:v>0.5</c:v>
                </c:pt>
                <c:pt idx="3">
                  <c:v>0.33333333333333298</c:v>
                </c:pt>
                <c:pt idx="4">
                  <c:v>0.16666666666666699</c:v>
                </c:pt>
                <c:pt idx="5">
                  <c:v>0.16666666666666699</c:v>
                </c:pt>
                <c:pt idx="6">
                  <c:v>0</c:v>
                </c:pt>
                <c:pt idx="7">
                  <c:v>0</c:v>
                </c:pt>
                <c:pt idx="8">
                  <c:v>0.16666666666666699</c:v>
                </c:pt>
                <c:pt idx="9">
                  <c:v>0.16666666666666699</c:v>
                </c:pt>
                <c:pt idx="10">
                  <c:v>0</c:v>
                </c:pt>
                <c:pt idx="11">
                  <c:v>0.16666666666666699</c:v>
                </c:pt>
                <c:pt idx="12">
                  <c:v>0.33333333333333298</c:v>
                </c:pt>
                <c:pt idx="13">
                  <c:v>0.33333333333333298</c:v>
                </c:pt>
                <c:pt idx="14">
                  <c:v>0.16666666666666699</c:v>
                </c:pt>
                <c:pt idx="15">
                  <c:v>0</c:v>
                </c:pt>
                <c:pt idx="16">
                  <c:v>0</c:v>
                </c:pt>
                <c:pt idx="17">
                  <c:v>0.16666666666666699</c:v>
                </c:pt>
                <c:pt idx="18">
                  <c:v>0</c:v>
                </c:pt>
                <c:pt idx="19">
                  <c:v>0.16666666666666699</c:v>
                </c:pt>
                <c:pt idx="20">
                  <c:v>0.16666666666666699</c:v>
                </c:pt>
                <c:pt idx="21">
                  <c:v>0.16666666666666699</c:v>
                </c:pt>
                <c:pt idx="22">
                  <c:v>0</c:v>
                </c:pt>
                <c:pt idx="23">
                  <c:v>0</c:v>
                </c:pt>
                <c:pt idx="24">
                  <c:v>0.16666666666666699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CAF0-F647-AA9D-489F07A61EB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-2095418824"/>
        <c:axId val="-2095410504"/>
      </c:scatterChart>
      <c:valAx>
        <c:axId val="-2095418824"/>
        <c:scaling>
          <c:orientation val="minMax"/>
          <c:max val="25"/>
          <c:min val="1"/>
        </c:scaling>
        <c:delete val="0"/>
        <c:axPos val="b"/>
        <c:title>
          <c:tx>
            <c:rich>
              <a:bodyPr/>
              <a:lstStyle/>
              <a:p>
                <a:pPr>
                  <a:defRPr sz="500" b="0"/>
                </a:pPr>
                <a:r>
                  <a:rPr lang="en-US" sz="5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rPr>
                  <a:t> </a:t>
                </a:r>
                <a:r>
                  <a:rPr lang="en-US" sz="500" b="0"/>
                  <a:t>Round</a:t>
                </a:r>
              </a:p>
            </c:rich>
          </c:tx>
          <c:layout>
            <c:manualLayout>
              <c:xMode val="edge"/>
              <c:yMode val="edge"/>
              <c:x val="0.40041885008276401"/>
              <c:y val="0.90604453870625601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6350"/>
        </c:spPr>
        <c:txPr>
          <a:bodyPr/>
          <a:lstStyle/>
          <a:p>
            <a:pPr>
              <a:defRPr sz="500"/>
            </a:pPr>
            <a:endParaRPr lang="en-US"/>
          </a:p>
        </c:txPr>
        <c:crossAx val="-2095410504"/>
        <c:crosses val="autoZero"/>
        <c:crossBetween val="midCat"/>
        <c:majorUnit val="24"/>
      </c:valAx>
      <c:valAx>
        <c:axId val="-2095410504"/>
        <c:scaling>
          <c:orientation val="minMax"/>
          <c:max val="1"/>
        </c:scaling>
        <c:delete val="0"/>
        <c:axPos val="l"/>
        <c:majorGridlines>
          <c:spPr>
            <a:ln w="6350"/>
          </c:spPr>
        </c:majorGridlines>
        <c:title>
          <c:tx>
            <c:rich>
              <a:bodyPr rot="-5400000" vert="horz"/>
              <a:lstStyle/>
              <a:p>
                <a:pPr>
                  <a:defRPr sz="500" b="0"/>
                </a:pPr>
                <a:r>
                  <a:rPr lang="en-US" sz="500" b="0" i="0" u="none" strike="noStrike" baseline="0">
                    <a:effectLst/>
                  </a:rPr>
                  <a:t>Fund</a:t>
                </a:r>
                <a:r>
                  <a:rPr lang="en-US" sz="500" b="0" i="0" u="none" strike="noStrike" kern="1200" baseline="0">
                    <a:solidFill>
                      <a:sysClr val="windowText" lastClr="000000"/>
                    </a:solidFill>
                    <a:effectLst/>
                    <a:latin typeface="+mn-lt"/>
                    <a:ea typeface="+mn-ea"/>
                    <a:cs typeface="+mn-cs"/>
                  </a:rPr>
                  <a:t> </a:t>
                </a:r>
                <a:r>
                  <a:rPr lang="en-US" sz="500" b="0" i="0" u="none" strike="noStrike" baseline="0">
                    <a:effectLst/>
                  </a:rPr>
                  <a:t>the</a:t>
                </a:r>
                <a:r>
                  <a:rPr lang="en-US" sz="500" b="0" i="0" u="none" strike="noStrike" kern="1200" baseline="0">
                    <a:solidFill>
                      <a:sysClr val="windowText" lastClr="000000"/>
                    </a:solidFill>
                    <a:effectLst/>
                    <a:latin typeface="+mn-lt"/>
                    <a:ea typeface="+mn-ea"/>
                    <a:cs typeface="+mn-cs"/>
                  </a:rPr>
                  <a:t> </a:t>
                </a:r>
                <a:r>
                  <a:rPr lang="en-US" sz="500" b="0" i="0" u="none" strike="noStrike" baseline="0">
                    <a:effectLst/>
                  </a:rPr>
                  <a:t>Bank</a:t>
                </a:r>
                <a:r>
                  <a:rPr lang="en-US" sz="500" b="0" i="0" u="none" strike="noStrike" kern="1200" baseline="0">
                    <a:solidFill>
                      <a:sysClr val="windowText" lastClr="000000"/>
                    </a:solidFill>
                    <a:effectLst/>
                    <a:latin typeface="+mn-lt"/>
                    <a:ea typeface="+mn-ea"/>
                    <a:cs typeface="+mn-cs"/>
                  </a:rPr>
                  <a:t> </a:t>
                </a:r>
                <a:endParaRPr lang="en-US" sz="500" b="0"/>
              </a:p>
            </c:rich>
          </c:tx>
          <c:layout>
            <c:manualLayout>
              <c:xMode val="edge"/>
              <c:yMode val="edge"/>
              <c:x val="0"/>
              <c:y val="0.28127771144195501"/>
            </c:manualLayout>
          </c:layout>
          <c:overlay val="0"/>
        </c:title>
        <c:numFmt formatCode="0%" sourceLinked="0"/>
        <c:majorTickMark val="out"/>
        <c:minorTickMark val="none"/>
        <c:tickLblPos val="nextTo"/>
        <c:spPr>
          <a:ln w="6350"/>
        </c:spPr>
        <c:txPr>
          <a:bodyPr/>
          <a:lstStyle/>
          <a:p>
            <a:pPr>
              <a:defRPr sz="400"/>
            </a:pPr>
            <a:endParaRPr lang="en-US"/>
          </a:p>
        </c:txPr>
        <c:crossAx val="-2095418824"/>
        <c:crosses val="autoZero"/>
        <c:crossBetween val="midCat"/>
        <c:majorUnit val="1"/>
      </c:valAx>
      <c:spPr>
        <a:ln w="6350">
          <a:solidFill>
            <a:schemeClr val="bg1">
              <a:lumMod val="50000"/>
            </a:schemeClr>
          </a:solidFill>
        </a:ln>
      </c:spPr>
    </c:plotArea>
    <c:plotVisOnly val="1"/>
    <c:dispBlanksAs val="gap"/>
    <c:showDLblsOverMax val="0"/>
  </c:chart>
  <c:spPr>
    <a:ln w="6350"/>
    <a:effectLst/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 algn="ctr">
              <a:defRPr/>
            </a:pPr>
            <a:r>
              <a:rPr lang="en-US" sz="1000" b="0" i="0" baseline="0">
                <a:effectLst/>
              </a:rPr>
              <a:t>Investors</a:t>
            </a:r>
            <a:r>
              <a:rPr lang="en-US" sz="1000" b="0" i="0" u="none" strike="noStrike" kern="1200" baseline="0">
                <a:solidFill>
                  <a:sysClr val="windowText" lastClr="000000"/>
                </a:solidFill>
                <a:effectLst/>
                <a:latin typeface="+mn-lt"/>
                <a:ea typeface="+mn-ea"/>
                <a:cs typeface="+mn-cs"/>
              </a:rPr>
              <a:t> </a:t>
            </a:r>
            <a:r>
              <a:rPr lang="en-US" sz="1000" b="0" i="0" baseline="0">
                <a:effectLst/>
              </a:rPr>
              <a:t>Behavior</a:t>
            </a:r>
            <a:r>
              <a:rPr lang="en-US" sz="1000" b="0" i="0" u="none" strike="noStrike" kern="1200" baseline="0">
                <a:solidFill>
                  <a:sysClr val="windowText" lastClr="000000"/>
                </a:solidFill>
                <a:effectLst/>
                <a:latin typeface="+mn-lt"/>
                <a:ea typeface="+mn-ea"/>
                <a:cs typeface="+mn-cs"/>
              </a:rPr>
              <a:t> </a:t>
            </a:r>
            <a:endParaRPr lang="en-US" sz="1000" baseline="50000"/>
          </a:p>
        </c:rich>
      </c:tx>
      <c:layout>
        <c:manualLayout>
          <c:xMode val="edge"/>
          <c:yMode val="edge"/>
          <c:x val="0.31832256544854998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24352917423784"/>
          <c:y val="8.4180748250329201E-2"/>
          <c:w val="0.83816845009758401"/>
          <c:h val="0.74132326435446205"/>
        </c:manualLayout>
      </c:layout>
      <c:scatterChart>
        <c:scatterStyle val="smoothMarker"/>
        <c:varyColors val="0"/>
        <c:ser>
          <c:idx val="0"/>
          <c:order val="0"/>
          <c:tx>
            <c:strRef>
              <c:f>T0!$AX$1</c:f>
              <c:strCache>
                <c:ptCount val="1"/>
                <c:pt idx="0">
                  <c:v>Fund if DW not detected</c:v>
                </c:pt>
              </c:strCache>
            </c:strRef>
          </c:tx>
          <c:spPr>
            <a:ln w="12700">
              <a:solidFill>
                <a:srgbClr val="FF0000"/>
              </a:solidFill>
            </a:ln>
            <a:effectLst/>
          </c:spPr>
          <c:marker>
            <c:symbol val="circle"/>
            <c:size val="5"/>
            <c:spPr>
              <a:solidFill>
                <a:srgbClr val="FF0000"/>
              </a:solidFill>
              <a:ln>
                <a:solidFill>
                  <a:srgbClr val="FF0000"/>
                </a:solidFill>
              </a:ln>
              <a:effectLst/>
            </c:spPr>
          </c:marker>
          <c:xVal>
            <c:numRef>
              <c:f>T0!$AU$2:$AU$26</c:f>
              <c:numCache>
                <c:formatCode>General</c:formatCode>
                <c:ptCount val="2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</c:numCache>
            </c:numRef>
          </c:xVal>
          <c:yVal>
            <c:numRef>
              <c:f>'T2'!$AX$2:$AX$26</c:f>
              <c:numCache>
                <c:formatCode>0.0%</c:formatCode>
                <c:ptCount val="25"/>
                <c:pt idx="0">
                  <c:v>0.75</c:v>
                </c:pt>
                <c:pt idx="1">
                  <c:v>0.61111111111111105</c:v>
                </c:pt>
                <c:pt idx="2">
                  <c:v>0.77777777777777801</c:v>
                </c:pt>
                <c:pt idx="3">
                  <c:v>0.63888888888888895</c:v>
                </c:pt>
                <c:pt idx="4">
                  <c:v>0.80555555555555602</c:v>
                </c:pt>
                <c:pt idx="5">
                  <c:v>0.80555555555555602</c:v>
                </c:pt>
                <c:pt idx="6">
                  <c:v>0.77777777777777801</c:v>
                </c:pt>
                <c:pt idx="7">
                  <c:v>0.83333333333333304</c:v>
                </c:pt>
                <c:pt idx="8">
                  <c:v>0.88888888888888895</c:v>
                </c:pt>
                <c:pt idx="9">
                  <c:v>0.88888888888888895</c:v>
                </c:pt>
                <c:pt idx="10">
                  <c:v>0.83333333333333304</c:v>
                </c:pt>
                <c:pt idx="11">
                  <c:v>0.83333333333333304</c:v>
                </c:pt>
                <c:pt idx="12">
                  <c:v>0.83333333333333304</c:v>
                </c:pt>
                <c:pt idx="13">
                  <c:v>0.69444444444444497</c:v>
                </c:pt>
                <c:pt idx="14">
                  <c:v>0.80555555555555602</c:v>
                </c:pt>
                <c:pt idx="15">
                  <c:v>0.91666666666666596</c:v>
                </c:pt>
                <c:pt idx="16">
                  <c:v>0.88888888888888895</c:v>
                </c:pt>
                <c:pt idx="17">
                  <c:v>0.80555555555555602</c:v>
                </c:pt>
                <c:pt idx="18">
                  <c:v>0.77777777777777801</c:v>
                </c:pt>
                <c:pt idx="19">
                  <c:v>0.83333333333333304</c:v>
                </c:pt>
                <c:pt idx="20">
                  <c:v>0.86111111111111105</c:v>
                </c:pt>
                <c:pt idx="21">
                  <c:v>0.88888888888888895</c:v>
                </c:pt>
                <c:pt idx="22">
                  <c:v>0.72222222222222199</c:v>
                </c:pt>
                <c:pt idx="23">
                  <c:v>0.86111111111111105</c:v>
                </c:pt>
                <c:pt idx="24">
                  <c:v>0.86111111111111105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5154-6146-A6D0-2C18D3AAB215}"/>
            </c:ext>
          </c:extLst>
        </c:ser>
        <c:ser>
          <c:idx val="1"/>
          <c:order val="1"/>
          <c:tx>
            <c:strRef>
              <c:f>T0!$AY$1</c:f>
              <c:strCache>
                <c:ptCount val="1"/>
                <c:pt idx="0">
                  <c:v>Fund if DW detected</c:v>
                </c:pt>
              </c:strCache>
            </c:strRef>
          </c:tx>
          <c:spPr>
            <a:ln w="12700" cmpd="sng">
              <a:solidFill>
                <a:srgbClr val="FF9300"/>
              </a:solidFill>
            </a:ln>
            <a:effectLst/>
          </c:spPr>
          <c:marker>
            <c:symbol val="circle"/>
            <c:size val="5"/>
            <c:spPr>
              <a:solidFill>
                <a:schemeClr val="bg1"/>
              </a:solidFill>
              <a:ln w="12700">
                <a:solidFill>
                  <a:srgbClr val="FF9300"/>
                </a:solidFill>
              </a:ln>
              <a:effectLst/>
            </c:spPr>
          </c:marker>
          <c:xVal>
            <c:numRef>
              <c:f>T0!$AU$2:$AU$26</c:f>
              <c:numCache>
                <c:formatCode>General</c:formatCode>
                <c:ptCount val="2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</c:numCache>
            </c:numRef>
          </c:xVal>
          <c:yVal>
            <c:numRef>
              <c:f>'T2'!$AY$2:$AY$26</c:f>
              <c:numCache>
                <c:formatCode>0.0%</c:formatCode>
                <c:ptCount val="25"/>
                <c:pt idx="0">
                  <c:v>0.30555555555555503</c:v>
                </c:pt>
                <c:pt idx="1">
                  <c:v>0.33333333333333298</c:v>
                </c:pt>
                <c:pt idx="2">
                  <c:v>0.27777777777777801</c:v>
                </c:pt>
                <c:pt idx="3">
                  <c:v>0.36111111111111099</c:v>
                </c:pt>
                <c:pt idx="4">
                  <c:v>0.27777777777777801</c:v>
                </c:pt>
                <c:pt idx="5">
                  <c:v>0.25</c:v>
                </c:pt>
                <c:pt idx="6">
                  <c:v>0.194444444444444</c:v>
                </c:pt>
                <c:pt idx="7">
                  <c:v>0.30555555555555503</c:v>
                </c:pt>
                <c:pt idx="8">
                  <c:v>0.22222222222222199</c:v>
                </c:pt>
                <c:pt idx="9">
                  <c:v>0.33333333333333298</c:v>
                </c:pt>
                <c:pt idx="10">
                  <c:v>0.33333333333333298</c:v>
                </c:pt>
                <c:pt idx="11">
                  <c:v>0.27777777777777801</c:v>
                </c:pt>
                <c:pt idx="12">
                  <c:v>0.44444444444444398</c:v>
                </c:pt>
                <c:pt idx="13">
                  <c:v>0.41666666666666702</c:v>
                </c:pt>
                <c:pt idx="14">
                  <c:v>0.41666666666666702</c:v>
                </c:pt>
                <c:pt idx="15">
                  <c:v>0.38888888888888901</c:v>
                </c:pt>
                <c:pt idx="16">
                  <c:v>0.38888888888888901</c:v>
                </c:pt>
                <c:pt idx="17">
                  <c:v>0.38888888888888901</c:v>
                </c:pt>
                <c:pt idx="18">
                  <c:v>0.33333333333333298</c:v>
                </c:pt>
                <c:pt idx="19">
                  <c:v>0.41666666666666702</c:v>
                </c:pt>
                <c:pt idx="20">
                  <c:v>0.5</c:v>
                </c:pt>
                <c:pt idx="21">
                  <c:v>0.47222222222222199</c:v>
                </c:pt>
                <c:pt idx="22">
                  <c:v>0.41666666666666702</c:v>
                </c:pt>
                <c:pt idx="23">
                  <c:v>0.36111111111111099</c:v>
                </c:pt>
                <c:pt idx="24">
                  <c:v>0.41666666666666702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5154-6146-A6D0-2C18D3AAB215}"/>
            </c:ext>
          </c:extLst>
        </c:ser>
        <c:ser>
          <c:idx val="2"/>
          <c:order val="2"/>
          <c:tx>
            <c:strRef>
              <c:f>T0!$AX$1</c:f>
              <c:strCache>
                <c:ptCount val="1"/>
                <c:pt idx="0">
                  <c:v>Fund if DW not detected</c:v>
                </c:pt>
              </c:strCache>
            </c:strRef>
          </c:tx>
          <c:spPr>
            <a:ln w="15875">
              <a:solidFill>
                <a:srgbClr val="FF0000"/>
              </a:solidFill>
            </a:ln>
          </c:spPr>
          <c:marker>
            <c:symbol val="none"/>
          </c:marker>
          <c:xVal>
            <c:numRef>
              <c:f>T0!$BG$28:$BG$29</c:f>
              <c:numCache>
                <c:formatCode>General</c:formatCode>
                <c:ptCount val="2"/>
                <c:pt idx="0">
                  <c:v>1</c:v>
                </c:pt>
                <c:pt idx="1">
                  <c:v>25</c:v>
                </c:pt>
              </c:numCache>
            </c:numRef>
          </c:xVal>
          <c:yVal>
            <c:numRef>
              <c:f>T0!$BH$28:$BH$29</c:f>
              <c:numCache>
                <c:formatCode>General</c:formatCode>
                <c:ptCount val="2"/>
                <c:pt idx="0">
                  <c:v>1</c:v>
                </c:pt>
                <c:pt idx="1">
                  <c:v>1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2-5154-6146-A6D0-2C18D3AAB215}"/>
            </c:ext>
          </c:extLst>
        </c:ser>
        <c:ser>
          <c:idx val="3"/>
          <c:order val="3"/>
          <c:tx>
            <c:strRef>
              <c:f>T0!$AY$1</c:f>
              <c:strCache>
                <c:ptCount val="1"/>
                <c:pt idx="0">
                  <c:v>Fund if DW detected</c:v>
                </c:pt>
              </c:strCache>
            </c:strRef>
          </c:tx>
          <c:spPr>
            <a:ln w="15875">
              <a:solidFill>
                <a:srgbClr val="FF9300"/>
              </a:solidFill>
            </a:ln>
          </c:spPr>
          <c:marker>
            <c:symbol val="none"/>
          </c:marker>
          <c:xVal>
            <c:numRef>
              <c:f>T0!$BG$31:$BG$32</c:f>
              <c:numCache>
                <c:formatCode>General</c:formatCode>
                <c:ptCount val="2"/>
                <c:pt idx="0">
                  <c:v>1</c:v>
                </c:pt>
                <c:pt idx="1">
                  <c:v>25</c:v>
                </c:pt>
              </c:numCache>
            </c:numRef>
          </c:xVal>
          <c:yVal>
            <c:numRef>
              <c:f>T0!$BH$31:$BH$32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3-5154-6146-A6D0-2C18D3AAB21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114171976"/>
        <c:axId val="2114056904"/>
      </c:scatterChart>
      <c:valAx>
        <c:axId val="2114171976"/>
        <c:scaling>
          <c:orientation val="minMax"/>
          <c:max val="25"/>
          <c:min val="1"/>
        </c:scaling>
        <c:delete val="0"/>
        <c:axPos val="b"/>
        <c:title>
          <c:tx>
            <c:rich>
              <a:bodyPr/>
              <a:lstStyle/>
              <a:p>
                <a:pPr>
                  <a:defRPr sz="800" b="0"/>
                </a:pPr>
                <a:r>
                  <a:rPr lang="en-US" sz="8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rPr>
                  <a:t> </a:t>
                </a:r>
                <a:r>
                  <a:rPr lang="en-US" sz="800" b="0"/>
                  <a:t>Round</a:t>
                </a:r>
              </a:p>
            </c:rich>
          </c:tx>
          <c:layout>
            <c:manualLayout>
              <c:xMode val="edge"/>
              <c:yMode val="edge"/>
              <c:x val="0.47010498687664098"/>
              <c:y val="0.86981096791905499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6350"/>
        </c:spPr>
        <c:txPr>
          <a:bodyPr/>
          <a:lstStyle/>
          <a:p>
            <a:pPr>
              <a:defRPr sz="500"/>
            </a:pPr>
            <a:endParaRPr lang="en-US"/>
          </a:p>
        </c:txPr>
        <c:crossAx val="2114056904"/>
        <c:crosses val="autoZero"/>
        <c:crossBetween val="midCat"/>
        <c:majorUnit val="1"/>
      </c:valAx>
      <c:valAx>
        <c:axId val="2114056904"/>
        <c:scaling>
          <c:orientation val="minMax"/>
          <c:max val="1"/>
        </c:scaling>
        <c:delete val="0"/>
        <c:axPos val="l"/>
        <c:majorGridlines>
          <c:spPr>
            <a:ln w="6350"/>
          </c:spPr>
        </c:majorGridlines>
        <c:title>
          <c:tx>
            <c:rich>
              <a:bodyPr rot="-5400000" vert="horz"/>
              <a:lstStyle/>
              <a:p>
                <a:pPr>
                  <a:defRPr sz="800" b="0"/>
                </a:pPr>
                <a:r>
                  <a:rPr lang="en-US" sz="800" b="0" i="0" u="none" strike="noStrike" baseline="0">
                    <a:effectLst/>
                  </a:rPr>
                  <a:t>Percent</a:t>
                </a:r>
                <a:r>
                  <a:rPr lang="en-US" sz="800" b="0" i="0" u="none" strike="noStrike" kern="1200" baseline="0">
                    <a:solidFill>
                      <a:sysClr val="windowText" lastClr="000000"/>
                    </a:solidFill>
                    <a:effectLst/>
                    <a:latin typeface="+mn-lt"/>
                    <a:ea typeface="+mn-ea"/>
                    <a:cs typeface="+mn-cs"/>
                  </a:rPr>
                  <a:t> </a:t>
                </a:r>
                <a:r>
                  <a:rPr lang="en-US" sz="800" b="0" i="0" u="none" strike="noStrike" baseline="0">
                    <a:effectLst/>
                  </a:rPr>
                  <a:t>of</a:t>
                </a:r>
                <a:r>
                  <a:rPr lang="en-US" sz="800" b="0" i="0" u="none" strike="noStrike" kern="1200" baseline="0">
                    <a:solidFill>
                      <a:sysClr val="windowText" lastClr="000000"/>
                    </a:solidFill>
                    <a:effectLst/>
                    <a:latin typeface="+mn-lt"/>
                    <a:ea typeface="+mn-ea"/>
                    <a:cs typeface="+mn-cs"/>
                  </a:rPr>
                  <a:t> </a:t>
                </a:r>
                <a:r>
                  <a:rPr lang="en-US" sz="800" b="0" i="0" u="none" strike="noStrike" baseline="0">
                    <a:effectLst/>
                  </a:rPr>
                  <a:t>Investors</a:t>
                </a:r>
                <a:r>
                  <a:rPr lang="en-US" sz="800" b="0" i="0" u="none" strike="noStrike" kern="1200" baseline="0">
                    <a:solidFill>
                      <a:sysClr val="windowText" lastClr="000000"/>
                    </a:solidFill>
                    <a:effectLst/>
                    <a:latin typeface="+mn-lt"/>
                    <a:ea typeface="+mn-ea"/>
                    <a:cs typeface="+mn-cs"/>
                  </a:rPr>
                  <a:t> </a:t>
                </a:r>
                <a:r>
                  <a:rPr lang="en-US" sz="800" b="0" i="0" u="none" strike="noStrike" baseline="0">
                    <a:effectLst/>
                  </a:rPr>
                  <a:t>that</a:t>
                </a:r>
                <a:r>
                  <a:rPr lang="en-US" sz="800" b="0" i="0" u="none" strike="noStrike" kern="1200" baseline="0">
                    <a:solidFill>
                      <a:sysClr val="windowText" lastClr="000000"/>
                    </a:solidFill>
                    <a:effectLst/>
                    <a:latin typeface="+mn-lt"/>
                    <a:ea typeface="+mn-ea"/>
                    <a:cs typeface="+mn-cs"/>
                  </a:rPr>
                  <a:t> </a:t>
                </a:r>
                <a:r>
                  <a:rPr lang="en-US" sz="800" b="0" i="0" u="none" strike="noStrike" baseline="0">
                    <a:effectLst/>
                  </a:rPr>
                  <a:t>Fund</a:t>
                </a:r>
                <a:r>
                  <a:rPr lang="en-US" sz="800" b="0" i="0" u="none" strike="noStrike" kern="1200" baseline="0">
                    <a:solidFill>
                      <a:sysClr val="windowText" lastClr="000000"/>
                    </a:solidFill>
                    <a:effectLst/>
                    <a:latin typeface="+mn-lt"/>
                    <a:ea typeface="+mn-ea"/>
                    <a:cs typeface="+mn-cs"/>
                  </a:rPr>
                  <a:t> </a:t>
                </a:r>
                <a:r>
                  <a:rPr lang="en-US" sz="800" b="0" i="0" u="none" strike="noStrike" baseline="0">
                    <a:effectLst/>
                  </a:rPr>
                  <a:t>the</a:t>
                </a:r>
                <a:r>
                  <a:rPr lang="en-US" sz="800" b="0" i="0" u="none" strike="noStrike" kern="1200" baseline="0">
                    <a:solidFill>
                      <a:sysClr val="windowText" lastClr="000000"/>
                    </a:solidFill>
                    <a:effectLst/>
                    <a:latin typeface="+mn-lt"/>
                    <a:ea typeface="+mn-ea"/>
                    <a:cs typeface="+mn-cs"/>
                  </a:rPr>
                  <a:t> </a:t>
                </a:r>
                <a:r>
                  <a:rPr lang="en-US" sz="800" b="0" i="0" u="none" strike="noStrike" baseline="0">
                    <a:effectLst/>
                  </a:rPr>
                  <a:t>Bank</a:t>
                </a:r>
                <a:r>
                  <a:rPr lang="en-US" sz="800" b="0" i="0" u="none" strike="noStrike" kern="1200" baseline="0">
                    <a:solidFill>
                      <a:sysClr val="windowText" lastClr="000000"/>
                    </a:solidFill>
                    <a:effectLst/>
                    <a:latin typeface="+mn-lt"/>
                    <a:ea typeface="+mn-ea"/>
                    <a:cs typeface="+mn-cs"/>
                  </a:rPr>
                  <a:t> </a:t>
                </a:r>
                <a:endParaRPr lang="en-US" sz="800" b="0"/>
              </a:p>
            </c:rich>
          </c:tx>
          <c:overlay val="0"/>
        </c:title>
        <c:numFmt formatCode="0%" sourceLinked="0"/>
        <c:majorTickMark val="out"/>
        <c:minorTickMark val="none"/>
        <c:tickLblPos val="nextTo"/>
        <c:spPr>
          <a:ln w="6350"/>
        </c:spPr>
        <c:txPr>
          <a:bodyPr/>
          <a:lstStyle/>
          <a:p>
            <a:pPr>
              <a:defRPr sz="500"/>
            </a:pPr>
            <a:endParaRPr lang="en-US"/>
          </a:p>
        </c:txPr>
        <c:crossAx val="2114171976"/>
        <c:crosses val="autoZero"/>
        <c:crossBetween val="midCat"/>
        <c:majorUnit val="0.1"/>
      </c:valAx>
      <c:spPr>
        <a:ln w="6350">
          <a:solidFill>
            <a:schemeClr val="bg1">
              <a:lumMod val="50000"/>
            </a:schemeClr>
          </a:solidFill>
        </a:ln>
      </c:spPr>
    </c:plotArea>
    <c:legend>
      <c:legendPos val="b"/>
      <c:legendEntry>
        <c:idx val="2"/>
        <c:delete val="1"/>
      </c:legendEntry>
      <c:legendEntry>
        <c:idx val="3"/>
        <c:delete val="1"/>
      </c:legendEntry>
      <c:layout>
        <c:manualLayout>
          <c:xMode val="edge"/>
          <c:yMode val="edge"/>
          <c:x val="1.00565313951141E-2"/>
          <c:y val="0.93471131924578199"/>
          <c:w val="0.98994346860488602"/>
          <c:h val="6.1415282934192801E-2"/>
        </c:manualLayout>
      </c:layout>
      <c:overlay val="0"/>
      <c:txPr>
        <a:bodyPr/>
        <a:lstStyle/>
        <a:p>
          <a:pPr>
            <a:defRPr sz="800"/>
          </a:pPr>
          <a:endParaRPr lang="en-US"/>
        </a:p>
      </c:txPr>
    </c:legend>
    <c:plotVisOnly val="1"/>
    <c:dispBlanksAs val="gap"/>
    <c:showDLblsOverMax val="0"/>
  </c:chart>
  <c:spPr>
    <a:ln w="6350"/>
    <a:effectLst/>
  </c:spPr>
  <c:externalData r:id="rId1">
    <c:autoUpdate val="0"/>
  </c:externalData>
  <c:userShapes r:id="rId2"/>
</c:chartSpace>
</file>

<file path=word/charts/chart5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77894226636305"/>
          <c:y val="8.4180938446688003E-2"/>
          <c:w val="0.72024746906636705"/>
          <c:h val="0.78661083324287595"/>
        </c:manualLayout>
      </c:layout>
      <c:scatterChart>
        <c:scatterStyle val="smoothMarker"/>
        <c:varyColors val="0"/>
        <c:ser>
          <c:idx val="0"/>
          <c:order val="0"/>
          <c:tx>
            <c:strRef>
              <c:f>T0!$AX$1</c:f>
              <c:strCache>
                <c:ptCount val="1"/>
                <c:pt idx="0">
                  <c:v>Fund if DW not detected</c:v>
                </c:pt>
              </c:strCache>
            </c:strRef>
          </c:tx>
          <c:spPr>
            <a:ln w="6350">
              <a:solidFill>
                <a:srgbClr val="00B0F0"/>
              </a:solidFill>
            </a:ln>
            <a:effectLst/>
          </c:spPr>
          <c:marker>
            <c:symbol val="square"/>
            <c:size val="2"/>
            <c:spPr>
              <a:solidFill>
                <a:srgbClr val="00B0F0"/>
              </a:solidFill>
              <a:ln w="6350">
                <a:noFill/>
              </a:ln>
              <a:effectLst/>
            </c:spPr>
          </c:marker>
          <c:xVal>
            <c:numRef>
              <c:f>T0!$AU$2:$AU$26</c:f>
              <c:numCache>
                <c:formatCode>General</c:formatCode>
                <c:ptCount val="2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</c:numCache>
            </c:numRef>
          </c:xVal>
          <c:yVal>
            <c:numRef>
              <c:f>'T3'!$AO$52:$AO$76</c:f>
              <c:numCache>
                <c:formatCode>0.0%</c:formatCode>
                <c:ptCount val="25"/>
                <c:pt idx="0">
                  <c:v>0.5</c:v>
                </c:pt>
                <c:pt idx="1">
                  <c:v>0.5</c:v>
                </c:pt>
                <c:pt idx="2">
                  <c:v>0.83333333333333304</c:v>
                </c:pt>
                <c:pt idx="3">
                  <c:v>0.66666666666666696</c:v>
                </c:pt>
                <c:pt idx="4">
                  <c:v>0.83333333333333304</c:v>
                </c:pt>
                <c:pt idx="5">
                  <c:v>0.66666666666666696</c:v>
                </c:pt>
                <c:pt idx="6">
                  <c:v>0.66666666666666696</c:v>
                </c:pt>
                <c:pt idx="7">
                  <c:v>0.66666666666666696</c:v>
                </c:pt>
                <c:pt idx="8">
                  <c:v>0.66666666666666696</c:v>
                </c:pt>
                <c:pt idx="9">
                  <c:v>0.5</c:v>
                </c:pt>
                <c:pt idx="10">
                  <c:v>0.5</c:v>
                </c:pt>
                <c:pt idx="11">
                  <c:v>0.5</c:v>
                </c:pt>
                <c:pt idx="12">
                  <c:v>0.5</c:v>
                </c:pt>
                <c:pt idx="13">
                  <c:v>0.5</c:v>
                </c:pt>
                <c:pt idx="14">
                  <c:v>0.5</c:v>
                </c:pt>
                <c:pt idx="15">
                  <c:v>0.33333333333333298</c:v>
                </c:pt>
                <c:pt idx="16">
                  <c:v>0.33333333333333298</c:v>
                </c:pt>
                <c:pt idx="17">
                  <c:v>0.16666666666666699</c:v>
                </c:pt>
                <c:pt idx="18">
                  <c:v>0.16666666666666699</c:v>
                </c:pt>
                <c:pt idx="19">
                  <c:v>0</c:v>
                </c:pt>
                <c:pt idx="20">
                  <c:v>0</c:v>
                </c:pt>
                <c:pt idx="21">
                  <c:v>0.16666666666666699</c:v>
                </c:pt>
                <c:pt idx="22">
                  <c:v>0.33333333333333298</c:v>
                </c:pt>
                <c:pt idx="23">
                  <c:v>0.33333333333333298</c:v>
                </c:pt>
                <c:pt idx="24">
                  <c:v>0.16666666666666699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37F2-2241-AA26-A1452EF9B19D}"/>
            </c:ext>
          </c:extLst>
        </c:ser>
        <c:ser>
          <c:idx val="1"/>
          <c:order val="1"/>
          <c:tx>
            <c:strRef>
              <c:f>T0!$AY$1</c:f>
              <c:strCache>
                <c:ptCount val="1"/>
                <c:pt idx="0">
                  <c:v>Fund if DW detected</c:v>
                </c:pt>
              </c:strCache>
            </c:strRef>
          </c:tx>
          <c:spPr>
            <a:ln w="6350" cmpd="sng">
              <a:solidFill>
                <a:srgbClr val="002060"/>
              </a:solidFill>
            </a:ln>
            <a:effectLst/>
          </c:spPr>
          <c:marker>
            <c:symbol val="square"/>
            <c:size val="2"/>
            <c:spPr>
              <a:solidFill>
                <a:schemeClr val="bg1"/>
              </a:solidFill>
              <a:ln w="3175">
                <a:solidFill>
                  <a:srgbClr val="002060"/>
                </a:solidFill>
              </a:ln>
              <a:effectLst/>
            </c:spPr>
          </c:marker>
          <c:xVal>
            <c:numRef>
              <c:f>T0!$AU$2:$AU$26</c:f>
              <c:numCache>
                <c:formatCode>General</c:formatCode>
                <c:ptCount val="2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</c:numCache>
            </c:numRef>
          </c:xVal>
          <c:yVal>
            <c:numRef>
              <c:f>'T3'!$AP$52:$AP$76</c:f>
              <c:numCache>
                <c:formatCode>0.0%</c:formatCode>
                <c:ptCount val="25"/>
                <c:pt idx="0">
                  <c:v>0.16666666666666699</c:v>
                </c:pt>
                <c:pt idx="1">
                  <c:v>0.33333333333333298</c:v>
                </c:pt>
                <c:pt idx="2">
                  <c:v>0.5</c:v>
                </c:pt>
                <c:pt idx="3">
                  <c:v>0.5</c:v>
                </c:pt>
                <c:pt idx="4">
                  <c:v>0.5</c:v>
                </c:pt>
                <c:pt idx="5">
                  <c:v>0.33333333333333298</c:v>
                </c:pt>
                <c:pt idx="6">
                  <c:v>0.16666666666666699</c:v>
                </c:pt>
                <c:pt idx="7">
                  <c:v>0.33333333333333298</c:v>
                </c:pt>
                <c:pt idx="8">
                  <c:v>0.16666666666666699</c:v>
                </c:pt>
                <c:pt idx="9">
                  <c:v>0.16666666666666699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0.16666666666666699</c:v>
                </c:pt>
                <c:pt idx="14">
                  <c:v>0.33333333333333298</c:v>
                </c:pt>
                <c:pt idx="15">
                  <c:v>0.33333333333333298</c:v>
                </c:pt>
                <c:pt idx="16">
                  <c:v>0.16666666666666699</c:v>
                </c:pt>
                <c:pt idx="17">
                  <c:v>0.16666666666666699</c:v>
                </c:pt>
                <c:pt idx="18">
                  <c:v>0.5</c:v>
                </c:pt>
                <c:pt idx="19">
                  <c:v>0.16666666666666699</c:v>
                </c:pt>
                <c:pt idx="20">
                  <c:v>0.33333333333333298</c:v>
                </c:pt>
                <c:pt idx="21">
                  <c:v>0.16666666666666699</c:v>
                </c:pt>
                <c:pt idx="22">
                  <c:v>0.33333333333333298</c:v>
                </c:pt>
                <c:pt idx="23">
                  <c:v>0.16666666666666699</c:v>
                </c:pt>
                <c:pt idx="24">
                  <c:v>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37F2-2241-AA26-A1452EF9B19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-2095377192"/>
        <c:axId val="-2095368888"/>
      </c:scatterChart>
      <c:valAx>
        <c:axId val="-2095377192"/>
        <c:scaling>
          <c:orientation val="minMax"/>
          <c:max val="25"/>
          <c:min val="1"/>
        </c:scaling>
        <c:delete val="0"/>
        <c:axPos val="b"/>
        <c:title>
          <c:tx>
            <c:rich>
              <a:bodyPr/>
              <a:lstStyle/>
              <a:p>
                <a:pPr>
                  <a:defRPr sz="500" b="0"/>
                </a:pPr>
                <a:r>
                  <a:rPr lang="en-US" sz="5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rPr>
                  <a:t> </a:t>
                </a:r>
                <a:r>
                  <a:rPr lang="en-US" sz="500" b="0"/>
                  <a:t>Round</a:t>
                </a:r>
              </a:p>
            </c:rich>
          </c:tx>
          <c:layout>
            <c:manualLayout>
              <c:xMode val="edge"/>
              <c:yMode val="edge"/>
              <c:x val="0.40041885008276401"/>
              <c:y val="0.90604453870625601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6350"/>
        </c:spPr>
        <c:txPr>
          <a:bodyPr/>
          <a:lstStyle/>
          <a:p>
            <a:pPr>
              <a:defRPr sz="500"/>
            </a:pPr>
            <a:endParaRPr lang="en-US"/>
          </a:p>
        </c:txPr>
        <c:crossAx val="-2095368888"/>
        <c:crosses val="autoZero"/>
        <c:crossBetween val="midCat"/>
        <c:majorUnit val="24"/>
      </c:valAx>
      <c:valAx>
        <c:axId val="-2095368888"/>
        <c:scaling>
          <c:orientation val="minMax"/>
          <c:max val="1"/>
        </c:scaling>
        <c:delete val="0"/>
        <c:axPos val="l"/>
        <c:majorGridlines>
          <c:spPr>
            <a:ln w="6350"/>
          </c:spPr>
        </c:majorGridlines>
        <c:title>
          <c:tx>
            <c:rich>
              <a:bodyPr rot="-5400000" vert="horz"/>
              <a:lstStyle/>
              <a:p>
                <a:pPr>
                  <a:defRPr sz="500" b="0"/>
                </a:pPr>
                <a:r>
                  <a:rPr lang="en-US" sz="500" b="0" i="0" u="none" strike="noStrike" baseline="0">
                    <a:effectLst/>
                  </a:rPr>
                  <a:t>Borrow</a:t>
                </a:r>
                <a:r>
                  <a:rPr lang="en-US" sz="500" b="0" i="0" u="none" strike="noStrike" kern="1200" baseline="0">
                    <a:solidFill>
                      <a:sysClr val="windowText" lastClr="000000"/>
                    </a:solidFill>
                    <a:effectLst/>
                    <a:latin typeface="+mn-lt"/>
                    <a:ea typeface="+mn-ea"/>
                    <a:cs typeface="+mn-cs"/>
                  </a:rPr>
                  <a:t> </a:t>
                </a:r>
                <a:r>
                  <a:rPr lang="en-US" sz="500" b="0" i="0" u="none" strike="noStrike" baseline="0">
                    <a:effectLst/>
                  </a:rPr>
                  <a:t>at</a:t>
                </a:r>
                <a:r>
                  <a:rPr lang="en-US" sz="500" b="0" i="0" u="none" strike="noStrike" kern="1200" baseline="0">
                    <a:solidFill>
                      <a:sysClr val="windowText" lastClr="000000"/>
                    </a:solidFill>
                    <a:effectLst/>
                    <a:latin typeface="+mn-lt"/>
                    <a:ea typeface="+mn-ea"/>
                    <a:cs typeface="+mn-cs"/>
                  </a:rPr>
                  <a:t> </a:t>
                </a:r>
                <a:r>
                  <a:rPr lang="en-US" sz="500" b="0" i="0" u="none" strike="noStrike" baseline="0">
                    <a:effectLst/>
                  </a:rPr>
                  <a:t>DW</a:t>
                </a:r>
                <a:endParaRPr lang="en-US" sz="500" b="0"/>
              </a:p>
            </c:rich>
          </c:tx>
          <c:layout>
            <c:manualLayout>
              <c:xMode val="edge"/>
              <c:yMode val="edge"/>
              <c:x val="0"/>
              <c:y val="0.28127771144195501"/>
            </c:manualLayout>
          </c:layout>
          <c:overlay val="0"/>
        </c:title>
        <c:numFmt formatCode="0%" sourceLinked="0"/>
        <c:majorTickMark val="out"/>
        <c:minorTickMark val="none"/>
        <c:tickLblPos val="nextTo"/>
        <c:spPr>
          <a:ln w="6350"/>
        </c:spPr>
        <c:txPr>
          <a:bodyPr/>
          <a:lstStyle/>
          <a:p>
            <a:pPr>
              <a:defRPr sz="400"/>
            </a:pPr>
            <a:endParaRPr lang="en-US"/>
          </a:p>
        </c:txPr>
        <c:crossAx val="-2095377192"/>
        <c:crosses val="autoZero"/>
        <c:crossBetween val="midCat"/>
        <c:majorUnit val="1"/>
      </c:valAx>
      <c:spPr>
        <a:ln w="6350">
          <a:solidFill>
            <a:schemeClr val="bg1">
              <a:lumMod val="50000"/>
            </a:schemeClr>
          </a:solidFill>
        </a:ln>
      </c:spPr>
    </c:plotArea>
    <c:plotVisOnly val="1"/>
    <c:dispBlanksAs val="gap"/>
    <c:showDLblsOverMax val="0"/>
  </c:chart>
  <c:spPr>
    <a:ln w="6350"/>
    <a:effectLst/>
  </c:spPr>
  <c:externalData r:id="rId1">
    <c:autoUpdate val="0"/>
  </c:externalData>
</c:chartSpace>
</file>

<file path=word/charts/chart5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77894226636305"/>
          <c:y val="8.4180938446688003E-2"/>
          <c:w val="0.72024746906636705"/>
          <c:h val="0.78661083324287595"/>
        </c:manualLayout>
      </c:layout>
      <c:scatterChart>
        <c:scatterStyle val="smoothMarker"/>
        <c:varyColors val="0"/>
        <c:ser>
          <c:idx val="0"/>
          <c:order val="0"/>
          <c:tx>
            <c:strRef>
              <c:f>T0!$AX$1</c:f>
              <c:strCache>
                <c:ptCount val="1"/>
                <c:pt idx="0">
                  <c:v>Fund if DW not detected</c:v>
                </c:pt>
              </c:strCache>
            </c:strRef>
          </c:tx>
          <c:spPr>
            <a:ln w="6350">
              <a:solidFill>
                <a:srgbClr val="FF0000"/>
              </a:solidFill>
            </a:ln>
            <a:effectLst/>
          </c:spPr>
          <c:marker>
            <c:symbol val="circle"/>
            <c:size val="2"/>
            <c:spPr>
              <a:solidFill>
                <a:srgbClr val="FF0000"/>
              </a:solidFill>
              <a:ln w="6350">
                <a:solidFill>
                  <a:srgbClr val="FF0000"/>
                </a:solidFill>
              </a:ln>
              <a:effectLst/>
            </c:spPr>
          </c:marker>
          <c:xVal>
            <c:numRef>
              <c:f>T0!$AU$2:$AU$26</c:f>
              <c:numCache>
                <c:formatCode>General</c:formatCode>
                <c:ptCount val="2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</c:numCache>
            </c:numRef>
          </c:xVal>
          <c:yVal>
            <c:numRef>
              <c:f>'T3'!$AQ$77:$AQ$101</c:f>
              <c:numCache>
                <c:formatCode>0.0%</c:formatCode>
                <c:ptCount val="25"/>
                <c:pt idx="0">
                  <c:v>0.5</c:v>
                </c:pt>
                <c:pt idx="1">
                  <c:v>1</c:v>
                </c:pt>
                <c:pt idx="2">
                  <c:v>0.66666666666666696</c:v>
                </c:pt>
                <c:pt idx="3">
                  <c:v>1</c:v>
                </c:pt>
                <c:pt idx="4">
                  <c:v>0.66666666666666696</c:v>
                </c:pt>
                <c:pt idx="5">
                  <c:v>1</c:v>
                </c:pt>
                <c:pt idx="6">
                  <c:v>0.83333333333333304</c:v>
                </c:pt>
                <c:pt idx="7">
                  <c:v>0.83333333333333304</c:v>
                </c:pt>
                <c:pt idx="8">
                  <c:v>0.83333333333333304</c:v>
                </c:pt>
                <c:pt idx="9">
                  <c:v>1</c:v>
                </c:pt>
                <c:pt idx="10">
                  <c:v>1</c:v>
                </c:pt>
                <c:pt idx="11">
                  <c:v>0.66666666666666696</c:v>
                </c:pt>
                <c:pt idx="12">
                  <c:v>0.83333333333333304</c:v>
                </c:pt>
                <c:pt idx="13">
                  <c:v>0.83333333333333304</c:v>
                </c:pt>
                <c:pt idx="14">
                  <c:v>1</c:v>
                </c:pt>
                <c:pt idx="15">
                  <c:v>0.66666666666666696</c:v>
                </c:pt>
                <c:pt idx="16">
                  <c:v>0.83333333333333304</c:v>
                </c:pt>
                <c:pt idx="17">
                  <c:v>0.5</c:v>
                </c:pt>
                <c:pt idx="18">
                  <c:v>0.66666666666666696</c:v>
                </c:pt>
                <c:pt idx="19">
                  <c:v>1</c:v>
                </c:pt>
                <c:pt idx="20">
                  <c:v>0.83333333333333304</c:v>
                </c:pt>
                <c:pt idx="21">
                  <c:v>1</c:v>
                </c:pt>
                <c:pt idx="22">
                  <c:v>1</c:v>
                </c:pt>
                <c:pt idx="23">
                  <c:v>0.83333333333333304</c:v>
                </c:pt>
                <c:pt idx="24">
                  <c:v>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E79F-0441-BA7C-1178CA32CA67}"/>
            </c:ext>
          </c:extLst>
        </c:ser>
        <c:ser>
          <c:idx val="1"/>
          <c:order val="1"/>
          <c:tx>
            <c:strRef>
              <c:f>T0!$AY$1</c:f>
              <c:strCache>
                <c:ptCount val="1"/>
                <c:pt idx="0">
                  <c:v>Fund if DW detected</c:v>
                </c:pt>
              </c:strCache>
            </c:strRef>
          </c:tx>
          <c:spPr>
            <a:ln w="6350" cmpd="sng">
              <a:solidFill>
                <a:srgbClr val="FF9300"/>
              </a:solidFill>
            </a:ln>
            <a:effectLst/>
          </c:spPr>
          <c:marker>
            <c:symbol val="circle"/>
            <c:size val="2"/>
            <c:spPr>
              <a:solidFill>
                <a:schemeClr val="bg1"/>
              </a:solidFill>
              <a:ln w="6350">
                <a:solidFill>
                  <a:srgbClr val="FF9300"/>
                </a:solidFill>
              </a:ln>
              <a:effectLst/>
            </c:spPr>
          </c:marker>
          <c:xVal>
            <c:numRef>
              <c:f>T0!$AU$2:$AU$26</c:f>
              <c:numCache>
                <c:formatCode>General</c:formatCode>
                <c:ptCount val="2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</c:numCache>
            </c:numRef>
          </c:xVal>
          <c:yVal>
            <c:numRef>
              <c:f>'T3'!$AR$77:$AR$101</c:f>
              <c:numCache>
                <c:formatCode>0.0%</c:formatCode>
                <c:ptCount val="25"/>
                <c:pt idx="0">
                  <c:v>0.83333333333333304</c:v>
                </c:pt>
                <c:pt idx="1">
                  <c:v>0.5</c:v>
                </c:pt>
                <c:pt idx="2">
                  <c:v>0.33333333333333298</c:v>
                </c:pt>
                <c:pt idx="3">
                  <c:v>0.5</c:v>
                </c:pt>
                <c:pt idx="4">
                  <c:v>0.33333333333333298</c:v>
                </c:pt>
                <c:pt idx="5">
                  <c:v>0</c:v>
                </c:pt>
                <c:pt idx="6">
                  <c:v>0.33333333333333298</c:v>
                </c:pt>
                <c:pt idx="7">
                  <c:v>0.16666666666666699</c:v>
                </c:pt>
                <c:pt idx="8">
                  <c:v>0</c:v>
                </c:pt>
                <c:pt idx="9">
                  <c:v>0.16666666666666699</c:v>
                </c:pt>
                <c:pt idx="10">
                  <c:v>0.16666666666666699</c:v>
                </c:pt>
                <c:pt idx="11">
                  <c:v>0</c:v>
                </c:pt>
                <c:pt idx="12">
                  <c:v>0.16666666666666699</c:v>
                </c:pt>
                <c:pt idx="13">
                  <c:v>0.16666666666666699</c:v>
                </c:pt>
                <c:pt idx="14">
                  <c:v>0.16666666666666699</c:v>
                </c:pt>
                <c:pt idx="15">
                  <c:v>0.16666666666666699</c:v>
                </c:pt>
                <c:pt idx="16">
                  <c:v>0.16666666666666699</c:v>
                </c:pt>
                <c:pt idx="17">
                  <c:v>0.16666666666666699</c:v>
                </c:pt>
                <c:pt idx="18">
                  <c:v>0.16666666666666699</c:v>
                </c:pt>
                <c:pt idx="19">
                  <c:v>0.16666666666666699</c:v>
                </c:pt>
                <c:pt idx="20">
                  <c:v>0.16666666666666699</c:v>
                </c:pt>
                <c:pt idx="21">
                  <c:v>0.16666666666666699</c:v>
                </c:pt>
                <c:pt idx="22">
                  <c:v>0.16666666666666699</c:v>
                </c:pt>
                <c:pt idx="23">
                  <c:v>0</c:v>
                </c:pt>
                <c:pt idx="24">
                  <c:v>0.16666666666666699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E79F-0441-BA7C-1178CA32CA6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-2095334856"/>
        <c:axId val="-2095326504"/>
      </c:scatterChart>
      <c:valAx>
        <c:axId val="-2095334856"/>
        <c:scaling>
          <c:orientation val="minMax"/>
          <c:max val="25"/>
          <c:min val="1"/>
        </c:scaling>
        <c:delete val="0"/>
        <c:axPos val="b"/>
        <c:title>
          <c:tx>
            <c:rich>
              <a:bodyPr/>
              <a:lstStyle/>
              <a:p>
                <a:pPr>
                  <a:defRPr sz="500" b="0"/>
                </a:pPr>
                <a:r>
                  <a:rPr lang="en-US" sz="5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rPr>
                  <a:t> </a:t>
                </a:r>
                <a:r>
                  <a:rPr lang="en-US" sz="500" b="0"/>
                  <a:t>Round</a:t>
                </a:r>
              </a:p>
            </c:rich>
          </c:tx>
          <c:layout>
            <c:manualLayout>
              <c:xMode val="edge"/>
              <c:yMode val="edge"/>
              <c:x val="0.40041885008276401"/>
              <c:y val="0.90604453870625601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6350"/>
        </c:spPr>
        <c:txPr>
          <a:bodyPr/>
          <a:lstStyle/>
          <a:p>
            <a:pPr>
              <a:defRPr sz="500"/>
            </a:pPr>
            <a:endParaRPr lang="en-US"/>
          </a:p>
        </c:txPr>
        <c:crossAx val="-2095326504"/>
        <c:crosses val="autoZero"/>
        <c:crossBetween val="midCat"/>
        <c:majorUnit val="24"/>
      </c:valAx>
      <c:valAx>
        <c:axId val="-2095326504"/>
        <c:scaling>
          <c:orientation val="minMax"/>
          <c:max val="1"/>
        </c:scaling>
        <c:delete val="0"/>
        <c:axPos val="l"/>
        <c:majorGridlines>
          <c:spPr>
            <a:ln w="6350"/>
          </c:spPr>
        </c:majorGridlines>
        <c:title>
          <c:tx>
            <c:rich>
              <a:bodyPr rot="-5400000" vert="horz"/>
              <a:lstStyle/>
              <a:p>
                <a:pPr>
                  <a:defRPr sz="500" b="0"/>
                </a:pPr>
                <a:r>
                  <a:rPr lang="en-US" sz="500" b="0" i="0" u="none" strike="noStrike" baseline="0">
                    <a:effectLst/>
                  </a:rPr>
                  <a:t>Fund</a:t>
                </a:r>
                <a:r>
                  <a:rPr lang="en-US" sz="500" b="0" i="0" u="none" strike="noStrike" kern="1200" baseline="0">
                    <a:solidFill>
                      <a:sysClr val="windowText" lastClr="000000"/>
                    </a:solidFill>
                    <a:effectLst/>
                    <a:latin typeface="+mn-lt"/>
                    <a:ea typeface="+mn-ea"/>
                    <a:cs typeface="+mn-cs"/>
                  </a:rPr>
                  <a:t> </a:t>
                </a:r>
                <a:r>
                  <a:rPr lang="en-US" sz="500" b="0" i="0" u="none" strike="noStrike" baseline="0">
                    <a:effectLst/>
                  </a:rPr>
                  <a:t>the</a:t>
                </a:r>
                <a:r>
                  <a:rPr lang="en-US" sz="500" b="0" i="0" u="none" strike="noStrike" kern="1200" baseline="0">
                    <a:solidFill>
                      <a:sysClr val="windowText" lastClr="000000"/>
                    </a:solidFill>
                    <a:effectLst/>
                    <a:latin typeface="+mn-lt"/>
                    <a:ea typeface="+mn-ea"/>
                    <a:cs typeface="+mn-cs"/>
                  </a:rPr>
                  <a:t> </a:t>
                </a:r>
                <a:r>
                  <a:rPr lang="en-US" sz="500" b="0" i="0" u="none" strike="noStrike" baseline="0">
                    <a:effectLst/>
                  </a:rPr>
                  <a:t>Bank</a:t>
                </a:r>
                <a:r>
                  <a:rPr lang="en-US" sz="500" b="0" i="0" u="none" strike="noStrike" kern="1200" baseline="0">
                    <a:solidFill>
                      <a:sysClr val="windowText" lastClr="000000"/>
                    </a:solidFill>
                    <a:effectLst/>
                    <a:latin typeface="+mn-lt"/>
                    <a:ea typeface="+mn-ea"/>
                    <a:cs typeface="+mn-cs"/>
                  </a:rPr>
                  <a:t> </a:t>
                </a:r>
                <a:endParaRPr lang="en-US" sz="500" b="0"/>
              </a:p>
            </c:rich>
          </c:tx>
          <c:layout>
            <c:manualLayout>
              <c:xMode val="edge"/>
              <c:yMode val="edge"/>
              <c:x val="0"/>
              <c:y val="0.28127771144195501"/>
            </c:manualLayout>
          </c:layout>
          <c:overlay val="0"/>
        </c:title>
        <c:numFmt formatCode="0%" sourceLinked="0"/>
        <c:majorTickMark val="out"/>
        <c:minorTickMark val="none"/>
        <c:tickLblPos val="nextTo"/>
        <c:spPr>
          <a:ln w="6350"/>
        </c:spPr>
        <c:txPr>
          <a:bodyPr/>
          <a:lstStyle/>
          <a:p>
            <a:pPr>
              <a:defRPr sz="400"/>
            </a:pPr>
            <a:endParaRPr lang="en-US"/>
          </a:p>
        </c:txPr>
        <c:crossAx val="-2095334856"/>
        <c:crosses val="autoZero"/>
        <c:crossBetween val="midCat"/>
        <c:majorUnit val="1"/>
      </c:valAx>
      <c:spPr>
        <a:ln w="6350">
          <a:solidFill>
            <a:schemeClr val="bg1">
              <a:lumMod val="50000"/>
            </a:schemeClr>
          </a:solidFill>
        </a:ln>
      </c:spPr>
    </c:plotArea>
    <c:plotVisOnly val="1"/>
    <c:dispBlanksAs val="gap"/>
    <c:showDLblsOverMax val="0"/>
  </c:chart>
  <c:spPr>
    <a:ln w="6350"/>
    <a:effectLst/>
  </c:spPr>
  <c:externalData r:id="rId1">
    <c:autoUpdate val="0"/>
  </c:externalData>
</c:chartSpace>
</file>

<file path=word/charts/chart5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77894226636305"/>
          <c:y val="8.4180938446688003E-2"/>
          <c:w val="0.72024746906636705"/>
          <c:h val="0.78661083324287595"/>
        </c:manualLayout>
      </c:layout>
      <c:scatterChart>
        <c:scatterStyle val="smoothMarker"/>
        <c:varyColors val="0"/>
        <c:ser>
          <c:idx val="0"/>
          <c:order val="0"/>
          <c:tx>
            <c:strRef>
              <c:f>T0!$AX$1</c:f>
              <c:strCache>
                <c:ptCount val="1"/>
                <c:pt idx="0">
                  <c:v>Fund if DW not detected</c:v>
                </c:pt>
              </c:strCache>
            </c:strRef>
          </c:tx>
          <c:spPr>
            <a:ln w="6350">
              <a:solidFill>
                <a:srgbClr val="00B0F0"/>
              </a:solidFill>
            </a:ln>
            <a:effectLst/>
          </c:spPr>
          <c:marker>
            <c:symbol val="square"/>
            <c:size val="2"/>
            <c:spPr>
              <a:solidFill>
                <a:srgbClr val="00B0F0"/>
              </a:solidFill>
              <a:ln w="6350">
                <a:noFill/>
              </a:ln>
              <a:effectLst/>
            </c:spPr>
          </c:marker>
          <c:xVal>
            <c:numRef>
              <c:f>T0!$AU$2:$AU$26</c:f>
              <c:numCache>
                <c:formatCode>General</c:formatCode>
                <c:ptCount val="2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</c:numCache>
            </c:numRef>
          </c:xVal>
          <c:yVal>
            <c:numRef>
              <c:f>'T3'!$AO$77:$AO$101</c:f>
              <c:numCache>
                <c:formatCode>0.0%</c:formatCode>
                <c:ptCount val="25"/>
                <c:pt idx="0">
                  <c:v>0.16666666666666699</c:v>
                </c:pt>
                <c:pt idx="1">
                  <c:v>0.33333333333333298</c:v>
                </c:pt>
                <c:pt idx="2">
                  <c:v>0.5</c:v>
                </c:pt>
                <c:pt idx="3">
                  <c:v>0.33333333333333298</c:v>
                </c:pt>
                <c:pt idx="4">
                  <c:v>0.16666666666666699</c:v>
                </c:pt>
                <c:pt idx="5">
                  <c:v>0.33333333333333298</c:v>
                </c:pt>
                <c:pt idx="6">
                  <c:v>0.16666666666666699</c:v>
                </c:pt>
                <c:pt idx="7">
                  <c:v>0.16666666666666699</c:v>
                </c:pt>
                <c:pt idx="8">
                  <c:v>0.16666666666666699</c:v>
                </c:pt>
                <c:pt idx="9">
                  <c:v>0.33333333333333298</c:v>
                </c:pt>
                <c:pt idx="10">
                  <c:v>0.16666666666666699</c:v>
                </c:pt>
                <c:pt idx="11">
                  <c:v>0.16666666666666699</c:v>
                </c:pt>
                <c:pt idx="12">
                  <c:v>0.16666666666666699</c:v>
                </c:pt>
                <c:pt idx="13">
                  <c:v>0</c:v>
                </c:pt>
                <c:pt idx="14">
                  <c:v>0.16666666666666699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0.16666666666666699</c:v>
                </c:pt>
                <c:pt idx="19">
                  <c:v>0</c:v>
                </c:pt>
                <c:pt idx="20">
                  <c:v>0</c:v>
                </c:pt>
                <c:pt idx="21">
                  <c:v>0.16666666666666699</c:v>
                </c:pt>
                <c:pt idx="22">
                  <c:v>0.16666666666666699</c:v>
                </c:pt>
                <c:pt idx="23">
                  <c:v>0</c:v>
                </c:pt>
                <c:pt idx="24">
                  <c:v>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C321-B547-A765-36792CA3BF5E}"/>
            </c:ext>
          </c:extLst>
        </c:ser>
        <c:ser>
          <c:idx val="1"/>
          <c:order val="1"/>
          <c:tx>
            <c:strRef>
              <c:f>T0!$AY$1</c:f>
              <c:strCache>
                <c:ptCount val="1"/>
                <c:pt idx="0">
                  <c:v>Fund if DW detected</c:v>
                </c:pt>
              </c:strCache>
            </c:strRef>
          </c:tx>
          <c:spPr>
            <a:ln w="6350" cmpd="sng">
              <a:solidFill>
                <a:srgbClr val="002060"/>
              </a:solidFill>
            </a:ln>
            <a:effectLst/>
          </c:spPr>
          <c:marker>
            <c:symbol val="square"/>
            <c:size val="2"/>
            <c:spPr>
              <a:solidFill>
                <a:schemeClr val="bg1"/>
              </a:solidFill>
              <a:ln w="3175">
                <a:solidFill>
                  <a:srgbClr val="002060"/>
                </a:solidFill>
              </a:ln>
              <a:effectLst/>
            </c:spPr>
          </c:marker>
          <c:xVal>
            <c:numRef>
              <c:f>T0!$AU$2:$AU$26</c:f>
              <c:numCache>
                <c:formatCode>General</c:formatCode>
                <c:ptCount val="2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</c:numCache>
            </c:numRef>
          </c:xVal>
          <c:yVal>
            <c:numRef>
              <c:f>'T3'!$AP$77:$AP$101</c:f>
              <c:numCache>
                <c:formatCode>0.0%</c:formatCode>
                <c:ptCount val="25"/>
                <c:pt idx="0">
                  <c:v>0.5</c:v>
                </c:pt>
                <c:pt idx="1">
                  <c:v>0.16666666666666699</c:v>
                </c:pt>
                <c:pt idx="2">
                  <c:v>0.83333333333333304</c:v>
                </c:pt>
                <c:pt idx="3">
                  <c:v>0.83333333333333304</c:v>
                </c:pt>
                <c:pt idx="4">
                  <c:v>1</c:v>
                </c:pt>
                <c:pt idx="5">
                  <c:v>0.66666666666666696</c:v>
                </c:pt>
                <c:pt idx="6">
                  <c:v>1</c:v>
                </c:pt>
                <c:pt idx="7">
                  <c:v>0.83333333333333304</c:v>
                </c:pt>
                <c:pt idx="8">
                  <c:v>0.66666666666666696</c:v>
                </c:pt>
                <c:pt idx="9">
                  <c:v>0.5</c:v>
                </c:pt>
                <c:pt idx="10">
                  <c:v>0.33333333333333298</c:v>
                </c:pt>
                <c:pt idx="11">
                  <c:v>0.16666666666666699</c:v>
                </c:pt>
                <c:pt idx="12">
                  <c:v>0.33333333333333298</c:v>
                </c:pt>
                <c:pt idx="13">
                  <c:v>0.33333333333333298</c:v>
                </c:pt>
                <c:pt idx="14">
                  <c:v>0.5</c:v>
                </c:pt>
                <c:pt idx="15">
                  <c:v>0.33333333333333298</c:v>
                </c:pt>
                <c:pt idx="16">
                  <c:v>0.16666666666666699</c:v>
                </c:pt>
                <c:pt idx="17">
                  <c:v>0.16666666666666699</c:v>
                </c:pt>
                <c:pt idx="18">
                  <c:v>0.33333333333333298</c:v>
                </c:pt>
                <c:pt idx="19">
                  <c:v>0.16666666666666699</c:v>
                </c:pt>
                <c:pt idx="20">
                  <c:v>0.16666666666666699</c:v>
                </c:pt>
                <c:pt idx="21">
                  <c:v>0.16666666666666699</c:v>
                </c:pt>
                <c:pt idx="22">
                  <c:v>0.16666666666666699</c:v>
                </c:pt>
                <c:pt idx="23">
                  <c:v>0</c:v>
                </c:pt>
                <c:pt idx="24">
                  <c:v>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C321-B547-A765-36792CA3BF5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-2095293288"/>
        <c:axId val="-2095285048"/>
      </c:scatterChart>
      <c:valAx>
        <c:axId val="-2095293288"/>
        <c:scaling>
          <c:orientation val="minMax"/>
          <c:max val="25"/>
          <c:min val="1"/>
        </c:scaling>
        <c:delete val="0"/>
        <c:axPos val="b"/>
        <c:title>
          <c:tx>
            <c:rich>
              <a:bodyPr/>
              <a:lstStyle/>
              <a:p>
                <a:pPr>
                  <a:defRPr sz="500" b="0"/>
                </a:pPr>
                <a:r>
                  <a:rPr lang="en-US" sz="5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rPr>
                  <a:t> </a:t>
                </a:r>
                <a:r>
                  <a:rPr lang="en-US" sz="500" b="0"/>
                  <a:t>Round</a:t>
                </a:r>
              </a:p>
            </c:rich>
          </c:tx>
          <c:layout>
            <c:manualLayout>
              <c:xMode val="edge"/>
              <c:yMode val="edge"/>
              <c:x val="0.40041885008276401"/>
              <c:y val="0.90604453870625601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6350"/>
        </c:spPr>
        <c:txPr>
          <a:bodyPr/>
          <a:lstStyle/>
          <a:p>
            <a:pPr>
              <a:defRPr sz="500"/>
            </a:pPr>
            <a:endParaRPr lang="en-US"/>
          </a:p>
        </c:txPr>
        <c:crossAx val="-2095285048"/>
        <c:crosses val="autoZero"/>
        <c:crossBetween val="midCat"/>
        <c:majorUnit val="24"/>
      </c:valAx>
      <c:valAx>
        <c:axId val="-2095285048"/>
        <c:scaling>
          <c:orientation val="minMax"/>
          <c:max val="1"/>
        </c:scaling>
        <c:delete val="0"/>
        <c:axPos val="l"/>
        <c:majorGridlines>
          <c:spPr>
            <a:ln w="6350"/>
          </c:spPr>
        </c:majorGridlines>
        <c:title>
          <c:tx>
            <c:rich>
              <a:bodyPr rot="-5400000" vert="horz"/>
              <a:lstStyle/>
              <a:p>
                <a:pPr>
                  <a:defRPr sz="500" b="0"/>
                </a:pPr>
                <a:r>
                  <a:rPr lang="en-US" sz="500" b="0" i="0" u="none" strike="noStrike" baseline="0">
                    <a:effectLst/>
                  </a:rPr>
                  <a:t>Borrow</a:t>
                </a:r>
                <a:r>
                  <a:rPr lang="en-US" sz="500" b="0" i="0" u="none" strike="noStrike" kern="1200" baseline="0">
                    <a:solidFill>
                      <a:sysClr val="windowText" lastClr="000000"/>
                    </a:solidFill>
                    <a:effectLst/>
                    <a:latin typeface="+mn-lt"/>
                    <a:ea typeface="+mn-ea"/>
                    <a:cs typeface="+mn-cs"/>
                  </a:rPr>
                  <a:t> </a:t>
                </a:r>
                <a:r>
                  <a:rPr lang="en-US" sz="500" b="0" i="0" u="none" strike="noStrike" baseline="0">
                    <a:effectLst/>
                  </a:rPr>
                  <a:t>at</a:t>
                </a:r>
                <a:r>
                  <a:rPr lang="en-US" sz="500" b="0" i="0" u="none" strike="noStrike" kern="1200" baseline="0">
                    <a:solidFill>
                      <a:sysClr val="windowText" lastClr="000000"/>
                    </a:solidFill>
                    <a:effectLst/>
                    <a:latin typeface="+mn-lt"/>
                    <a:ea typeface="+mn-ea"/>
                    <a:cs typeface="+mn-cs"/>
                  </a:rPr>
                  <a:t> </a:t>
                </a:r>
                <a:r>
                  <a:rPr lang="en-US" sz="500" b="0" i="0" u="none" strike="noStrike" baseline="0">
                    <a:effectLst/>
                  </a:rPr>
                  <a:t>DW</a:t>
                </a:r>
                <a:endParaRPr lang="en-US" sz="500" b="0"/>
              </a:p>
            </c:rich>
          </c:tx>
          <c:layout>
            <c:manualLayout>
              <c:xMode val="edge"/>
              <c:yMode val="edge"/>
              <c:x val="0"/>
              <c:y val="0.28127771144195501"/>
            </c:manualLayout>
          </c:layout>
          <c:overlay val="0"/>
        </c:title>
        <c:numFmt formatCode="0%" sourceLinked="0"/>
        <c:majorTickMark val="out"/>
        <c:minorTickMark val="none"/>
        <c:tickLblPos val="nextTo"/>
        <c:spPr>
          <a:ln w="6350"/>
        </c:spPr>
        <c:txPr>
          <a:bodyPr/>
          <a:lstStyle/>
          <a:p>
            <a:pPr>
              <a:defRPr sz="400"/>
            </a:pPr>
            <a:endParaRPr lang="en-US"/>
          </a:p>
        </c:txPr>
        <c:crossAx val="-2095293288"/>
        <c:crosses val="autoZero"/>
        <c:crossBetween val="midCat"/>
        <c:majorUnit val="1"/>
      </c:valAx>
      <c:spPr>
        <a:ln w="6350">
          <a:solidFill>
            <a:schemeClr val="bg1">
              <a:lumMod val="50000"/>
            </a:schemeClr>
          </a:solidFill>
        </a:ln>
      </c:spPr>
    </c:plotArea>
    <c:plotVisOnly val="1"/>
    <c:dispBlanksAs val="gap"/>
    <c:showDLblsOverMax val="0"/>
  </c:chart>
  <c:spPr>
    <a:ln w="6350"/>
    <a:effectLst/>
  </c:spPr>
  <c:externalData r:id="rId1">
    <c:autoUpdate val="0"/>
  </c:externalData>
</c:chartSpace>
</file>

<file path=word/charts/chart5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77894226636305"/>
          <c:y val="8.4180938446688003E-2"/>
          <c:w val="0.72024746906636705"/>
          <c:h val="0.78661083324287595"/>
        </c:manualLayout>
      </c:layout>
      <c:scatterChart>
        <c:scatterStyle val="smoothMarker"/>
        <c:varyColors val="0"/>
        <c:ser>
          <c:idx val="0"/>
          <c:order val="0"/>
          <c:tx>
            <c:strRef>
              <c:f>T0!$AX$1</c:f>
              <c:strCache>
                <c:ptCount val="1"/>
                <c:pt idx="0">
                  <c:v>Fund if DW not detected</c:v>
                </c:pt>
              </c:strCache>
            </c:strRef>
          </c:tx>
          <c:spPr>
            <a:ln w="6350">
              <a:solidFill>
                <a:srgbClr val="FF0000"/>
              </a:solidFill>
            </a:ln>
            <a:effectLst/>
          </c:spPr>
          <c:marker>
            <c:symbol val="circle"/>
            <c:size val="2"/>
            <c:spPr>
              <a:solidFill>
                <a:srgbClr val="FF0000"/>
              </a:solidFill>
              <a:ln w="6350">
                <a:solidFill>
                  <a:srgbClr val="FF0000"/>
                </a:solidFill>
              </a:ln>
              <a:effectLst/>
            </c:spPr>
          </c:marker>
          <c:xVal>
            <c:numRef>
              <c:f>T0!$AU$2:$AU$26</c:f>
              <c:numCache>
                <c:formatCode>General</c:formatCode>
                <c:ptCount val="2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</c:numCache>
            </c:numRef>
          </c:xVal>
          <c:yVal>
            <c:numRef>
              <c:f>'T3'!$AQ$102:$AQ$126</c:f>
              <c:numCache>
                <c:formatCode>0.0%</c:formatCode>
                <c:ptCount val="25"/>
                <c:pt idx="0">
                  <c:v>0.16666666666666699</c:v>
                </c:pt>
                <c:pt idx="1">
                  <c:v>0.33333333333333298</c:v>
                </c:pt>
                <c:pt idx="2">
                  <c:v>0.5</c:v>
                </c:pt>
                <c:pt idx="3">
                  <c:v>0.33333333333333298</c:v>
                </c:pt>
                <c:pt idx="4">
                  <c:v>0.33333333333333298</c:v>
                </c:pt>
                <c:pt idx="5">
                  <c:v>0.5</c:v>
                </c:pt>
                <c:pt idx="6">
                  <c:v>0.33333333333333298</c:v>
                </c:pt>
                <c:pt idx="7">
                  <c:v>0.66666666666666696</c:v>
                </c:pt>
                <c:pt idx="8">
                  <c:v>0.33333333333333298</c:v>
                </c:pt>
                <c:pt idx="9">
                  <c:v>0.66666666666666696</c:v>
                </c:pt>
                <c:pt idx="10">
                  <c:v>0.5</c:v>
                </c:pt>
                <c:pt idx="11">
                  <c:v>0.33333333333333298</c:v>
                </c:pt>
                <c:pt idx="12">
                  <c:v>0.83333333333333304</c:v>
                </c:pt>
                <c:pt idx="13">
                  <c:v>0.83333333333333304</c:v>
                </c:pt>
                <c:pt idx="14">
                  <c:v>0.66666666666666696</c:v>
                </c:pt>
                <c:pt idx="15">
                  <c:v>0.66666666666666696</c:v>
                </c:pt>
                <c:pt idx="16">
                  <c:v>0.66666666666666696</c:v>
                </c:pt>
                <c:pt idx="17">
                  <c:v>0.83333333333333304</c:v>
                </c:pt>
                <c:pt idx="18">
                  <c:v>0.66666666666666696</c:v>
                </c:pt>
                <c:pt idx="19">
                  <c:v>0.66666666666666696</c:v>
                </c:pt>
                <c:pt idx="20">
                  <c:v>0.83333333333333304</c:v>
                </c:pt>
                <c:pt idx="21">
                  <c:v>0.83333333333333304</c:v>
                </c:pt>
                <c:pt idx="22">
                  <c:v>0.83333333333333304</c:v>
                </c:pt>
                <c:pt idx="23">
                  <c:v>1</c:v>
                </c:pt>
                <c:pt idx="24">
                  <c:v>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4CE0-E849-8470-6F828F9AFCBE}"/>
            </c:ext>
          </c:extLst>
        </c:ser>
        <c:ser>
          <c:idx val="1"/>
          <c:order val="1"/>
          <c:tx>
            <c:strRef>
              <c:f>T0!$AY$1</c:f>
              <c:strCache>
                <c:ptCount val="1"/>
                <c:pt idx="0">
                  <c:v>Fund if DW detected</c:v>
                </c:pt>
              </c:strCache>
            </c:strRef>
          </c:tx>
          <c:spPr>
            <a:ln w="6350" cmpd="sng">
              <a:solidFill>
                <a:srgbClr val="FF9300"/>
              </a:solidFill>
            </a:ln>
            <a:effectLst/>
          </c:spPr>
          <c:marker>
            <c:symbol val="circle"/>
            <c:size val="2"/>
            <c:spPr>
              <a:solidFill>
                <a:schemeClr val="bg1"/>
              </a:solidFill>
              <a:ln w="6350">
                <a:solidFill>
                  <a:srgbClr val="FF9300"/>
                </a:solidFill>
              </a:ln>
              <a:effectLst/>
            </c:spPr>
          </c:marker>
          <c:xVal>
            <c:numRef>
              <c:f>T0!$AU$2:$AU$26</c:f>
              <c:numCache>
                <c:formatCode>General</c:formatCode>
                <c:ptCount val="2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</c:numCache>
            </c:numRef>
          </c:xVal>
          <c:yVal>
            <c:numRef>
              <c:f>'T3'!$AR$102:$AR$126</c:f>
              <c:numCache>
                <c:formatCode>0.0%</c:formatCode>
                <c:ptCount val="25"/>
                <c:pt idx="0">
                  <c:v>0.5</c:v>
                </c:pt>
                <c:pt idx="1">
                  <c:v>0.33333333333333298</c:v>
                </c:pt>
                <c:pt idx="2">
                  <c:v>0.16666666666666699</c:v>
                </c:pt>
                <c:pt idx="3">
                  <c:v>0</c:v>
                </c:pt>
                <c:pt idx="4">
                  <c:v>0.33333333333333298</c:v>
                </c:pt>
                <c:pt idx="5">
                  <c:v>0.16666666666666699</c:v>
                </c:pt>
                <c:pt idx="6">
                  <c:v>0</c:v>
                </c:pt>
                <c:pt idx="7">
                  <c:v>0.16666666666666699</c:v>
                </c:pt>
                <c:pt idx="8">
                  <c:v>0.33333333333333298</c:v>
                </c:pt>
                <c:pt idx="9">
                  <c:v>0.16666666666666699</c:v>
                </c:pt>
                <c:pt idx="10">
                  <c:v>0.33333333333333298</c:v>
                </c:pt>
                <c:pt idx="11">
                  <c:v>0.16666666666666699</c:v>
                </c:pt>
                <c:pt idx="12">
                  <c:v>0.16666666666666699</c:v>
                </c:pt>
                <c:pt idx="13">
                  <c:v>0.16666666666666699</c:v>
                </c:pt>
                <c:pt idx="14">
                  <c:v>0.33333333333333298</c:v>
                </c:pt>
                <c:pt idx="15">
                  <c:v>0.16666666666666699</c:v>
                </c:pt>
                <c:pt idx="16">
                  <c:v>0.16666666666666699</c:v>
                </c:pt>
                <c:pt idx="17">
                  <c:v>0.16666666666666699</c:v>
                </c:pt>
                <c:pt idx="18">
                  <c:v>0.16666666666666699</c:v>
                </c:pt>
                <c:pt idx="19">
                  <c:v>0.16666666666666699</c:v>
                </c:pt>
                <c:pt idx="20">
                  <c:v>0.16666666666666699</c:v>
                </c:pt>
                <c:pt idx="21">
                  <c:v>0.33333333333333298</c:v>
                </c:pt>
                <c:pt idx="22">
                  <c:v>0.16666666666666699</c:v>
                </c:pt>
                <c:pt idx="23">
                  <c:v>0.33333333333333298</c:v>
                </c:pt>
                <c:pt idx="24">
                  <c:v>0.5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4CE0-E849-8470-6F828F9AFCB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-2095251512"/>
        <c:axId val="-2095243208"/>
      </c:scatterChart>
      <c:valAx>
        <c:axId val="-2095251512"/>
        <c:scaling>
          <c:orientation val="minMax"/>
          <c:max val="25"/>
          <c:min val="1"/>
        </c:scaling>
        <c:delete val="0"/>
        <c:axPos val="b"/>
        <c:title>
          <c:tx>
            <c:rich>
              <a:bodyPr/>
              <a:lstStyle/>
              <a:p>
                <a:pPr>
                  <a:defRPr sz="500" b="0"/>
                </a:pPr>
                <a:r>
                  <a:rPr lang="en-US" sz="5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rPr>
                  <a:t> </a:t>
                </a:r>
                <a:r>
                  <a:rPr lang="en-US" sz="500" b="0"/>
                  <a:t>Round</a:t>
                </a:r>
              </a:p>
            </c:rich>
          </c:tx>
          <c:layout>
            <c:manualLayout>
              <c:xMode val="edge"/>
              <c:yMode val="edge"/>
              <c:x val="0.40041885008276401"/>
              <c:y val="0.90604453870625601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6350"/>
        </c:spPr>
        <c:txPr>
          <a:bodyPr/>
          <a:lstStyle/>
          <a:p>
            <a:pPr>
              <a:defRPr sz="500"/>
            </a:pPr>
            <a:endParaRPr lang="en-US"/>
          </a:p>
        </c:txPr>
        <c:crossAx val="-2095243208"/>
        <c:crosses val="autoZero"/>
        <c:crossBetween val="midCat"/>
        <c:majorUnit val="24"/>
      </c:valAx>
      <c:valAx>
        <c:axId val="-2095243208"/>
        <c:scaling>
          <c:orientation val="minMax"/>
          <c:max val="1"/>
        </c:scaling>
        <c:delete val="0"/>
        <c:axPos val="l"/>
        <c:majorGridlines>
          <c:spPr>
            <a:ln w="6350"/>
          </c:spPr>
        </c:majorGridlines>
        <c:title>
          <c:tx>
            <c:rich>
              <a:bodyPr rot="-5400000" vert="horz"/>
              <a:lstStyle/>
              <a:p>
                <a:pPr>
                  <a:defRPr sz="500" b="0"/>
                </a:pPr>
                <a:r>
                  <a:rPr lang="en-US" sz="500" b="0" i="0" u="none" strike="noStrike" baseline="0">
                    <a:effectLst/>
                  </a:rPr>
                  <a:t>Fund</a:t>
                </a:r>
                <a:r>
                  <a:rPr lang="en-US" sz="500" b="0" i="0" u="none" strike="noStrike" kern="1200" baseline="0">
                    <a:solidFill>
                      <a:sysClr val="windowText" lastClr="000000"/>
                    </a:solidFill>
                    <a:effectLst/>
                    <a:latin typeface="+mn-lt"/>
                    <a:ea typeface="+mn-ea"/>
                    <a:cs typeface="+mn-cs"/>
                  </a:rPr>
                  <a:t> </a:t>
                </a:r>
                <a:r>
                  <a:rPr lang="en-US" sz="500" b="0" i="0" u="none" strike="noStrike" baseline="0">
                    <a:effectLst/>
                  </a:rPr>
                  <a:t>the</a:t>
                </a:r>
                <a:r>
                  <a:rPr lang="en-US" sz="500" b="0" i="0" u="none" strike="noStrike" kern="1200" baseline="0">
                    <a:solidFill>
                      <a:sysClr val="windowText" lastClr="000000"/>
                    </a:solidFill>
                    <a:effectLst/>
                    <a:latin typeface="+mn-lt"/>
                    <a:ea typeface="+mn-ea"/>
                    <a:cs typeface="+mn-cs"/>
                  </a:rPr>
                  <a:t> </a:t>
                </a:r>
                <a:r>
                  <a:rPr lang="en-US" sz="500" b="0" i="0" u="none" strike="noStrike" baseline="0">
                    <a:effectLst/>
                  </a:rPr>
                  <a:t>Bank</a:t>
                </a:r>
                <a:r>
                  <a:rPr lang="en-US" sz="500" b="0" i="0" u="none" strike="noStrike" kern="1200" baseline="0">
                    <a:solidFill>
                      <a:sysClr val="windowText" lastClr="000000"/>
                    </a:solidFill>
                    <a:effectLst/>
                    <a:latin typeface="+mn-lt"/>
                    <a:ea typeface="+mn-ea"/>
                    <a:cs typeface="+mn-cs"/>
                  </a:rPr>
                  <a:t> </a:t>
                </a:r>
                <a:endParaRPr lang="en-US" sz="500" b="0"/>
              </a:p>
            </c:rich>
          </c:tx>
          <c:layout>
            <c:manualLayout>
              <c:xMode val="edge"/>
              <c:yMode val="edge"/>
              <c:x val="0"/>
              <c:y val="0.28127771144195501"/>
            </c:manualLayout>
          </c:layout>
          <c:overlay val="0"/>
        </c:title>
        <c:numFmt formatCode="0%" sourceLinked="0"/>
        <c:majorTickMark val="out"/>
        <c:minorTickMark val="none"/>
        <c:tickLblPos val="nextTo"/>
        <c:spPr>
          <a:ln w="6350"/>
        </c:spPr>
        <c:txPr>
          <a:bodyPr/>
          <a:lstStyle/>
          <a:p>
            <a:pPr>
              <a:defRPr sz="400"/>
            </a:pPr>
            <a:endParaRPr lang="en-US"/>
          </a:p>
        </c:txPr>
        <c:crossAx val="-2095251512"/>
        <c:crosses val="autoZero"/>
        <c:crossBetween val="midCat"/>
        <c:majorUnit val="1"/>
      </c:valAx>
      <c:spPr>
        <a:ln w="6350">
          <a:solidFill>
            <a:schemeClr val="bg1">
              <a:lumMod val="50000"/>
            </a:schemeClr>
          </a:solidFill>
        </a:ln>
      </c:spPr>
    </c:plotArea>
    <c:plotVisOnly val="1"/>
    <c:dispBlanksAs val="gap"/>
    <c:showDLblsOverMax val="0"/>
  </c:chart>
  <c:spPr>
    <a:ln w="6350"/>
    <a:effectLst/>
  </c:spPr>
  <c:externalData r:id="rId1">
    <c:autoUpdate val="0"/>
  </c:externalData>
</c:chartSpace>
</file>

<file path=word/charts/chart5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77894226636305"/>
          <c:y val="8.4180938446688003E-2"/>
          <c:w val="0.72024746906636705"/>
          <c:h val="0.78661083324287595"/>
        </c:manualLayout>
      </c:layout>
      <c:scatterChart>
        <c:scatterStyle val="smoothMarker"/>
        <c:varyColors val="0"/>
        <c:ser>
          <c:idx val="0"/>
          <c:order val="0"/>
          <c:tx>
            <c:strRef>
              <c:f>T0!$AX$1</c:f>
              <c:strCache>
                <c:ptCount val="1"/>
                <c:pt idx="0">
                  <c:v>Fund if DW not detected</c:v>
                </c:pt>
              </c:strCache>
            </c:strRef>
          </c:tx>
          <c:spPr>
            <a:ln w="6350">
              <a:solidFill>
                <a:srgbClr val="00B0F0"/>
              </a:solidFill>
            </a:ln>
            <a:effectLst/>
          </c:spPr>
          <c:marker>
            <c:symbol val="square"/>
            <c:size val="2"/>
            <c:spPr>
              <a:solidFill>
                <a:srgbClr val="00B0F0"/>
              </a:solidFill>
              <a:ln w="6350">
                <a:noFill/>
              </a:ln>
              <a:effectLst/>
            </c:spPr>
          </c:marker>
          <c:xVal>
            <c:numRef>
              <c:f>T0!$AU$2:$AU$26</c:f>
              <c:numCache>
                <c:formatCode>General</c:formatCode>
                <c:ptCount val="2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</c:numCache>
            </c:numRef>
          </c:xVal>
          <c:yVal>
            <c:numRef>
              <c:f>'T3'!$AO$102:$AO$126</c:f>
              <c:numCache>
                <c:formatCode>0.0%</c:formatCode>
                <c:ptCount val="25"/>
                <c:pt idx="0">
                  <c:v>1</c:v>
                </c:pt>
                <c:pt idx="1">
                  <c:v>0.83333333333333304</c:v>
                </c:pt>
                <c:pt idx="2">
                  <c:v>0.83333333333333304</c:v>
                </c:pt>
                <c:pt idx="3">
                  <c:v>0.66666666666666696</c:v>
                </c:pt>
                <c:pt idx="4">
                  <c:v>0.66666666666666696</c:v>
                </c:pt>
                <c:pt idx="5">
                  <c:v>0.83333333333333304</c:v>
                </c:pt>
                <c:pt idx="6">
                  <c:v>0.83333333333333304</c:v>
                </c:pt>
                <c:pt idx="7">
                  <c:v>0.66666666666666696</c:v>
                </c:pt>
                <c:pt idx="8">
                  <c:v>1</c:v>
                </c:pt>
                <c:pt idx="9">
                  <c:v>0.66666666666666696</c:v>
                </c:pt>
                <c:pt idx="10">
                  <c:v>0.83333333333333304</c:v>
                </c:pt>
                <c:pt idx="11">
                  <c:v>0.83333333333333304</c:v>
                </c:pt>
                <c:pt idx="12">
                  <c:v>0.83333333333333304</c:v>
                </c:pt>
                <c:pt idx="13">
                  <c:v>1</c:v>
                </c:pt>
                <c:pt idx="14">
                  <c:v>0.83333333333333304</c:v>
                </c:pt>
                <c:pt idx="15">
                  <c:v>0.66666666666666696</c:v>
                </c:pt>
                <c:pt idx="16">
                  <c:v>0.66666666666666696</c:v>
                </c:pt>
                <c:pt idx="17">
                  <c:v>0.83333333333333304</c:v>
                </c:pt>
                <c:pt idx="18">
                  <c:v>0.83333333333333304</c:v>
                </c:pt>
                <c:pt idx="19">
                  <c:v>0.83333333333333304</c:v>
                </c:pt>
                <c:pt idx="20">
                  <c:v>0.83333333333333304</c:v>
                </c:pt>
                <c:pt idx="21">
                  <c:v>0.83333333333333304</c:v>
                </c:pt>
                <c:pt idx="22">
                  <c:v>0.83333333333333304</c:v>
                </c:pt>
                <c:pt idx="23">
                  <c:v>1</c:v>
                </c:pt>
                <c:pt idx="24">
                  <c:v>0.83333333333333304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023B-B743-80E6-A94463866771}"/>
            </c:ext>
          </c:extLst>
        </c:ser>
        <c:ser>
          <c:idx val="1"/>
          <c:order val="1"/>
          <c:tx>
            <c:strRef>
              <c:f>T0!$AY$1</c:f>
              <c:strCache>
                <c:ptCount val="1"/>
                <c:pt idx="0">
                  <c:v>Fund if DW detected</c:v>
                </c:pt>
              </c:strCache>
            </c:strRef>
          </c:tx>
          <c:spPr>
            <a:ln w="6350" cmpd="sng">
              <a:solidFill>
                <a:srgbClr val="002060"/>
              </a:solidFill>
            </a:ln>
            <a:effectLst/>
          </c:spPr>
          <c:marker>
            <c:symbol val="square"/>
            <c:size val="2"/>
            <c:spPr>
              <a:solidFill>
                <a:schemeClr val="bg1"/>
              </a:solidFill>
              <a:ln w="3175">
                <a:solidFill>
                  <a:srgbClr val="002060"/>
                </a:solidFill>
              </a:ln>
              <a:effectLst/>
            </c:spPr>
          </c:marker>
          <c:xVal>
            <c:numRef>
              <c:f>T0!$AU$2:$AU$26</c:f>
              <c:numCache>
                <c:formatCode>General</c:formatCode>
                <c:ptCount val="2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</c:numCache>
            </c:numRef>
          </c:xVal>
          <c:yVal>
            <c:numRef>
              <c:f>'T3'!$AP$27:$AP$51</c:f>
              <c:numCache>
                <c:formatCode>0.0%</c:formatCode>
                <c:ptCount val="25"/>
                <c:pt idx="0">
                  <c:v>0.33333333333333298</c:v>
                </c:pt>
                <c:pt idx="1">
                  <c:v>0.5</c:v>
                </c:pt>
                <c:pt idx="2">
                  <c:v>0.5</c:v>
                </c:pt>
                <c:pt idx="3">
                  <c:v>0.66666666666666696</c:v>
                </c:pt>
                <c:pt idx="4">
                  <c:v>0.33333333333333298</c:v>
                </c:pt>
                <c:pt idx="5">
                  <c:v>0.16666666666666699</c:v>
                </c:pt>
                <c:pt idx="6">
                  <c:v>0.16666666666666699</c:v>
                </c:pt>
                <c:pt idx="7">
                  <c:v>0</c:v>
                </c:pt>
                <c:pt idx="8">
                  <c:v>0</c:v>
                </c:pt>
                <c:pt idx="9">
                  <c:v>0.16666666666666699</c:v>
                </c:pt>
                <c:pt idx="10">
                  <c:v>0.16666666666666699</c:v>
                </c:pt>
                <c:pt idx="11">
                  <c:v>0.33333333333333298</c:v>
                </c:pt>
                <c:pt idx="12">
                  <c:v>0.16666666666666699</c:v>
                </c:pt>
                <c:pt idx="13">
                  <c:v>0.16666666666666699</c:v>
                </c:pt>
                <c:pt idx="14">
                  <c:v>0.16666666666666699</c:v>
                </c:pt>
                <c:pt idx="15">
                  <c:v>0.16666666666666699</c:v>
                </c:pt>
                <c:pt idx="16">
                  <c:v>0.16666666666666699</c:v>
                </c:pt>
                <c:pt idx="17">
                  <c:v>0.33333333333333298</c:v>
                </c:pt>
                <c:pt idx="18">
                  <c:v>0.33333333333333298</c:v>
                </c:pt>
                <c:pt idx="19">
                  <c:v>0.16666666666666699</c:v>
                </c:pt>
                <c:pt idx="20">
                  <c:v>0</c:v>
                </c:pt>
                <c:pt idx="21">
                  <c:v>0.16666666666666699</c:v>
                </c:pt>
                <c:pt idx="22">
                  <c:v>0.16666666666666699</c:v>
                </c:pt>
                <c:pt idx="23">
                  <c:v>0.16666666666666699</c:v>
                </c:pt>
                <c:pt idx="24">
                  <c:v>0.16666666666666699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023B-B743-80E6-A9446386677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-2095209592"/>
        <c:axId val="-2095201272"/>
      </c:scatterChart>
      <c:valAx>
        <c:axId val="-2095209592"/>
        <c:scaling>
          <c:orientation val="minMax"/>
          <c:max val="25"/>
          <c:min val="1"/>
        </c:scaling>
        <c:delete val="0"/>
        <c:axPos val="b"/>
        <c:title>
          <c:tx>
            <c:rich>
              <a:bodyPr/>
              <a:lstStyle/>
              <a:p>
                <a:pPr>
                  <a:defRPr sz="500" b="0"/>
                </a:pPr>
                <a:r>
                  <a:rPr lang="en-US" sz="5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rPr>
                  <a:t> </a:t>
                </a:r>
                <a:r>
                  <a:rPr lang="en-US" sz="500" b="0"/>
                  <a:t>Round</a:t>
                </a:r>
              </a:p>
            </c:rich>
          </c:tx>
          <c:layout>
            <c:manualLayout>
              <c:xMode val="edge"/>
              <c:yMode val="edge"/>
              <c:x val="0.40041885008276401"/>
              <c:y val="0.90604453870625601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6350"/>
        </c:spPr>
        <c:txPr>
          <a:bodyPr/>
          <a:lstStyle/>
          <a:p>
            <a:pPr>
              <a:defRPr sz="500"/>
            </a:pPr>
            <a:endParaRPr lang="en-US"/>
          </a:p>
        </c:txPr>
        <c:crossAx val="-2095201272"/>
        <c:crosses val="autoZero"/>
        <c:crossBetween val="midCat"/>
        <c:majorUnit val="24"/>
      </c:valAx>
      <c:valAx>
        <c:axId val="-2095201272"/>
        <c:scaling>
          <c:orientation val="minMax"/>
          <c:max val="1"/>
        </c:scaling>
        <c:delete val="0"/>
        <c:axPos val="l"/>
        <c:majorGridlines>
          <c:spPr>
            <a:ln w="6350"/>
          </c:spPr>
        </c:majorGridlines>
        <c:title>
          <c:tx>
            <c:rich>
              <a:bodyPr rot="-5400000" vert="horz"/>
              <a:lstStyle/>
              <a:p>
                <a:pPr>
                  <a:defRPr sz="500" b="0"/>
                </a:pPr>
                <a:r>
                  <a:rPr lang="en-US" sz="500" b="0" i="0" u="none" strike="noStrike" baseline="0">
                    <a:effectLst/>
                  </a:rPr>
                  <a:t>Borrow</a:t>
                </a:r>
                <a:r>
                  <a:rPr lang="en-US" sz="500" b="0" i="0" u="none" strike="noStrike" kern="1200" baseline="0">
                    <a:solidFill>
                      <a:sysClr val="windowText" lastClr="000000"/>
                    </a:solidFill>
                    <a:effectLst/>
                    <a:latin typeface="+mn-lt"/>
                    <a:ea typeface="+mn-ea"/>
                    <a:cs typeface="+mn-cs"/>
                  </a:rPr>
                  <a:t> </a:t>
                </a:r>
                <a:r>
                  <a:rPr lang="en-US" sz="500" b="0" i="0" u="none" strike="noStrike" baseline="0">
                    <a:effectLst/>
                  </a:rPr>
                  <a:t>at</a:t>
                </a:r>
                <a:r>
                  <a:rPr lang="en-US" sz="500" b="0" i="0" u="none" strike="noStrike" kern="1200" baseline="0">
                    <a:solidFill>
                      <a:sysClr val="windowText" lastClr="000000"/>
                    </a:solidFill>
                    <a:effectLst/>
                    <a:latin typeface="+mn-lt"/>
                    <a:ea typeface="+mn-ea"/>
                    <a:cs typeface="+mn-cs"/>
                  </a:rPr>
                  <a:t> </a:t>
                </a:r>
                <a:r>
                  <a:rPr lang="en-US" sz="500" b="0" i="0" u="none" strike="noStrike" baseline="0">
                    <a:effectLst/>
                  </a:rPr>
                  <a:t>DW</a:t>
                </a:r>
                <a:endParaRPr lang="en-US" sz="500" b="0"/>
              </a:p>
            </c:rich>
          </c:tx>
          <c:layout>
            <c:manualLayout>
              <c:xMode val="edge"/>
              <c:yMode val="edge"/>
              <c:x val="0"/>
              <c:y val="0.28127771144195501"/>
            </c:manualLayout>
          </c:layout>
          <c:overlay val="0"/>
        </c:title>
        <c:numFmt formatCode="0%" sourceLinked="0"/>
        <c:majorTickMark val="out"/>
        <c:minorTickMark val="none"/>
        <c:tickLblPos val="nextTo"/>
        <c:spPr>
          <a:ln w="6350"/>
        </c:spPr>
        <c:txPr>
          <a:bodyPr/>
          <a:lstStyle/>
          <a:p>
            <a:pPr>
              <a:defRPr sz="400"/>
            </a:pPr>
            <a:endParaRPr lang="en-US"/>
          </a:p>
        </c:txPr>
        <c:crossAx val="-2095209592"/>
        <c:crosses val="autoZero"/>
        <c:crossBetween val="midCat"/>
        <c:majorUnit val="1"/>
      </c:valAx>
      <c:spPr>
        <a:ln w="6350">
          <a:solidFill>
            <a:schemeClr val="bg1">
              <a:lumMod val="50000"/>
            </a:schemeClr>
          </a:solidFill>
        </a:ln>
      </c:spPr>
    </c:plotArea>
    <c:plotVisOnly val="1"/>
    <c:dispBlanksAs val="gap"/>
    <c:showDLblsOverMax val="0"/>
  </c:chart>
  <c:spPr>
    <a:ln w="6350"/>
    <a:effectLst/>
  </c:spPr>
  <c:externalData r:id="rId1">
    <c:autoUpdate val="0"/>
  </c:externalData>
</c:chartSpace>
</file>

<file path=word/charts/chart5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77894226636305"/>
          <c:y val="8.4180938446688003E-2"/>
          <c:w val="0.72024746906636705"/>
          <c:h val="0.78661083324287595"/>
        </c:manualLayout>
      </c:layout>
      <c:scatterChart>
        <c:scatterStyle val="smoothMarker"/>
        <c:varyColors val="0"/>
        <c:ser>
          <c:idx val="0"/>
          <c:order val="0"/>
          <c:tx>
            <c:strRef>
              <c:f>T0!$AX$1</c:f>
              <c:strCache>
                <c:ptCount val="1"/>
                <c:pt idx="0">
                  <c:v>Fund if DW not detected</c:v>
                </c:pt>
              </c:strCache>
            </c:strRef>
          </c:tx>
          <c:spPr>
            <a:ln w="6350">
              <a:solidFill>
                <a:srgbClr val="FF0000"/>
              </a:solidFill>
            </a:ln>
            <a:effectLst/>
          </c:spPr>
          <c:marker>
            <c:symbol val="circle"/>
            <c:size val="2"/>
            <c:spPr>
              <a:solidFill>
                <a:srgbClr val="FF0000"/>
              </a:solidFill>
              <a:ln w="6350">
                <a:solidFill>
                  <a:srgbClr val="FF0000"/>
                </a:solidFill>
              </a:ln>
              <a:effectLst/>
            </c:spPr>
          </c:marker>
          <c:xVal>
            <c:numRef>
              <c:f>T0!$AU$2:$AU$26</c:f>
              <c:numCache>
                <c:formatCode>General</c:formatCode>
                <c:ptCount val="2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</c:numCache>
            </c:numRef>
          </c:xVal>
          <c:yVal>
            <c:numRef>
              <c:f>'T3'!$AQ$127:$AQ$151</c:f>
              <c:numCache>
                <c:formatCode>0.0%</c:formatCode>
                <c:ptCount val="25"/>
                <c:pt idx="0">
                  <c:v>0</c:v>
                </c:pt>
                <c:pt idx="1">
                  <c:v>0.16666666666666699</c:v>
                </c:pt>
                <c:pt idx="2">
                  <c:v>0.5</c:v>
                </c:pt>
                <c:pt idx="3">
                  <c:v>0.5</c:v>
                </c:pt>
                <c:pt idx="4">
                  <c:v>0.66666666666666696</c:v>
                </c:pt>
                <c:pt idx="5">
                  <c:v>0.83333333333333304</c:v>
                </c:pt>
                <c:pt idx="6">
                  <c:v>1</c:v>
                </c:pt>
                <c:pt idx="7">
                  <c:v>0.83333333333333304</c:v>
                </c:pt>
                <c:pt idx="8">
                  <c:v>0.83333333333333304</c:v>
                </c:pt>
                <c:pt idx="9">
                  <c:v>0.83333333333333304</c:v>
                </c:pt>
                <c:pt idx="10">
                  <c:v>1</c:v>
                </c:pt>
                <c:pt idx="11">
                  <c:v>0.83333333333333304</c:v>
                </c:pt>
                <c:pt idx="12">
                  <c:v>0.83333333333333304</c:v>
                </c:pt>
                <c:pt idx="13">
                  <c:v>0.83333333333333304</c:v>
                </c:pt>
                <c:pt idx="14">
                  <c:v>1</c:v>
                </c:pt>
                <c:pt idx="15">
                  <c:v>1</c:v>
                </c:pt>
                <c:pt idx="16">
                  <c:v>0.5</c:v>
                </c:pt>
                <c:pt idx="17">
                  <c:v>0.66666666666666696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0.83333333333333304</c:v>
                </c:pt>
                <c:pt idx="23">
                  <c:v>1</c:v>
                </c:pt>
                <c:pt idx="24">
                  <c:v>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150D-3C44-9002-F79CAD8A5823}"/>
            </c:ext>
          </c:extLst>
        </c:ser>
        <c:ser>
          <c:idx val="1"/>
          <c:order val="1"/>
          <c:tx>
            <c:strRef>
              <c:f>T0!$AY$1</c:f>
              <c:strCache>
                <c:ptCount val="1"/>
                <c:pt idx="0">
                  <c:v>Fund if DW detected</c:v>
                </c:pt>
              </c:strCache>
            </c:strRef>
          </c:tx>
          <c:spPr>
            <a:ln w="6350" cmpd="sng">
              <a:solidFill>
                <a:srgbClr val="FF9300"/>
              </a:solidFill>
            </a:ln>
            <a:effectLst/>
          </c:spPr>
          <c:marker>
            <c:symbol val="circle"/>
            <c:size val="2"/>
            <c:spPr>
              <a:solidFill>
                <a:schemeClr val="bg1"/>
              </a:solidFill>
              <a:ln w="6350">
                <a:solidFill>
                  <a:srgbClr val="FF9300"/>
                </a:solidFill>
              </a:ln>
              <a:effectLst/>
            </c:spPr>
          </c:marker>
          <c:xVal>
            <c:numRef>
              <c:f>T0!$AU$2:$AU$26</c:f>
              <c:numCache>
                <c:formatCode>General</c:formatCode>
                <c:ptCount val="2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</c:numCache>
            </c:numRef>
          </c:xVal>
          <c:yVal>
            <c:numRef>
              <c:f>'T3'!$AR$127:$AR$151</c:f>
              <c:numCache>
                <c:formatCode>0.0%</c:formatCode>
                <c:ptCount val="25"/>
                <c:pt idx="0">
                  <c:v>0.5</c:v>
                </c:pt>
                <c:pt idx="1">
                  <c:v>0.5</c:v>
                </c:pt>
                <c:pt idx="2">
                  <c:v>0.66666666666666696</c:v>
                </c:pt>
                <c:pt idx="3">
                  <c:v>0.83333333333333304</c:v>
                </c:pt>
                <c:pt idx="4">
                  <c:v>0.5</c:v>
                </c:pt>
                <c:pt idx="5">
                  <c:v>0.83333333333333304</c:v>
                </c:pt>
                <c:pt idx="6">
                  <c:v>0.33333333333333298</c:v>
                </c:pt>
                <c:pt idx="7">
                  <c:v>0.66666666666666696</c:v>
                </c:pt>
                <c:pt idx="8">
                  <c:v>0.33333333333333298</c:v>
                </c:pt>
                <c:pt idx="9">
                  <c:v>0.5</c:v>
                </c:pt>
                <c:pt idx="10">
                  <c:v>0.33333333333333298</c:v>
                </c:pt>
                <c:pt idx="11">
                  <c:v>0.33333333333333298</c:v>
                </c:pt>
                <c:pt idx="12">
                  <c:v>0.33333333333333298</c:v>
                </c:pt>
                <c:pt idx="13">
                  <c:v>0.33333333333333298</c:v>
                </c:pt>
                <c:pt idx="14">
                  <c:v>0.33333333333333298</c:v>
                </c:pt>
                <c:pt idx="15">
                  <c:v>0.33333333333333298</c:v>
                </c:pt>
                <c:pt idx="16">
                  <c:v>0.33333333333333298</c:v>
                </c:pt>
                <c:pt idx="17">
                  <c:v>0.33333333333333298</c:v>
                </c:pt>
                <c:pt idx="18">
                  <c:v>0.16666666666666699</c:v>
                </c:pt>
                <c:pt idx="19">
                  <c:v>0.33333333333333298</c:v>
                </c:pt>
                <c:pt idx="20">
                  <c:v>0.33333333333333298</c:v>
                </c:pt>
                <c:pt idx="21">
                  <c:v>0.16666666666666699</c:v>
                </c:pt>
                <c:pt idx="22">
                  <c:v>0.16666666666666699</c:v>
                </c:pt>
                <c:pt idx="23">
                  <c:v>0.33333333333333298</c:v>
                </c:pt>
                <c:pt idx="24">
                  <c:v>0.16666666666666699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150D-3C44-9002-F79CAD8A582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-2095167336"/>
        <c:axId val="-2095159016"/>
      </c:scatterChart>
      <c:valAx>
        <c:axId val="-2095167336"/>
        <c:scaling>
          <c:orientation val="minMax"/>
          <c:max val="25"/>
          <c:min val="1"/>
        </c:scaling>
        <c:delete val="0"/>
        <c:axPos val="b"/>
        <c:title>
          <c:tx>
            <c:rich>
              <a:bodyPr/>
              <a:lstStyle/>
              <a:p>
                <a:pPr>
                  <a:defRPr sz="500" b="0"/>
                </a:pPr>
                <a:r>
                  <a:rPr lang="en-US" sz="5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rPr>
                  <a:t> </a:t>
                </a:r>
                <a:r>
                  <a:rPr lang="en-US" sz="500" b="0"/>
                  <a:t>Round</a:t>
                </a:r>
              </a:p>
            </c:rich>
          </c:tx>
          <c:layout>
            <c:manualLayout>
              <c:xMode val="edge"/>
              <c:yMode val="edge"/>
              <c:x val="0.40041885008276401"/>
              <c:y val="0.90604453870625601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6350"/>
        </c:spPr>
        <c:txPr>
          <a:bodyPr/>
          <a:lstStyle/>
          <a:p>
            <a:pPr>
              <a:defRPr sz="500"/>
            </a:pPr>
            <a:endParaRPr lang="en-US"/>
          </a:p>
        </c:txPr>
        <c:crossAx val="-2095159016"/>
        <c:crosses val="autoZero"/>
        <c:crossBetween val="midCat"/>
        <c:majorUnit val="24"/>
      </c:valAx>
      <c:valAx>
        <c:axId val="-2095159016"/>
        <c:scaling>
          <c:orientation val="minMax"/>
          <c:max val="1"/>
        </c:scaling>
        <c:delete val="0"/>
        <c:axPos val="l"/>
        <c:majorGridlines>
          <c:spPr>
            <a:ln w="6350"/>
          </c:spPr>
        </c:majorGridlines>
        <c:title>
          <c:tx>
            <c:rich>
              <a:bodyPr rot="-5400000" vert="horz"/>
              <a:lstStyle/>
              <a:p>
                <a:pPr>
                  <a:defRPr sz="500" b="0"/>
                </a:pPr>
                <a:r>
                  <a:rPr lang="en-US" sz="500" b="0" i="0" u="none" strike="noStrike" baseline="0">
                    <a:effectLst/>
                  </a:rPr>
                  <a:t>Fund</a:t>
                </a:r>
                <a:r>
                  <a:rPr lang="en-US" sz="500" b="0" i="0" u="none" strike="noStrike" kern="1200" baseline="0">
                    <a:solidFill>
                      <a:sysClr val="windowText" lastClr="000000"/>
                    </a:solidFill>
                    <a:effectLst/>
                    <a:latin typeface="+mn-lt"/>
                    <a:ea typeface="+mn-ea"/>
                    <a:cs typeface="+mn-cs"/>
                  </a:rPr>
                  <a:t> </a:t>
                </a:r>
                <a:r>
                  <a:rPr lang="en-US" sz="500" b="0" i="0" u="none" strike="noStrike" baseline="0">
                    <a:effectLst/>
                  </a:rPr>
                  <a:t>the</a:t>
                </a:r>
                <a:r>
                  <a:rPr lang="en-US" sz="500" b="0" i="0" u="none" strike="noStrike" kern="1200" baseline="0">
                    <a:solidFill>
                      <a:sysClr val="windowText" lastClr="000000"/>
                    </a:solidFill>
                    <a:effectLst/>
                    <a:latin typeface="+mn-lt"/>
                    <a:ea typeface="+mn-ea"/>
                    <a:cs typeface="+mn-cs"/>
                  </a:rPr>
                  <a:t> </a:t>
                </a:r>
                <a:r>
                  <a:rPr lang="en-US" sz="500" b="0" i="0" u="none" strike="noStrike" baseline="0">
                    <a:effectLst/>
                  </a:rPr>
                  <a:t>Bank</a:t>
                </a:r>
                <a:r>
                  <a:rPr lang="en-US" sz="500" b="0" i="0" u="none" strike="noStrike" kern="1200" baseline="0">
                    <a:solidFill>
                      <a:sysClr val="windowText" lastClr="000000"/>
                    </a:solidFill>
                    <a:effectLst/>
                    <a:latin typeface="+mn-lt"/>
                    <a:ea typeface="+mn-ea"/>
                    <a:cs typeface="+mn-cs"/>
                  </a:rPr>
                  <a:t> </a:t>
                </a:r>
                <a:endParaRPr lang="en-US" sz="500" b="0"/>
              </a:p>
            </c:rich>
          </c:tx>
          <c:layout>
            <c:manualLayout>
              <c:xMode val="edge"/>
              <c:yMode val="edge"/>
              <c:x val="0"/>
              <c:y val="0.28127771144195501"/>
            </c:manualLayout>
          </c:layout>
          <c:overlay val="0"/>
        </c:title>
        <c:numFmt formatCode="0%" sourceLinked="0"/>
        <c:majorTickMark val="out"/>
        <c:minorTickMark val="none"/>
        <c:tickLblPos val="nextTo"/>
        <c:spPr>
          <a:ln w="6350"/>
        </c:spPr>
        <c:txPr>
          <a:bodyPr/>
          <a:lstStyle/>
          <a:p>
            <a:pPr>
              <a:defRPr sz="400"/>
            </a:pPr>
            <a:endParaRPr lang="en-US"/>
          </a:p>
        </c:txPr>
        <c:crossAx val="-2095167336"/>
        <c:crosses val="autoZero"/>
        <c:crossBetween val="midCat"/>
        <c:majorUnit val="1"/>
      </c:valAx>
      <c:spPr>
        <a:ln w="6350">
          <a:solidFill>
            <a:schemeClr val="bg1">
              <a:lumMod val="50000"/>
            </a:schemeClr>
          </a:solidFill>
        </a:ln>
      </c:spPr>
    </c:plotArea>
    <c:plotVisOnly val="1"/>
    <c:dispBlanksAs val="gap"/>
    <c:showDLblsOverMax val="0"/>
  </c:chart>
  <c:spPr>
    <a:ln w="6350"/>
    <a:effectLst/>
  </c:spPr>
  <c:externalData r:id="rId1">
    <c:autoUpdate val="0"/>
  </c:externalData>
</c:chartSpace>
</file>

<file path=word/charts/chart5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77894226636305"/>
          <c:y val="8.4180938446688003E-2"/>
          <c:w val="0.72024746906636705"/>
          <c:h val="0.78661083324287595"/>
        </c:manualLayout>
      </c:layout>
      <c:scatterChart>
        <c:scatterStyle val="smoothMarker"/>
        <c:varyColors val="0"/>
        <c:ser>
          <c:idx val="0"/>
          <c:order val="0"/>
          <c:tx>
            <c:strRef>
              <c:f>T0!$AX$1</c:f>
              <c:strCache>
                <c:ptCount val="1"/>
                <c:pt idx="0">
                  <c:v>Fund if DW not detected</c:v>
                </c:pt>
              </c:strCache>
            </c:strRef>
          </c:tx>
          <c:spPr>
            <a:ln w="6350">
              <a:solidFill>
                <a:srgbClr val="00B0F0"/>
              </a:solidFill>
            </a:ln>
            <a:effectLst/>
          </c:spPr>
          <c:marker>
            <c:symbol val="square"/>
            <c:size val="2"/>
            <c:spPr>
              <a:solidFill>
                <a:srgbClr val="00B0F0"/>
              </a:solidFill>
              <a:ln w="6350">
                <a:noFill/>
              </a:ln>
              <a:effectLst/>
            </c:spPr>
          </c:marker>
          <c:xVal>
            <c:numRef>
              <c:f>T0!$AU$2:$AU$26</c:f>
              <c:numCache>
                <c:formatCode>General</c:formatCode>
                <c:ptCount val="2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</c:numCache>
            </c:numRef>
          </c:xVal>
          <c:yVal>
            <c:numRef>
              <c:f>'T3'!$AO$127:$AO$151</c:f>
              <c:numCache>
                <c:formatCode>0.0%</c:formatCode>
                <c:ptCount val="25"/>
                <c:pt idx="0">
                  <c:v>0.16666666666666699</c:v>
                </c:pt>
                <c:pt idx="1">
                  <c:v>0.33333333333333298</c:v>
                </c:pt>
                <c:pt idx="2">
                  <c:v>0.5</c:v>
                </c:pt>
                <c:pt idx="3">
                  <c:v>0.66666666666666696</c:v>
                </c:pt>
                <c:pt idx="4">
                  <c:v>0.83333333333333304</c:v>
                </c:pt>
                <c:pt idx="5">
                  <c:v>0.5</c:v>
                </c:pt>
                <c:pt idx="6">
                  <c:v>0.5</c:v>
                </c:pt>
                <c:pt idx="7">
                  <c:v>0.16666666666666699</c:v>
                </c:pt>
                <c:pt idx="8">
                  <c:v>0.33333333333333298</c:v>
                </c:pt>
                <c:pt idx="9">
                  <c:v>0.5</c:v>
                </c:pt>
                <c:pt idx="10">
                  <c:v>0.16666666666666699</c:v>
                </c:pt>
                <c:pt idx="11">
                  <c:v>0.16666666666666699</c:v>
                </c:pt>
                <c:pt idx="12">
                  <c:v>0.16666666666666699</c:v>
                </c:pt>
                <c:pt idx="13">
                  <c:v>0</c:v>
                </c:pt>
                <c:pt idx="14">
                  <c:v>0.16666666666666699</c:v>
                </c:pt>
                <c:pt idx="15">
                  <c:v>0.16666666666666699</c:v>
                </c:pt>
                <c:pt idx="16">
                  <c:v>0.16666666666666699</c:v>
                </c:pt>
                <c:pt idx="17">
                  <c:v>0.16666666666666699</c:v>
                </c:pt>
                <c:pt idx="18">
                  <c:v>0.16666666666666699</c:v>
                </c:pt>
                <c:pt idx="19">
                  <c:v>0.16666666666666699</c:v>
                </c:pt>
                <c:pt idx="20">
                  <c:v>0.16666666666666699</c:v>
                </c:pt>
                <c:pt idx="21">
                  <c:v>0.16666666666666699</c:v>
                </c:pt>
                <c:pt idx="22">
                  <c:v>0</c:v>
                </c:pt>
                <c:pt idx="23">
                  <c:v>0.16666666666666699</c:v>
                </c:pt>
                <c:pt idx="24">
                  <c:v>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8DD0-CD4E-B902-CA9817EDB94C}"/>
            </c:ext>
          </c:extLst>
        </c:ser>
        <c:ser>
          <c:idx val="1"/>
          <c:order val="1"/>
          <c:tx>
            <c:strRef>
              <c:f>T0!$AY$1</c:f>
              <c:strCache>
                <c:ptCount val="1"/>
                <c:pt idx="0">
                  <c:v>Fund if DW detected</c:v>
                </c:pt>
              </c:strCache>
            </c:strRef>
          </c:tx>
          <c:spPr>
            <a:ln w="6350" cmpd="sng">
              <a:solidFill>
                <a:srgbClr val="002060"/>
              </a:solidFill>
            </a:ln>
            <a:effectLst/>
          </c:spPr>
          <c:marker>
            <c:symbol val="square"/>
            <c:size val="2"/>
            <c:spPr>
              <a:solidFill>
                <a:schemeClr val="bg1"/>
              </a:solidFill>
              <a:ln w="3175">
                <a:solidFill>
                  <a:srgbClr val="002060"/>
                </a:solidFill>
              </a:ln>
              <a:effectLst/>
            </c:spPr>
          </c:marker>
          <c:xVal>
            <c:numRef>
              <c:f>T0!$AU$2:$AU$26</c:f>
              <c:numCache>
                <c:formatCode>General</c:formatCode>
                <c:ptCount val="2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</c:numCache>
            </c:numRef>
          </c:xVal>
          <c:yVal>
            <c:numRef>
              <c:f>'T3'!$AP$127:$AP$151</c:f>
              <c:numCache>
                <c:formatCode>0.0%</c:formatCode>
                <c:ptCount val="25"/>
                <c:pt idx="0">
                  <c:v>0.16666666666666699</c:v>
                </c:pt>
                <c:pt idx="1">
                  <c:v>0.33333333333333298</c:v>
                </c:pt>
                <c:pt idx="2">
                  <c:v>0.66666666666666696</c:v>
                </c:pt>
                <c:pt idx="3">
                  <c:v>0.83333333333333304</c:v>
                </c:pt>
                <c:pt idx="4">
                  <c:v>0.83333333333333304</c:v>
                </c:pt>
                <c:pt idx="5">
                  <c:v>0.83333333333333304</c:v>
                </c:pt>
                <c:pt idx="6">
                  <c:v>0.83333333333333304</c:v>
                </c:pt>
                <c:pt idx="7">
                  <c:v>0.66666666666666696</c:v>
                </c:pt>
                <c:pt idx="8">
                  <c:v>0.66666666666666696</c:v>
                </c:pt>
                <c:pt idx="9">
                  <c:v>0.66666666666666696</c:v>
                </c:pt>
                <c:pt idx="10">
                  <c:v>0.5</c:v>
                </c:pt>
                <c:pt idx="11">
                  <c:v>0.33333333333333298</c:v>
                </c:pt>
                <c:pt idx="12">
                  <c:v>0.5</c:v>
                </c:pt>
                <c:pt idx="13">
                  <c:v>0.33333333333333298</c:v>
                </c:pt>
                <c:pt idx="14">
                  <c:v>0.5</c:v>
                </c:pt>
                <c:pt idx="15">
                  <c:v>0.33333333333333298</c:v>
                </c:pt>
                <c:pt idx="16">
                  <c:v>0.33333333333333298</c:v>
                </c:pt>
                <c:pt idx="17">
                  <c:v>0.33333333333333298</c:v>
                </c:pt>
                <c:pt idx="18">
                  <c:v>0.33333333333333298</c:v>
                </c:pt>
                <c:pt idx="19">
                  <c:v>0.5</c:v>
                </c:pt>
                <c:pt idx="20">
                  <c:v>0.33333333333333298</c:v>
                </c:pt>
                <c:pt idx="21">
                  <c:v>0.16666666666666699</c:v>
                </c:pt>
                <c:pt idx="22">
                  <c:v>0.16666666666666699</c:v>
                </c:pt>
                <c:pt idx="23">
                  <c:v>0.33333333333333298</c:v>
                </c:pt>
                <c:pt idx="24">
                  <c:v>0.16666666666666699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8DD0-CD4E-B902-CA9817EDB94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-2095125864"/>
        <c:axId val="-2095117512"/>
      </c:scatterChart>
      <c:valAx>
        <c:axId val="-2095125864"/>
        <c:scaling>
          <c:orientation val="minMax"/>
          <c:max val="25"/>
          <c:min val="1"/>
        </c:scaling>
        <c:delete val="0"/>
        <c:axPos val="b"/>
        <c:title>
          <c:tx>
            <c:rich>
              <a:bodyPr/>
              <a:lstStyle/>
              <a:p>
                <a:pPr>
                  <a:defRPr sz="500" b="0"/>
                </a:pPr>
                <a:r>
                  <a:rPr lang="en-US" sz="5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rPr>
                  <a:t> </a:t>
                </a:r>
                <a:r>
                  <a:rPr lang="en-US" sz="500" b="0"/>
                  <a:t>Round</a:t>
                </a:r>
              </a:p>
            </c:rich>
          </c:tx>
          <c:layout>
            <c:manualLayout>
              <c:xMode val="edge"/>
              <c:yMode val="edge"/>
              <c:x val="0.40041885008276401"/>
              <c:y val="0.90604453870625601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6350"/>
        </c:spPr>
        <c:txPr>
          <a:bodyPr/>
          <a:lstStyle/>
          <a:p>
            <a:pPr>
              <a:defRPr sz="500"/>
            </a:pPr>
            <a:endParaRPr lang="en-US"/>
          </a:p>
        </c:txPr>
        <c:crossAx val="-2095117512"/>
        <c:crosses val="autoZero"/>
        <c:crossBetween val="midCat"/>
        <c:majorUnit val="24"/>
      </c:valAx>
      <c:valAx>
        <c:axId val="-2095117512"/>
        <c:scaling>
          <c:orientation val="minMax"/>
          <c:max val="1"/>
        </c:scaling>
        <c:delete val="0"/>
        <c:axPos val="l"/>
        <c:majorGridlines>
          <c:spPr>
            <a:ln w="6350"/>
          </c:spPr>
        </c:majorGridlines>
        <c:title>
          <c:tx>
            <c:rich>
              <a:bodyPr rot="-5400000" vert="horz"/>
              <a:lstStyle/>
              <a:p>
                <a:pPr>
                  <a:defRPr sz="500" b="0"/>
                </a:pPr>
                <a:r>
                  <a:rPr lang="en-US" sz="500" b="0" i="0" u="none" strike="noStrike" baseline="0">
                    <a:effectLst/>
                  </a:rPr>
                  <a:t>Borrow</a:t>
                </a:r>
                <a:r>
                  <a:rPr lang="en-US" sz="500" b="0" i="0" u="none" strike="noStrike" kern="1200" baseline="0">
                    <a:solidFill>
                      <a:sysClr val="windowText" lastClr="000000"/>
                    </a:solidFill>
                    <a:effectLst/>
                    <a:latin typeface="+mn-lt"/>
                    <a:ea typeface="+mn-ea"/>
                    <a:cs typeface="+mn-cs"/>
                  </a:rPr>
                  <a:t> </a:t>
                </a:r>
                <a:r>
                  <a:rPr lang="en-US" sz="500" b="0" i="0" u="none" strike="noStrike" baseline="0">
                    <a:effectLst/>
                  </a:rPr>
                  <a:t>at</a:t>
                </a:r>
                <a:r>
                  <a:rPr lang="en-US" sz="500" b="0" i="0" u="none" strike="noStrike" kern="1200" baseline="0">
                    <a:solidFill>
                      <a:sysClr val="windowText" lastClr="000000"/>
                    </a:solidFill>
                    <a:effectLst/>
                    <a:latin typeface="+mn-lt"/>
                    <a:ea typeface="+mn-ea"/>
                    <a:cs typeface="+mn-cs"/>
                  </a:rPr>
                  <a:t> </a:t>
                </a:r>
                <a:r>
                  <a:rPr lang="en-US" sz="500" b="0" i="0" u="none" strike="noStrike" baseline="0">
                    <a:effectLst/>
                  </a:rPr>
                  <a:t>DW</a:t>
                </a:r>
                <a:endParaRPr lang="en-US" sz="500" b="0"/>
              </a:p>
            </c:rich>
          </c:tx>
          <c:layout>
            <c:manualLayout>
              <c:xMode val="edge"/>
              <c:yMode val="edge"/>
              <c:x val="0"/>
              <c:y val="0.28127771144195501"/>
            </c:manualLayout>
          </c:layout>
          <c:overlay val="0"/>
        </c:title>
        <c:numFmt formatCode="0%" sourceLinked="0"/>
        <c:majorTickMark val="out"/>
        <c:minorTickMark val="none"/>
        <c:tickLblPos val="nextTo"/>
        <c:spPr>
          <a:ln w="6350"/>
        </c:spPr>
        <c:txPr>
          <a:bodyPr/>
          <a:lstStyle/>
          <a:p>
            <a:pPr>
              <a:defRPr sz="400"/>
            </a:pPr>
            <a:endParaRPr lang="en-US"/>
          </a:p>
        </c:txPr>
        <c:crossAx val="-2095125864"/>
        <c:crosses val="autoZero"/>
        <c:crossBetween val="midCat"/>
        <c:majorUnit val="1"/>
      </c:valAx>
      <c:spPr>
        <a:ln w="6350">
          <a:solidFill>
            <a:schemeClr val="bg1">
              <a:lumMod val="50000"/>
            </a:schemeClr>
          </a:solidFill>
        </a:ln>
      </c:spPr>
    </c:plotArea>
    <c:plotVisOnly val="1"/>
    <c:dispBlanksAs val="gap"/>
    <c:showDLblsOverMax val="0"/>
  </c:chart>
  <c:spPr>
    <a:ln w="6350"/>
    <a:effectLst/>
  </c:spPr>
  <c:externalData r:id="rId1">
    <c:autoUpdate val="1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 algn="ctr">
              <a:defRPr/>
            </a:pPr>
            <a:r>
              <a:rPr lang="en-US" sz="1000" b="0" baseline="0"/>
              <a:t>Banks</a:t>
            </a:r>
            <a:r>
              <a:rPr lang="en-US" sz="10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rPr>
              <a:t> </a:t>
            </a:r>
            <a:r>
              <a:rPr lang="en-US" sz="1000" b="0" baseline="0"/>
              <a:t>Behavior</a:t>
            </a:r>
            <a:r>
              <a:rPr lang="en-US" sz="10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rPr>
              <a:t> </a:t>
            </a:r>
            <a:endParaRPr lang="en-US" sz="1000" b="0" baseline="50000"/>
          </a:p>
        </c:rich>
      </c:tx>
      <c:layout>
        <c:manualLayout>
          <c:xMode val="edge"/>
          <c:yMode val="edge"/>
          <c:x val="0.34404906117504602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11745070327748"/>
          <c:y val="8.0491551459293403E-2"/>
          <c:w val="0.85077629719362002"/>
          <c:h val="0.74560155786978199"/>
        </c:manualLayout>
      </c:layout>
      <c:scatterChart>
        <c:scatterStyle val="smoothMarker"/>
        <c:varyColors val="0"/>
        <c:ser>
          <c:idx val="0"/>
          <c:order val="0"/>
          <c:tx>
            <c:strRef>
              <c:f>T0!$AV$1</c:f>
              <c:strCache>
                <c:ptCount val="1"/>
                <c:pt idx="0">
                  <c:v>Borrow if illiquid-solvent</c:v>
                </c:pt>
              </c:strCache>
            </c:strRef>
          </c:tx>
          <c:spPr>
            <a:ln w="12700">
              <a:solidFill>
                <a:srgbClr val="00B0F0"/>
              </a:solidFill>
            </a:ln>
            <a:effectLst/>
          </c:spPr>
          <c:marker>
            <c:symbol val="square"/>
            <c:size val="5"/>
            <c:spPr>
              <a:solidFill>
                <a:srgbClr val="00B0F0"/>
              </a:solidFill>
              <a:ln>
                <a:solidFill>
                  <a:srgbClr val="00B0F0"/>
                </a:solidFill>
              </a:ln>
              <a:effectLst/>
            </c:spPr>
          </c:marker>
          <c:xVal>
            <c:numRef>
              <c:f>T0!$AU$2:$AU$26</c:f>
              <c:numCache>
                <c:formatCode>General</c:formatCode>
                <c:ptCount val="2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</c:numCache>
            </c:numRef>
          </c:xVal>
          <c:yVal>
            <c:numRef>
              <c:f>'T2'!$AV$2:$AV$26</c:f>
              <c:numCache>
                <c:formatCode>0.0%</c:formatCode>
                <c:ptCount val="25"/>
                <c:pt idx="0">
                  <c:v>0.58333333333333304</c:v>
                </c:pt>
                <c:pt idx="1">
                  <c:v>0.52777777777777801</c:v>
                </c:pt>
                <c:pt idx="2">
                  <c:v>0.58333333333333304</c:v>
                </c:pt>
                <c:pt idx="3">
                  <c:v>0.61111111111111105</c:v>
                </c:pt>
                <c:pt idx="4">
                  <c:v>0.63888888888888895</c:v>
                </c:pt>
                <c:pt idx="5">
                  <c:v>0.52777777777777801</c:v>
                </c:pt>
                <c:pt idx="6">
                  <c:v>0.5</c:v>
                </c:pt>
                <c:pt idx="7">
                  <c:v>0.55555555555555602</c:v>
                </c:pt>
                <c:pt idx="8">
                  <c:v>0.5</c:v>
                </c:pt>
                <c:pt idx="9">
                  <c:v>0.61111111111111105</c:v>
                </c:pt>
                <c:pt idx="10">
                  <c:v>0.61111111111111105</c:v>
                </c:pt>
                <c:pt idx="11">
                  <c:v>0.63888888888888895</c:v>
                </c:pt>
                <c:pt idx="12">
                  <c:v>0.63888888888888895</c:v>
                </c:pt>
                <c:pt idx="13">
                  <c:v>0.69444444444444497</c:v>
                </c:pt>
                <c:pt idx="14">
                  <c:v>0.66666666666666696</c:v>
                </c:pt>
                <c:pt idx="15">
                  <c:v>0.75</c:v>
                </c:pt>
                <c:pt idx="16">
                  <c:v>0.80555555555555602</c:v>
                </c:pt>
                <c:pt idx="17">
                  <c:v>0.72222222222222199</c:v>
                </c:pt>
                <c:pt idx="18">
                  <c:v>0.69444444444444398</c:v>
                </c:pt>
                <c:pt idx="19">
                  <c:v>0.75</c:v>
                </c:pt>
                <c:pt idx="20">
                  <c:v>0.86111111111111105</c:v>
                </c:pt>
                <c:pt idx="21">
                  <c:v>0.69444444444444398</c:v>
                </c:pt>
                <c:pt idx="22">
                  <c:v>0.72222222222222199</c:v>
                </c:pt>
                <c:pt idx="23">
                  <c:v>0.80555555555555602</c:v>
                </c:pt>
                <c:pt idx="24">
                  <c:v>0.80555555555555602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3346-A849-9A5B-80B2AD48C51A}"/>
            </c:ext>
          </c:extLst>
        </c:ser>
        <c:ser>
          <c:idx val="1"/>
          <c:order val="1"/>
          <c:tx>
            <c:strRef>
              <c:f>T0!$AW$1</c:f>
              <c:strCache>
                <c:ptCount val="1"/>
                <c:pt idx="0">
                  <c:v>Borrow if illiquid-insolvent</c:v>
                </c:pt>
              </c:strCache>
            </c:strRef>
          </c:tx>
          <c:spPr>
            <a:ln w="9525" cmpd="sng">
              <a:solidFill>
                <a:srgbClr val="002060"/>
              </a:solidFill>
            </a:ln>
            <a:effectLst/>
          </c:spPr>
          <c:marker>
            <c:symbol val="square"/>
            <c:size val="5"/>
            <c:spPr>
              <a:solidFill>
                <a:schemeClr val="bg1"/>
              </a:solidFill>
              <a:ln w="12700">
                <a:solidFill>
                  <a:srgbClr val="002060"/>
                </a:solidFill>
              </a:ln>
              <a:effectLst/>
            </c:spPr>
          </c:marker>
          <c:xVal>
            <c:numRef>
              <c:f>T0!$AU$2:$AU$26</c:f>
              <c:numCache>
                <c:formatCode>General</c:formatCode>
                <c:ptCount val="2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</c:numCache>
            </c:numRef>
          </c:xVal>
          <c:yVal>
            <c:numRef>
              <c:f>'T2'!$AW$2:$AW$26</c:f>
              <c:numCache>
                <c:formatCode>0.0%</c:formatCode>
                <c:ptCount val="25"/>
                <c:pt idx="0">
                  <c:v>0.63888888888888895</c:v>
                </c:pt>
                <c:pt idx="1">
                  <c:v>0.52777777777777801</c:v>
                </c:pt>
                <c:pt idx="2">
                  <c:v>0.55555555555555602</c:v>
                </c:pt>
                <c:pt idx="3">
                  <c:v>0.61111111111111105</c:v>
                </c:pt>
                <c:pt idx="4">
                  <c:v>0.69444444444444497</c:v>
                </c:pt>
                <c:pt idx="5">
                  <c:v>0.55555555555555602</c:v>
                </c:pt>
                <c:pt idx="6">
                  <c:v>0.55555555555555602</c:v>
                </c:pt>
                <c:pt idx="7">
                  <c:v>0.55555555555555602</c:v>
                </c:pt>
                <c:pt idx="8">
                  <c:v>0.58333333333333304</c:v>
                </c:pt>
                <c:pt idx="9">
                  <c:v>0.52777777777777801</c:v>
                </c:pt>
                <c:pt idx="10">
                  <c:v>0.63888888888888895</c:v>
                </c:pt>
                <c:pt idx="11">
                  <c:v>0.63888888888888895</c:v>
                </c:pt>
                <c:pt idx="12">
                  <c:v>0.61111111111111105</c:v>
                </c:pt>
                <c:pt idx="13">
                  <c:v>0.69444444444444398</c:v>
                </c:pt>
                <c:pt idx="14">
                  <c:v>0.75</c:v>
                </c:pt>
                <c:pt idx="15">
                  <c:v>0.83333333333333304</c:v>
                </c:pt>
                <c:pt idx="16">
                  <c:v>0.80555555555555602</c:v>
                </c:pt>
                <c:pt idx="17">
                  <c:v>0.69444444444444398</c:v>
                </c:pt>
                <c:pt idx="18">
                  <c:v>0.72222222222222199</c:v>
                </c:pt>
                <c:pt idx="19">
                  <c:v>0.75</c:v>
                </c:pt>
                <c:pt idx="20">
                  <c:v>0.75</c:v>
                </c:pt>
                <c:pt idx="21">
                  <c:v>0.75</c:v>
                </c:pt>
                <c:pt idx="22">
                  <c:v>0.69444444444444497</c:v>
                </c:pt>
                <c:pt idx="23">
                  <c:v>0.75</c:v>
                </c:pt>
                <c:pt idx="24">
                  <c:v>0.66666666666666696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3346-A849-9A5B-80B2AD48C51A}"/>
            </c:ext>
          </c:extLst>
        </c:ser>
        <c:ser>
          <c:idx val="2"/>
          <c:order val="2"/>
          <c:tx>
            <c:strRef>
              <c:f>T0!$AV$1</c:f>
              <c:strCache>
                <c:ptCount val="1"/>
                <c:pt idx="0">
                  <c:v>Borrow if illiquid-solvent</c:v>
                </c:pt>
              </c:strCache>
            </c:strRef>
          </c:tx>
          <c:spPr>
            <a:ln w="15875">
              <a:solidFill>
                <a:srgbClr val="002060"/>
              </a:solidFill>
              <a:prstDash val="solid"/>
            </a:ln>
          </c:spPr>
          <c:marker>
            <c:symbol val="none"/>
          </c:marker>
          <c:xVal>
            <c:numRef>
              <c:f>T0!$BG$28:$BG$29</c:f>
              <c:numCache>
                <c:formatCode>General</c:formatCode>
                <c:ptCount val="2"/>
                <c:pt idx="0">
                  <c:v>1</c:v>
                </c:pt>
                <c:pt idx="1">
                  <c:v>25</c:v>
                </c:pt>
              </c:numCache>
            </c:numRef>
          </c:xVal>
          <c:yVal>
            <c:numRef>
              <c:f>T0!$BH$28:$BH$29</c:f>
              <c:numCache>
                <c:formatCode>General</c:formatCode>
                <c:ptCount val="2"/>
                <c:pt idx="0">
                  <c:v>1</c:v>
                </c:pt>
                <c:pt idx="1">
                  <c:v>1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2-3346-A849-9A5B-80B2AD48C51A}"/>
            </c:ext>
          </c:extLst>
        </c:ser>
        <c:ser>
          <c:idx val="4"/>
          <c:order val="3"/>
          <c:tx>
            <c:strRef>
              <c:f>T0!$AV$1</c:f>
              <c:strCache>
                <c:ptCount val="1"/>
                <c:pt idx="0">
                  <c:v>Borrow if illiquid-solvent</c:v>
                </c:pt>
              </c:strCache>
            </c:strRef>
          </c:tx>
          <c:spPr>
            <a:ln w="19050">
              <a:solidFill>
                <a:srgbClr val="00B0F0"/>
              </a:solidFill>
              <a:prstDash val="dash"/>
            </a:ln>
          </c:spPr>
          <c:marker>
            <c:symbol val="none"/>
          </c:marker>
          <c:xVal>
            <c:numRef>
              <c:f>T0!$BJ$28:$BJ$29</c:f>
              <c:numCache>
                <c:formatCode>General</c:formatCode>
                <c:ptCount val="2"/>
                <c:pt idx="0">
                  <c:v>1</c:v>
                </c:pt>
                <c:pt idx="1">
                  <c:v>25</c:v>
                </c:pt>
              </c:numCache>
            </c:numRef>
          </c:xVal>
          <c:yVal>
            <c:numRef>
              <c:f>T0!$BK$28:$BK$29</c:f>
              <c:numCache>
                <c:formatCode>General</c:formatCode>
                <c:ptCount val="2"/>
                <c:pt idx="0">
                  <c:v>1</c:v>
                </c:pt>
                <c:pt idx="1">
                  <c:v>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3-3346-A849-9A5B-80B2AD48C51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114937864"/>
        <c:axId val="2114037064"/>
      </c:scatterChart>
      <c:valAx>
        <c:axId val="2114937864"/>
        <c:scaling>
          <c:orientation val="minMax"/>
          <c:max val="25"/>
          <c:min val="1"/>
        </c:scaling>
        <c:delete val="0"/>
        <c:axPos val="b"/>
        <c:title>
          <c:tx>
            <c:rich>
              <a:bodyPr/>
              <a:lstStyle/>
              <a:p>
                <a:pPr>
                  <a:defRPr sz="800" b="0"/>
                </a:pPr>
                <a:r>
                  <a:rPr lang="en-US" sz="800" b="0"/>
                  <a:t>Round</a:t>
                </a:r>
              </a:p>
            </c:rich>
          </c:tx>
          <c:layout>
            <c:manualLayout>
              <c:xMode val="edge"/>
              <c:yMode val="edge"/>
              <c:x val="0.47010498687664098"/>
              <c:y val="0.870281757923557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6350"/>
        </c:spPr>
        <c:txPr>
          <a:bodyPr/>
          <a:lstStyle/>
          <a:p>
            <a:pPr>
              <a:defRPr sz="500"/>
            </a:pPr>
            <a:endParaRPr lang="en-US"/>
          </a:p>
        </c:txPr>
        <c:crossAx val="2114037064"/>
        <c:crosses val="autoZero"/>
        <c:crossBetween val="midCat"/>
        <c:majorUnit val="1"/>
      </c:valAx>
      <c:valAx>
        <c:axId val="2114037064"/>
        <c:scaling>
          <c:orientation val="minMax"/>
          <c:max val="1"/>
          <c:min val="0"/>
        </c:scaling>
        <c:delete val="0"/>
        <c:axPos val="l"/>
        <c:majorGridlines>
          <c:spPr>
            <a:ln w="6350"/>
          </c:spPr>
        </c:majorGridlines>
        <c:title>
          <c:tx>
            <c:rich>
              <a:bodyPr rot="-5400000" vert="horz"/>
              <a:lstStyle/>
              <a:p>
                <a:pPr>
                  <a:defRPr sz="800" b="0"/>
                </a:pPr>
                <a:r>
                  <a:rPr lang="en-US" sz="800" b="0" i="0" u="none" strike="noStrike" baseline="0">
                    <a:effectLst/>
                  </a:rPr>
                  <a:t>Percent</a:t>
                </a:r>
                <a:r>
                  <a:rPr lang="en-US" sz="800" b="0" i="0" u="none" strike="noStrike" kern="1200" baseline="0">
                    <a:solidFill>
                      <a:sysClr val="windowText" lastClr="000000"/>
                    </a:solidFill>
                    <a:effectLst/>
                    <a:latin typeface="+mn-lt"/>
                    <a:ea typeface="+mn-ea"/>
                    <a:cs typeface="+mn-cs"/>
                  </a:rPr>
                  <a:t> </a:t>
                </a:r>
                <a:r>
                  <a:rPr lang="en-US" sz="800" b="0" i="0" u="none" strike="noStrike" baseline="0">
                    <a:effectLst/>
                  </a:rPr>
                  <a:t>of</a:t>
                </a:r>
                <a:r>
                  <a:rPr lang="en-US" sz="800" b="0" i="0" u="none" strike="noStrike" kern="1200" baseline="0">
                    <a:solidFill>
                      <a:sysClr val="windowText" lastClr="000000"/>
                    </a:solidFill>
                    <a:effectLst/>
                    <a:latin typeface="+mn-lt"/>
                    <a:ea typeface="+mn-ea"/>
                    <a:cs typeface="+mn-cs"/>
                  </a:rPr>
                  <a:t> </a:t>
                </a:r>
                <a:r>
                  <a:rPr lang="en-US" sz="800" b="0" i="0" u="none" strike="noStrike" baseline="0">
                    <a:effectLst/>
                  </a:rPr>
                  <a:t>Banks</a:t>
                </a:r>
                <a:r>
                  <a:rPr lang="en-US" sz="800" b="0" i="0" u="none" strike="noStrike" kern="1200" baseline="0">
                    <a:solidFill>
                      <a:sysClr val="windowText" lastClr="000000"/>
                    </a:solidFill>
                    <a:effectLst/>
                    <a:latin typeface="+mn-lt"/>
                    <a:ea typeface="+mn-ea"/>
                    <a:cs typeface="+mn-cs"/>
                  </a:rPr>
                  <a:t> </a:t>
                </a:r>
                <a:r>
                  <a:rPr lang="en-US" sz="800" b="0" i="0" u="none" strike="noStrike" baseline="0">
                    <a:effectLst/>
                  </a:rPr>
                  <a:t>that</a:t>
                </a:r>
                <a:r>
                  <a:rPr lang="en-US" sz="800" b="0" i="0" u="none" strike="noStrike" kern="1200" baseline="0">
                    <a:solidFill>
                      <a:sysClr val="windowText" lastClr="000000"/>
                    </a:solidFill>
                    <a:effectLst/>
                    <a:latin typeface="+mn-lt"/>
                    <a:ea typeface="+mn-ea"/>
                    <a:cs typeface="+mn-cs"/>
                  </a:rPr>
                  <a:t> </a:t>
                </a:r>
                <a:r>
                  <a:rPr lang="en-US" sz="800" b="0" i="0" u="none" strike="noStrike" baseline="0">
                    <a:effectLst/>
                  </a:rPr>
                  <a:t>Borrow</a:t>
                </a:r>
                <a:r>
                  <a:rPr lang="en-US" sz="800" b="0" i="0" u="none" strike="noStrike" kern="1200" baseline="0">
                    <a:solidFill>
                      <a:sysClr val="windowText" lastClr="000000"/>
                    </a:solidFill>
                    <a:effectLst/>
                    <a:latin typeface="+mn-lt"/>
                    <a:ea typeface="+mn-ea"/>
                    <a:cs typeface="+mn-cs"/>
                  </a:rPr>
                  <a:t> </a:t>
                </a:r>
                <a:r>
                  <a:rPr lang="en-US" sz="800" b="0" i="0" u="none" strike="noStrike" baseline="0">
                    <a:effectLst/>
                  </a:rPr>
                  <a:t>at</a:t>
                </a:r>
                <a:r>
                  <a:rPr lang="en-US" sz="800" b="0" i="0" u="none" strike="noStrike" kern="1200" baseline="0">
                    <a:solidFill>
                      <a:sysClr val="windowText" lastClr="000000"/>
                    </a:solidFill>
                    <a:effectLst/>
                    <a:latin typeface="+mn-lt"/>
                    <a:ea typeface="+mn-ea"/>
                    <a:cs typeface="+mn-cs"/>
                  </a:rPr>
                  <a:t> </a:t>
                </a:r>
                <a:r>
                  <a:rPr lang="en-US" sz="800" b="0" i="0" u="none" strike="noStrike" baseline="0">
                    <a:effectLst/>
                  </a:rPr>
                  <a:t>DW</a:t>
                </a:r>
                <a:r>
                  <a:rPr lang="en-US" sz="800" b="0" i="0" u="none" strike="noStrike" kern="1200" baseline="0">
                    <a:solidFill>
                      <a:sysClr val="windowText" lastClr="000000"/>
                    </a:solidFill>
                    <a:effectLst/>
                    <a:latin typeface="+mn-lt"/>
                    <a:ea typeface="+mn-ea"/>
                    <a:cs typeface="+mn-cs"/>
                  </a:rPr>
                  <a:t> </a:t>
                </a:r>
                <a:endParaRPr lang="en-US" sz="800" b="0"/>
              </a:p>
            </c:rich>
          </c:tx>
          <c:layout>
            <c:manualLayout>
              <c:xMode val="edge"/>
              <c:yMode val="edge"/>
              <c:x val="0"/>
              <c:y val="0.126531288852051"/>
            </c:manualLayout>
          </c:layout>
          <c:overlay val="0"/>
        </c:title>
        <c:numFmt formatCode="0%" sourceLinked="0"/>
        <c:majorTickMark val="out"/>
        <c:minorTickMark val="none"/>
        <c:tickLblPos val="nextTo"/>
        <c:spPr>
          <a:ln w="6350"/>
        </c:spPr>
        <c:txPr>
          <a:bodyPr/>
          <a:lstStyle/>
          <a:p>
            <a:pPr>
              <a:defRPr sz="500"/>
            </a:pPr>
            <a:endParaRPr lang="en-US"/>
          </a:p>
        </c:txPr>
        <c:crossAx val="2114937864"/>
        <c:crosses val="autoZero"/>
        <c:crossBetween val="midCat"/>
        <c:majorUnit val="0.1"/>
      </c:valAx>
      <c:spPr>
        <a:ln w="6350">
          <a:solidFill>
            <a:schemeClr val="bg1">
              <a:lumMod val="50000"/>
            </a:schemeClr>
          </a:solidFill>
        </a:ln>
      </c:spPr>
    </c:plotArea>
    <c:legend>
      <c:legendPos val="b"/>
      <c:legendEntry>
        <c:idx val="2"/>
        <c:delete val="1"/>
      </c:legendEntry>
      <c:legendEntry>
        <c:idx val="3"/>
        <c:delete val="1"/>
      </c:legendEntry>
      <c:layout>
        <c:manualLayout>
          <c:xMode val="edge"/>
          <c:yMode val="edge"/>
          <c:x val="0"/>
          <c:y val="0.93273219879773095"/>
          <c:w val="1"/>
          <c:h val="6.1415282934192801E-2"/>
        </c:manualLayout>
      </c:layout>
      <c:overlay val="0"/>
      <c:txPr>
        <a:bodyPr/>
        <a:lstStyle/>
        <a:p>
          <a:pPr>
            <a:defRPr sz="800"/>
          </a:pPr>
          <a:endParaRPr lang="en-US"/>
        </a:p>
      </c:txPr>
    </c:legend>
    <c:plotVisOnly val="1"/>
    <c:dispBlanksAs val="gap"/>
    <c:showDLblsOverMax val="0"/>
  </c:chart>
  <c:spPr>
    <a:ln w="6350"/>
    <a:effectLst/>
  </c:spPr>
  <c:externalData r:id="rId1">
    <c:autoUpdate val="0"/>
  </c:externalData>
  <c:userShapes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 algn="ctr">
              <a:defRPr/>
            </a:pPr>
            <a:r>
              <a:rPr lang="en-US" sz="1000" b="0" i="0" baseline="0">
                <a:effectLst/>
              </a:rPr>
              <a:t>Investors</a:t>
            </a:r>
            <a:r>
              <a:rPr lang="en-US" sz="1000" b="0" i="0" u="none" strike="noStrike" kern="1200" baseline="0">
                <a:solidFill>
                  <a:sysClr val="windowText" lastClr="000000"/>
                </a:solidFill>
                <a:effectLst/>
                <a:latin typeface="+mn-lt"/>
                <a:ea typeface="+mn-ea"/>
                <a:cs typeface="+mn-cs"/>
              </a:rPr>
              <a:t> </a:t>
            </a:r>
            <a:r>
              <a:rPr lang="en-US" sz="1000" b="0" i="0" baseline="0">
                <a:effectLst/>
              </a:rPr>
              <a:t>Behavior</a:t>
            </a:r>
            <a:r>
              <a:rPr lang="en-US" sz="1000" b="0" i="0" u="none" strike="noStrike" kern="1200" baseline="0">
                <a:solidFill>
                  <a:sysClr val="windowText" lastClr="000000"/>
                </a:solidFill>
                <a:effectLst/>
                <a:latin typeface="+mn-lt"/>
                <a:ea typeface="+mn-ea"/>
                <a:cs typeface="+mn-cs"/>
              </a:rPr>
              <a:t> </a:t>
            </a:r>
            <a:endParaRPr lang="en-US" sz="1000" baseline="50000"/>
          </a:p>
        </c:rich>
      </c:tx>
      <c:layout>
        <c:manualLayout>
          <c:xMode val="edge"/>
          <c:yMode val="edge"/>
          <c:x val="0.31832256544854998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24352917423784"/>
          <c:y val="8.4180748250329201E-2"/>
          <c:w val="0.83816845009758401"/>
          <c:h val="0.74132326435446205"/>
        </c:manualLayout>
      </c:layout>
      <c:scatterChart>
        <c:scatterStyle val="smoothMarker"/>
        <c:varyColors val="0"/>
        <c:ser>
          <c:idx val="0"/>
          <c:order val="0"/>
          <c:tx>
            <c:strRef>
              <c:f>T0!$AX$1</c:f>
              <c:strCache>
                <c:ptCount val="1"/>
                <c:pt idx="0">
                  <c:v>Fund if DW not detected</c:v>
                </c:pt>
              </c:strCache>
            </c:strRef>
          </c:tx>
          <c:spPr>
            <a:ln w="12700">
              <a:solidFill>
                <a:srgbClr val="FF0000"/>
              </a:solidFill>
            </a:ln>
            <a:effectLst/>
          </c:spPr>
          <c:marker>
            <c:symbol val="circle"/>
            <c:size val="5"/>
            <c:spPr>
              <a:solidFill>
                <a:srgbClr val="FF0000"/>
              </a:solidFill>
              <a:ln>
                <a:solidFill>
                  <a:srgbClr val="FF0000"/>
                </a:solidFill>
              </a:ln>
              <a:effectLst/>
            </c:spPr>
          </c:marker>
          <c:xVal>
            <c:numRef>
              <c:f>T0!$AU$2:$AU$26</c:f>
              <c:numCache>
                <c:formatCode>General</c:formatCode>
                <c:ptCount val="2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</c:numCache>
            </c:numRef>
          </c:xVal>
          <c:yVal>
            <c:numRef>
              <c:f>'T3'!$AX$2:$AX$26</c:f>
              <c:numCache>
                <c:formatCode>0.0%</c:formatCode>
                <c:ptCount val="25"/>
                <c:pt idx="0">
                  <c:v>0.52777777777777801</c:v>
                </c:pt>
                <c:pt idx="1">
                  <c:v>0.52777777777777801</c:v>
                </c:pt>
                <c:pt idx="2">
                  <c:v>0.52777777777777801</c:v>
                </c:pt>
                <c:pt idx="3">
                  <c:v>0.63888888888888895</c:v>
                </c:pt>
                <c:pt idx="4">
                  <c:v>0.58333333333333304</c:v>
                </c:pt>
                <c:pt idx="5">
                  <c:v>0.75</c:v>
                </c:pt>
                <c:pt idx="6">
                  <c:v>0.75</c:v>
                </c:pt>
                <c:pt idx="7">
                  <c:v>0.72222222222222199</c:v>
                </c:pt>
                <c:pt idx="8">
                  <c:v>0.69444444444444497</c:v>
                </c:pt>
                <c:pt idx="9">
                  <c:v>0.75</c:v>
                </c:pt>
                <c:pt idx="10">
                  <c:v>0.75</c:v>
                </c:pt>
                <c:pt idx="11">
                  <c:v>0.72222222222222199</c:v>
                </c:pt>
                <c:pt idx="12">
                  <c:v>0.83333333333333304</c:v>
                </c:pt>
                <c:pt idx="13">
                  <c:v>0.72222222222222199</c:v>
                </c:pt>
                <c:pt idx="14">
                  <c:v>0.86111111111111105</c:v>
                </c:pt>
                <c:pt idx="15">
                  <c:v>0.72222222222222199</c:v>
                </c:pt>
                <c:pt idx="16">
                  <c:v>0.75</c:v>
                </c:pt>
                <c:pt idx="17">
                  <c:v>0.72222222222222199</c:v>
                </c:pt>
                <c:pt idx="18">
                  <c:v>0.80555555555555602</c:v>
                </c:pt>
                <c:pt idx="19">
                  <c:v>0.80555555555555602</c:v>
                </c:pt>
                <c:pt idx="20">
                  <c:v>0.83333333333333304</c:v>
                </c:pt>
                <c:pt idx="21">
                  <c:v>0.86111111111111105</c:v>
                </c:pt>
                <c:pt idx="22">
                  <c:v>0.83333333333333304</c:v>
                </c:pt>
                <c:pt idx="23">
                  <c:v>0.83333333333333304</c:v>
                </c:pt>
                <c:pt idx="24">
                  <c:v>0.88888888888888895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0AF2-B447-94A8-A05D8460220C}"/>
            </c:ext>
          </c:extLst>
        </c:ser>
        <c:ser>
          <c:idx val="1"/>
          <c:order val="1"/>
          <c:tx>
            <c:strRef>
              <c:f>T0!$AY$1</c:f>
              <c:strCache>
                <c:ptCount val="1"/>
                <c:pt idx="0">
                  <c:v>Fund if DW detected</c:v>
                </c:pt>
              </c:strCache>
            </c:strRef>
          </c:tx>
          <c:spPr>
            <a:ln w="12700" cmpd="sng">
              <a:solidFill>
                <a:srgbClr val="FF9300"/>
              </a:solidFill>
            </a:ln>
            <a:effectLst/>
          </c:spPr>
          <c:marker>
            <c:symbol val="circle"/>
            <c:size val="5"/>
            <c:spPr>
              <a:solidFill>
                <a:schemeClr val="bg1"/>
              </a:solidFill>
              <a:ln w="12700">
                <a:solidFill>
                  <a:srgbClr val="FF9300"/>
                </a:solidFill>
              </a:ln>
              <a:effectLst/>
            </c:spPr>
          </c:marker>
          <c:xVal>
            <c:numRef>
              <c:f>T0!$AU$2:$AU$26</c:f>
              <c:numCache>
                <c:formatCode>General</c:formatCode>
                <c:ptCount val="2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</c:numCache>
            </c:numRef>
          </c:xVal>
          <c:yVal>
            <c:numRef>
              <c:f>'T3'!$AY$2:$AY$26</c:f>
              <c:numCache>
                <c:formatCode>0.0%</c:formatCode>
                <c:ptCount val="25"/>
                <c:pt idx="0">
                  <c:v>0.58333333333333304</c:v>
                </c:pt>
                <c:pt idx="1">
                  <c:v>0.47222222222222199</c:v>
                </c:pt>
                <c:pt idx="2">
                  <c:v>0.36111111111111099</c:v>
                </c:pt>
                <c:pt idx="3">
                  <c:v>0.33333333333333298</c:v>
                </c:pt>
                <c:pt idx="4">
                  <c:v>0.25</c:v>
                </c:pt>
                <c:pt idx="5">
                  <c:v>0.30555555555555503</c:v>
                </c:pt>
                <c:pt idx="6">
                  <c:v>0.16666666666666699</c:v>
                </c:pt>
                <c:pt idx="7">
                  <c:v>0.194444444444444</c:v>
                </c:pt>
                <c:pt idx="8">
                  <c:v>0.194444444444444</c:v>
                </c:pt>
                <c:pt idx="9">
                  <c:v>0.25</c:v>
                </c:pt>
                <c:pt idx="10">
                  <c:v>0.16666666666666699</c:v>
                </c:pt>
                <c:pt idx="11">
                  <c:v>0.13888888888888901</c:v>
                </c:pt>
                <c:pt idx="12">
                  <c:v>0.16666666666666699</c:v>
                </c:pt>
                <c:pt idx="13">
                  <c:v>0.22222222222222199</c:v>
                </c:pt>
                <c:pt idx="14">
                  <c:v>0.22222222222222199</c:v>
                </c:pt>
                <c:pt idx="15">
                  <c:v>0.13888888888888901</c:v>
                </c:pt>
                <c:pt idx="16">
                  <c:v>0.11111111111111099</c:v>
                </c:pt>
                <c:pt idx="17">
                  <c:v>0.13888888888888901</c:v>
                </c:pt>
                <c:pt idx="18">
                  <c:v>0.11111111111111099</c:v>
                </c:pt>
                <c:pt idx="19">
                  <c:v>0.16666666666666699</c:v>
                </c:pt>
                <c:pt idx="20">
                  <c:v>0.13888888888888901</c:v>
                </c:pt>
                <c:pt idx="21">
                  <c:v>0.13888888888888901</c:v>
                </c:pt>
                <c:pt idx="22">
                  <c:v>0.11111111111111099</c:v>
                </c:pt>
                <c:pt idx="23">
                  <c:v>0.13888888888888901</c:v>
                </c:pt>
                <c:pt idx="24">
                  <c:v>0.194444444444444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0AF2-B447-94A8-A05D8460220C}"/>
            </c:ext>
          </c:extLst>
        </c:ser>
        <c:ser>
          <c:idx val="2"/>
          <c:order val="2"/>
          <c:tx>
            <c:strRef>
              <c:f>T0!$AX$1</c:f>
              <c:strCache>
                <c:ptCount val="1"/>
                <c:pt idx="0">
                  <c:v>Fund if DW not detected</c:v>
                </c:pt>
              </c:strCache>
            </c:strRef>
          </c:tx>
          <c:spPr>
            <a:ln w="15875">
              <a:solidFill>
                <a:srgbClr val="FF0000"/>
              </a:solidFill>
            </a:ln>
          </c:spPr>
          <c:marker>
            <c:symbol val="none"/>
          </c:marker>
          <c:xVal>
            <c:numRef>
              <c:f>T0!$BG$28:$BG$29</c:f>
              <c:numCache>
                <c:formatCode>General</c:formatCode>
                <c:ptCount val="2"/>
                <c:pt idx="0">
                  <c:v>1</c:v>
                </c:pt>
                <c:pt idx="1">
                  <c:v>25</c:v>
                </c:pt>
              </c:numCache>
            </c:numRef>
          </c:xVal>
          <c:yVal>
            <c:numRef>
              <c:f>T0!$BH$28:$BH$29</c:f>
              <c:numCache>
                <c:formatCode>General</c:formatCode>
                <c:ptCount val="2"/>
                <c:pt idx="0">
                  <c:v>1</c:v>
                </c:pt>
                <c:pt idx="1">
                  <c:v>1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2-0AF2-B447-94A8-A05D8460220C}"/>
            </c:ext>
          </c:extLst>
        </c:ser>
        <c:ser>
          <c:idx val="3"/>
          <c:order val="3"/>
          <c:tx>
            <c:strRef>
              <c:f>T0!$AY$1</c:f>
              <c:strCache>
                <c:ptCount val="1"/>
                <c:pt idx="0">
                  <c:v>Fund if DW detected</c:v>
                </c:pt>
              </c:strCache>
            </c:strRef>
          </c:tx>
          <c:spPr>
            <a:ln w="15875">
              <a:solidFill>
                <a:srgbClr val="FF9300"/>
              </a:solidFill>
            </a:ln>
          </c:spPr>
          <c:marker>
            <c:symbol val="none"/>
          </c:marker>
          <c:xVal>
            <c:numRef>
              <c:f>T0!$BG$31:$BG$32</c:f>
              <c:numCache>
                <c:formatCode>General</c:formatCode>
                <c:ptCount val="2"/>
                <c:pt idx="0">
                  <c:v>1</c:v>
                </c:pt>
                <c:pt idx="1">
                  <c:v>25</c:v>
                </c:pt>
              </c:numCache>
            </c:numRef>
          </c:xVal>
          <c:yVal>
            <c:numRef>
              <c:f>T0!$BH$31:$BH$32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3-0AF2-B447-94A8-A05D8460220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-2096270952"/>
        <c:axId val="-2096609000"/>
      </c:scatterChart>
      <c:valAx>
        <c:axId val="-2096270952"/>
        <c:scaling>
          <c:orientation val="minMax"/>
          <c:max val="25"/>
          <c:min val="1"/>
        </c:scaling>
        <c:delete val="0"/>
        <c:axPos val="b"/>
        <c:title>
          <c:tx>
            <c:rich>
              <a:bodyPr/>
              <a:lstStyle/>
              <a:p>
                <a:pPr>
                  <a:defRPr sz="800" b="0"/>
                </a:pPr>
                <a:r>
                  <a:rPr lang="en-US" sz="800" b="0"/>
                  <a:t>Round</a:t>
                </a:r>
              </a:p>
            </c:rich>
          </c:tx>
          <c:layout>
            <c:manualLayout>
              <c:xMode val="edge"/>
              <c:yMode val="edge"/>
              <c:x val="0.47010498687664098"/>
              <c:y val="0.86981096791905499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6350"/>
        </c:spPr>
        <c:txPr>
          <a:bodyPr/>
          <a:lstStyle/>
          <a:p>
            <a:pPr>
              <a:defRPr sz="500"/>
            </a:pPr>
            <a:endParaRPr lang="en-US"/>
          </a:p>
        </c:txPr>
        <c:crossAx val="-2096609000"/>
        <c:crosses val="autoZero"/>
        <c:crossBetween val="midCat"/>
        <c:majorUnit val="1"/>
      </c:valAx>
      <c:valAx>
        <c:axId val="-2096609000"/>
        <c:scaling>
          <c:orientation val="minMax"/>
          <c:max val="1"/>
        </c:scaling>
        <c:delete val="0"/>
        <c:axPos val="l"/>
        <c:majorGridlines>
          <c:spPr>
            <a:ln w="6350"/>
          </c:spPr>
        </c:majorGridlines>
        <c:title>
          <c:tx>
            <c:rich>
              <a:bodyPr rot="-5400000" vert="horz"/>
              <a:lstStyle/>
              <a:p>
                <a:pPr>
                  <a:defRPr sz="800" b="0"/>
                </a:pPr>
                <a:r>
                  <a:rPr lang="en-US" sz="800" b="0" i="0" u="none" strike="noStrike" baseline="0">
                    <a:effectLst/>
                  </a:rPr>
                  <a:t>Percent</a:t>
                </a:r>
                <a:r>
                  <a:rPr lang="en-US" sz="800" b="0" i="0" u="none" strike="noStrike" kern="1200" baseline="0">
                    <a:solidFill>
                      <a:sysClr val="windowText" lastClr="000000"/>
                    </a:solidFill>
                    <a:effectLst/>
                    <a:latin typeface="+mn-lt"/>
                    <a:ea typeface="+mn-ea"/>
                    <a:cs typeface="+mn-cs"/>
                  </a:rPr>
                  <a:t> </a:t>
                </a:r>
                <a:r>
                  <a:rPr lang="en-US" sz="800" b="0" i="0" u="none" strike="noStrike" baseline="0">
                    <a:effectLst/>
                  </a:rPr>
                  <a:t>of</a:t>
                </a:r>
                <a:r>
                  <a:rPr lang="en-US" sz="800" b="0" i="0" u="none" strike="noStrike" kern="1200" baseline="0">
                    <a:solidFill>
                      <a:sysClr val="windowText" lastClr="000000"/>
                    </a:solidFill>
                    <a:effectLst/>
                    <a:latin typeface="+mn-lt"/>
                    <a:ea typeface="+mn-ea"/>
                    <a:cs typeface="+mn-cs"/>
                  </a:rPr>
                  <a:t> </a:t>
                </a:r>
                <a:r>
                  <a:rPr lang="en-US" sz="800" b="0" i="0" u="none" strike="noStrike" baseline="0">
                    <a:effectLst/>
                  </a:rPr>
                  <a:t>Investors</a:t>
                </a:r>
                <a:r>
                  <a:rPr lang="en-US" sz="800" b="0" i="0" u="none" strike="noStrike" kern="1200" baseline="0">
                    <a:solidFill>
                      <a:sysClr val="windowText" lastClr="000000"/>
                    </a:solidFill>
                    <a:effectLst/>
                    <a:latin typeface="+mn-lt"/>
                    <a:ea typeface="+mn-ea"/>
                    <a:cs typeface="+mn-cs"/>
                  </a:rPr>
                  <a:t> </a:t>
                </a:r>
                <a:r>
                  <a:rPr lang="en-US" sz="800" b="0" i="0" u="none" strike="noStrike" baseline="0">
                    <a:effectLst/>
                  </a:rPr>
                  <a:t>that</a:t>
                </a:r>
                <a:r>
                  <a:rPr lang="en-US" sz="800" b="0" i="0" u="none" strike="noStrike" kern="1200" baseline="0">
                    <a:solidFill>
                      <a:sysClr val="windowText" lastClr="000000"/>
                    </a:solidFill>
                    <a:effectLst/>
                    <a:latin typeface="+mn-lt"/>
                    <a:ea typeface="+mn-ea"/>
                    <a:cs typeface="+mn-cs"/>
                  </a:rPr>
                  <a:t> </a:t>
                </a:r>
                <a:r>
                  <a:rPr lang="en-US" sz="800" b="0" i="0" u="none" strike="noStrike" baseline="0">
                    <a:effectLst/>
                  </a:rPr>
                  <a:t>Fund</a:t>
                </a:r>
                <a:r>
                  <a:rPr lang="en-US" sz="800" b="0" i="0" u="none" strike="noStrike" kern="1200" baseline="0">
                    <a:solidFill>
                      <a:sysClr val="windowText" lastClr="000000"/>
                    </a:solidFill>
                    <a:effectLst/>
                    <a:latin typeface="+mn-lt"/>
                    <a:ea typeface="+mn-ea"/>
                    <a:cs typeface="+mn-cs"/>
                  </a:rPr>
                  <a:t> </a:t>
                </a:r>
                <a:r>
                  <a:rPr lang="en-US" sz="800" b="0" i="0" u="none" strike="noStrike" baseline="0">
                    <a:effectLst/>
                  </a:rPr>
                  <a:t>the</a:t>
                </a:r>
                <a:r>
                  <a:rPr lang="en-US" sz="800" b="0" i="0" u="none" strike="noStrike" kern="1200" baseline="0">
                    <a:solidFill>
                      <a:sysClr val="windowText" lastClr="000000"/>
                    </a:solidFill>
                    <a:effectLst/>
                    <a:latin typeface="+mn-lt"/>
                    <a:ea typeface="+mn-ea"/>
                    <a:cs typeface="+mn-cs"/>
                  </a:rPr>
                  <a:t> </a:t>
                </a:r>
                <a:r>
                  <a:rPr lang="en-US" sz="800" b="0" i="0" u="none" strike="noStrike" baseline="0">
                    <a:effectLst/>
                  </a:rPr>
                  <a:t>Bank</a:t>
                </a:r>
                <a:r>
                  <a:rPr lang="en-US" sz="800" b="0" i="0" u="none" strike="noStrike" kern="1200" baseline="0">
                    <a:solidFill>
                      <a:sysClr val="windowText" lastClr="000000"/>
                    </a:solidFill>
                    <a:effectLst/>
                    <a:latin typeface="+mn-lt"/>
                    <a:ea typeface="+mn-ea"/>
                    <a:cs typeface="+mn-cs"/>
                  </a:rPr>
                  <a:t> </a:t>
                </a:r>
                <a:endParaRPr lang="en-US" sz="800" b="0"/>
              </a:p>
            </c:rich>
          </c:tx>
          <c:overlay val="0"/>
        </c:title>
        <c:numFmt formatCode="0%" sourceLinked="0"/>
        <c:majorTickMark val="out"/>
        <c:minorTickMark val="none"/>
        <c:tickLblPos val="nextTo"/>
        <c:spPr>
          <a:ln w="6350"/>
        </c:spPr>
        <c:txPr>
          <a:bodyPr/>
          <a:lstStyle/>
          <a:p>
            <a:pPr>
              <a:defRPr sz="500"/>
            </a:pPr>
            <a:endParaRPr lang="en-US"/>
          </a:p>
        </c:txPr>
        <c:crossAx val="-2096270952"/>
        <c:crosses val="autoZero"/>
        <c:crossBetween val="midCat"/>
        <c:majorUnit val="0.1"/>
      </c:valAx>
      <c:spPr>
        <a:ln w="6350">
          <a:solidFill>
            <a:schemeClr val="bg1">
              <a:lumMod val="50000"/>
            </a:schemeClr>
          </a:solidFill>
        </a:ln>
      </c:spPr>
    </c:plotArea>
    <c:legend>
      <c:legendPos val="b"/>
      <c:legendEntry>
        <c:idx val="2"/>
        <c:delete val="1"/>
      </c:legendEntry>
      <c:legendEntry>
        <c:idx val="3"/>
        <c:delete val="1"/>
      </c:legendEntry>
      <c:layout>
        <c:manualLayout>
          <c:xMode val="edge"/>
          <c:yMode val="edge"/>
          <c:x val="1.00565313951141E-2"/>
          <c:y val="0.93471131924578199"/>
          <c:w val="0.98994346860488602"/>
          <c:h val="6.1415282934192801E-2"/>
        </c:manualLayout>
      </c:layout>
      <c:overlay val="0"/>
      <c:txPr>
        <a:bodyPr/>
        <a:lstStyle/>
        <a:p>
          <a:pPr>
            <a:defRPr sz="800"/>
          </a:pPr>
          <a:endParaRPr lang="en-US"/>
        </a:p>
      </c:txPr>
    </c:legend>
    <c:plotVisOnly val="1"/>
    <c:dispBlanksAs val="gap"/>
    <c:showDLblsOverMax val="0"/>
  </c:chart>
  <c:spPr>
    <a:ln w="6350"/>
    <a:effectLst/>
  </c:spPr>
  <c:externalData r:id="rId1">
    <c:autoUpdate val="0"/>
  </c:externalData>
  <c:userShapes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 algn="ctr">
              <a:defRPr/>
            </a:pPr>
            <a:r>
              <a:rPr lang="en-US" sz="1000" b="0" baseline="0"/>
              <a:t>Banks</a:t>
            </a:r>
            <a:r>
              <a:rPr lang="en-US" sz="10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rPr>
              <a:t> </a:t>
            </a:r>
            <a:r>
              <a:rPr lang="en-US" sz="1000" b="0" baseline="0"/>
              <a:t>Behavior</a:t>
            </a:r>
            <a:r>
              <a:rPr lang="en-US" sz="10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rPr>
              <a:t> </a:t>
            </a:r>
            <a:endParaRPr lang="en-US" sz="1000" b="0" baseline="50000"/>
          </a:p>
        </c:rich>
      </c:tx>
      <c:layout>
        <c:manualLayout>
          <c:xMode val="edge"/>
          <c:yMode val="edge"/>
          <c:x val="0.34404906117504602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11745070327748"/>
          <c:y val="8.0491551459293403E-2"/>
          <c:w val="0.85077629719362002"/>
          <c:h val="0.74560155786978199"/>
        </c:manualLayout>
      </c:layout>
      <c:scatterChart>
        <c:scatterStyle val="smoothMarker"/>
        <c:varyColors val="0"/>
        <c:ser>
          <c:idx val="0"/>
          <c:order val="0"/>
          <c:tx>
            <c:strRef>
              <c:f>T0!$AV$1</c:f>
              <c:strCache>
                <c:ptCount val="1"/>
                <c:pt idx="0">
                  <c:v>Borrow if illiquid-solvent</c:v>
                </c:pt>
              </c:strCache>
            </c:strRef>
          </c:tx>
          <c:spPr>
            <a:ln w="12700">
              <a:solidFill>
                <a:srgbClr val="00B0F0"/>
              </a:solidFill>
            </a:ln>
            <a:effectLst/>
          </c:spPr>
          <c:marker>
            <c:symbol val="square"/>
            <c:size val="5"/>
            <c:spPr>
              <a:solidFill>
                <a:srgbClr val="00B0F0"/>
              </a:solidFill>
              <a:ln>
                <a:solidFill>
                  <a:srgbClr val="00B0F0"/>
                </a:solidFill>
              </a:ln>
              <a:effectLst/>
            </c:spPr>
          </c:marker>
          <c:xVal>
            <c:numRef>
              <c:f>T0!$AU$2:$AU$26</c:f>
              <c:numCache>
                <c:formatCode>General</c:formatCode>
                <c:ptCount val="2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</c:numCache>
            </c:numRef>
          </c:xVal>
          <c:yVal>
            <c:numRef>
              <c:f>'T3'!$AV$2:$AV$26</c:f>
              <c:numCache>
                <c:formatCode>0.0%</c:formatCode>
                <c:ptCount val="25"/>
                <c:pt idx="0">
                  <c:v>0.44444444444444398</c:v>
                </c:pt>
                <c:pt idx="1">
                  <c:v>0.5</c:v>
                </c:pt>
                <c:pt idx="2">
                  <c:v>0.61111111111111105</c:v>
                </c:pt>
                <c:pt idx="3">
                  <c:v>0.63888888888888895</c:v>
                </c:pt>
                <c:pt idx="4">
                  <c:v>0.55555555555555602</c:v>
                </c:pt>
                <c:pt idx="5">
                  <c:v>0.61111111111111105</c:v>
                </c:pt>
                <c:pt idx="6">
                  <c:v>0.52777777777777801</c:v>
                </c:pt>
                <c:pt idx="7">
                  <c:v>0.44444444444444398</c:v>
                </c:pt>
                <c:pt idx="8">
                  <c:v>0.44444444444444398</c:v>
                </c:pt>
                <c:pt idx="9">
                  <c:v>0.47222222222222199</c:v>
                </c:pt>
                <c:pt idx="10">
                  <c:v>0.41666666666666702</c:v>
                </c:pt>
                <c:pt idx="11">
                  <c:v>0.41666666666666702</c:v>
                </c:pt>
                <c:pt idx="12">
                  <c:v>0.41666666666666702</c:v>
                </c:pt>
                <c:pt idx="13">
                  <c:v>0.33333333333333298</c:v>
                </c:pt>
                <c:pt idx="14">
                  <c:v>0.36111111111111099</c:v>
                </c:pt>
                <c:pt idx="15">
                  <c:v>0.33333333333333298</c:v>
                </c:pt>
                <c:pt idx="16">
                  <c:v>0.27777777777777801</c:v>
                </c:pt>
                <c:pt idx="17">
                  <c:v>0.27777777777777801</c:v>
                </c:pt>
                <c:pt idx="18">
                  <c:v>0.33333333333333298</c:v>
                </c:pt>
                <c:pt idx="19">
                  <c:v>0.27777777777777801</c:v>
                </c:pt>
                <c:pt idx="20">
                  <c:v>0.27777777777777801</c:v>
                </c:pt>
                <c:pt idx="21">
                  <c:v>0.27777777777777801</c:v>
                </c:pt>
                <c:pt idx="22">
                  <c:v>0.33333333333333298</c:v>
                </c:pt>
                <c:pt idx="23">
                  <c:v>0.30555555555555503</c:v>
                </c:pt>
                <c:pt idx="24">
                  <c:v>0.22222222222222199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05EF-8842-A341-982E15A753B3}"/>
            </c:ext>
          </c:extLst>
        </c:ser>
        <c:ser>
          <c:idx val="1"/>
          <c:order val="1"/>
          <c:tx>
            <c:strRef>
              <c:f>T0!$AW$1</c:f>
              <c:strCache>
                <c:ptCount val="1"/>
                <c:pt idx="0">
                  <c:v>Borrow if illiquid-insolvent</c:v>
                </c:pt>
              </c:strCache>
            </c:strRef>
          </c:tx>
          <c:spPr>
            <a:ln w="9525" cmpd="sng">
              <a:solidFill>
                <a:srgbClr val="002060"/>
              </a:solidFill>
            </a:ln>
            <a:effectLst/>
          </c:spPr>
          <c:marker>
            <c:symbol val="square"/>
            <c:size val="5"/>
            <c:spPr>
              <a:solidFill>
                <a:schemeClr val="bg1"/>
              </a:solidFill>
              <a:ln w="12700">
                <a:solidFill>
                  <a:srgbClr val="002060"/>
                </a:solidFill>
              </a:ln>
              <a:effectLst/>
            </c:spPr>
          </c:marker>
          <c:xVal>
            <c:numRef>
              <c:f>T0!$AU$2:$AU$26</c:f>
              <c:numCache>
                <c:formatCode>General</c:formatCode>
                <c:ptCount val="2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</c:numCache>
            </c:numRef>
          </c:xVal>
          <c:yVal>
            <c:numRef>
              <c:f>'T3'!$AW$2:$AW$26</c:f>
              <c:numCache>
                <c:formatCode>0.0%</c:formatCode>
                <c:ptCount val="25"/>
                <c:pt idx="0">
                  <c:v>0.33333333333333298</c:v>
                </c:pt>
                <c:pt idx="1">
                  <c:v>0.36111111111111099</c:v>
                </c:pt>
                <c:pt idx="2">
                  <c:v>0.55555555555555602</c:v>
                </c:pt>
                <c:pt idx="3">
                  <c:v>0.61111111111111105</c:v>
                </c:pt>
                <c:pt idx="4">
                  <c:v>0.58333333333333304</c:v>
                </c:pt>
                <c:pt idx="5">
                  <c:v>0.5</c:v>
                </c:pt>
                <c:pt idx="6">
                  <c:v>0.47222222222222199</c:v>
                </c:pt>
                <c:pt idx="7">
                  <c:v>0.44444444444444398</c:v>
                </c:pt>
                <c:pt idx="8">
                  <c:v>0.41666666666666702</c:v>
                </c:pt>
                <c:pt idx="9">
                  <c:v>0.44444444444444398</c:v>
                </c:pt>
                <c:pt idx="10">
                  <c:v>0.30555555555555503</c:v>
                </c:pt>
                <c:pt idx="11">
                  <c:v>0.27777777777777801</c:v>
                </c:pt>
                <c:pt idx="12">
                  <c:v>0.27777777777777801</c:v>
                </c:pt>
                <c:pt idx="13">
                  <c:v>0.30555555555555503</c:v>
                </c:pt>
                <c:pt idx="14">
                  <c:v>0.41666666666666702</c:v>
                </c:pt>
                <c:pt idx="15">
                  <c:v>0.38888888888888901</c:v>
                </c:pt>
                <c:pt idx="16">
                  <c:v>0.27777777777777801</c:v>
                </c:pt>
                <c:pt idx="17">
                  <c:v>0.30555555555555503</c:v>
                </c:pt>
                <c:pt idx="18">
                  <c:v>0.36111111111111099</c:v>
                </c:pt>
                <c:pt idx="19">
                  <c:v>0.36111111111111099</c:v>
                </c:pt>
                <c:pt idx="20">
                  <c:v>0.27777777777777801</c:v>
                </c:pt>
                <c:pt idx="21">
                  <c:v>0.22222222222222199</c:v>
                </c:pt>
                <c:pt idx="22">
                  <c:v>0.194444444444444</c:v>
                </c:pt>
                <c:pt idx="23">
                  <c:v>0.22222222222222199</c:v>
                </c:pt>
                <c:pt idx="24">
                  <c:v>0.13888888888888901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05EF-8842-A341-982E15A753B3}"/>
            </c:ext>
          </c:extLst>
        </c:ser>
        <c:ser>
          <c:idx val="2"/>
          <c:order val="2"/>
          <c:tx>
            <c:strRef>
              <c:f>T0!$AV$1</c:f>
              <c:strCache>
                <c:ptCount val="1"/>
                <c:pt idx="0">
                  <c:v>Borrow if illiquid-solvent</c:v>
                </c:pt>
              </c:strCache>
            </c:strRef>
          </c:tx>
          <c:spPr>
            <a:ln w="15875">
              <a:solidFill>
                <a:srgbClr val="002060"/>
              </a:solidFill>
              <a:prstDash val="solid"/>
            </a:ln>
          </c:spPr>
          <c:marker>
            <c:symbol val="none"/>
          </c:marker>
          <c:xVal>
            <c:numRef>
              <c:f>T0!$BG$28:$BG$29</c:f>
              <c:numCache>
                <c:formatCode>General</c:formatCode>
                <c:ptCount val="2"/>
                <c:pt idx="0">
                  <c:v>1</c:v>
                </c:pt>
                <c:pt idx="1">
                  <c:v>25</c:v>
                </c:pt>
              </c:numCache>
            </c:numRef>
          </c:xVal>
          <c:yVal>
            <c:numRef>
              <c:f>T0!$BH$28:$BH$29</c:f>
              <c:numCache>
                <c:formatCode>General</c:formatCode>
                <c:ptCount val="2"/>
                <c:pt idx="0">
                  <c:v>1</c:v>
                </c:pt>
                <c:pt idx="1">
                  <c:v>1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2-05EF-8842-A341-982E15A753B3}"/>
            </c:ext>
          </c:extLst>
        </c:ser>
        <c:ser>
          <c:idx val="3"/>
          <c:order val="3"/>
          <c:tx>
            <c:strRef>
              <c:f>T0!$AW$1</c:f>
              <c:strCache>
                <c:ptCount val="1"/>
                <c:pt idx="0">
                  <c:v>Borrow if illiquid-insolvent</c:v>
                </c:pt>
              </c:strCache>
            </c:strRef>
          </c:tx>
          <c:spPr>
            <a:ln w="15875">
              <a:solidFill>
                <a:srgbClr val="002060"/>
              </a:solidFill>
            </a:ln>
          </c:spPr>
          <c:marker>
            <c:symbol val="none"/>
          </c:marker>
          <c:xVal>
            <c:numRef>
              <c:f>T0!$BG$31:$BG$32</c:f>
              <c:numCache>
                <c:formatCode>General</c:formatCode>
                <c:ptCount val="2"/>
                <c:pt idx="0">
                  <c:v>1</c:v>
                </c:pt>
                <c:pt idx="1">
                  <c:v>25</c:v>
                </c:pt>
              </c:numCache>
            </c:numRef>
          </c:xVal>
          <c:yVal>
            <c:numRef>
              <c:f>T0!$BH$31:$BH$32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3-05EF-8842-A341-982E15A753B3}"/>
            </c:ext>
          </c:extLst>
        </c:ser>
        <c:ser>
          <c:idx val="4"/>
          <c:order val="4"/>
          <c:tx>
            <c:strRef>
              <c:f>T0!$AV$1</c:f>
              <c:strCache>
                <c:ptCount val="1"/>
                <c:pt idx="0">
                  <c:v>Borrow if illiquid-solvent</c:v>
                </c:pt>
              </c:strCache>
            </c:strRef>
          </c:tx>
          <c:spPr>
            <a:ln w="19050">
              <a:solidFill>
                <a:srgbClr val="00B0F0"/>
              </a:solidFill>
              <a:prstDash val="dash"/>
            </a:ln>
          </c:spPr>
          <c:marker>
            <c:symbol val="none"/>
          </c:marker>
          <c:xVal>
            <c:numRef>
              <c:f>T0!$BJ$28:$BJ$29</c:f>
              <c:numCache>
                <c:formatCode>General</c:formatCode>
                <c:ptCount val="2"/>
                <c:pt idx="0">
                  <c:v>1</c:v>
                </c:pt>
                <c:pt idx="1">
                  <c:v>25</c:v>
                </c:pt>
              </c:numCache>
            </c:numRef>
          </c:xVal>
          <c:yVal>
            <c:numRef>
              <c:f>T0!$BK$28:$BK$29</c:f>
              <c:numCache>
                <c:formatCode>General</c:formatCode>
                <c:ptCount val="2"/>
                <c:pt idx="0">
                  <c:v>1</c:v>
                </c:pt>
                <c:pt idx="1">
                  <c:v>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4-05EF-8842-A341-982E15A753B3}"/>
            </c:ext>
          </c:extLst>
        </c:ser>
        <c:ser>
          <c:idx val="5"/>
          <c:order val="5"/>
          <c:tx>
            <c:strRef>
              <c:f>T0!$AW$1</c:f>
              <c:strCache>
                <c:ptCount val="1"/>
                <c:pt idx="0">
                  <c:v>Borrow if illiquid-insolvent</c:v>
                </c:pt>
              </c:strCache>
            </c:strRef>
          </c:tx>
          <c:spPr>
            <a:ln w="19050">
              <a:solidFill>
                <a:srgbClr val="00B0F0"/>
              </a:solidFill>
              <a:prstDash val="dash"/>
            </a:ln>
          </c:spPr>
          <c:marker>
            <c:symbol val="none"/>
          </c:marker>
          <c:xVal>
            <c:numRef>
              <c:f>T0!$BJ$31:$BJ$32</c:f>
              <c:numCache>
                <c:formatCode>General</c:formatCode>
                <c:ptCount val="2"/>
                <c:pt idx="0">
                  <c:v>1</c:v>
                </c:pt>
                <c:pt idx="1">
                  <c:v>25</c:v>
                </c:pt>
              </c:numCache>
            </c:numRef>
          </c:xVal>
          <c:yVal>
            <c:numRef>
              <c:f>T0!$BK$31:$BK$32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5-05EF-8842-A341-982E15A753B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-2139007096"/>
        <c:axId val="-2139025320"/>
      </c:scatterChart>
      <c:valAx>
        <c:axId val="-2139007096"/>
        <c:scaling>
          <c:orientation val="minMax"/>
          <c:max val="25"/>
          <c:min val="1"/>
        </c:scaling>
        <c:delete val="0"/>
        <c:axPos val="b"/>
        <c:title>
          <c:tx>
            <c:rich>
              <a:bodyPr/>
              <a:lstStyle/>
              <a:p>
                <a:pPr>
                  <a:defRPr sz="800" b="0"/>
                </a:pPr>
                <a:r>
                  <a:rPr lang="en-US" sz="800" b="0"/>
                  <a:t>Round</a:t>
                </a:r>
              </a:p>
            </c:rich>
          </c:tx>
          <c:layout>
            <c:manualLayout>
              <c:xMode val="edge"/>
              <c:yMode val="edge"/>
              <c:x val="0.47010498687664098"/>
              <c:y val="0.870281757923557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6350"/>
        </c:spPr>
        <c:txPr>
          <a:bodyPr/>
          <a:lstStyle/>
          <a:p>
            <a:pPr>
              <a:defRPr sz="500"/>
            </a:pPr>
            <a:endParaRPr lang="en-US"/>
          </a:p>
        </c:txPr>
        <c:crossAx val="-2139025320"/>
        <c:crosses val="autoZero"/>
        <c:crossBetween val="midCat"/>
        <c:majorUnit val="1"/>
      </c:valAx>
      <c:valAx>
        <c:axId val="-2139025320"/>
        <c:scaling>
          <c:orientation val="minMax"/>
          <c:max val="1"/>
          <c:min val="0"/>
        </c:scaling>
        <c:delete val="0"/>
        <c:axPos val="l"/>
        <c:majorGridlines>
          <c:spPr>
            <a:ln w="6350"/>
          </c:spPr>
        </c:majorGridlines>
        <c:title>
          <c:tx>
            <c:rich>
              <a:bodyPr rot="-5400000" vert="horz"/>
              <a:lstStyle/>
              <a:p>
                <a:pPr>
                  <a:defRPr sz="800" b="0"/>
                </a:pPr>
                <a:r>
                  <a:rPr lang="en-US" sz="800" b="0" i="0" u="none" strike="noStrike" baseline="0">
                    <a:effectLst/>
                  </a:rPr>
                  <a:t>Percent</a:t>
                </a:r>
                <a:r>
                  <a:rPr lang="en-US" sz="800" b="0" i="0" u="none" strike="noStrike" kern="1200" baseline="0">
                    <a:solidFill>
                      <a:sysClr val="windowText" lastClr="000000"/>
                    </a:solidFill>
                    <a:effectLst/>
                    <a:latin typeface="+mn-lt"/>
                    <a:ea typeface="+mn-ea"/>
                    <a:cs typeface="+mn-cs"/>
                  </a:rPr>
                  <a:t> </a:t>
                </a:r>
                <a:r>
                  <a:rPr lang="en-US" sz="800" b="0" i="0" u="none" strike="noStrike" baseline="0">
                    <a:effectLst/>
                  </a:rPr>
                  <a:t>of</a:t>
                </a:r>
                <a:r>
                  <a:rPr lang="en-US" sz="800" b="0" i="0" u="none" strike="noStrike" kern="1200" baseline="0">
                    <a:solidFill>
                      <a:sysClr val="windowText" lastClr="000000"/>
                    </a:solidFill>
                    <a:effectLst/>
                    <a:latin typeface="+mn-lt"/>
                    <a:ea typeface="+mn-ea"/>
                    <a:cs typeface="+mn-cs"/>
                  </a:rPr>
                  <a:t> </a:t>
                </a:r>
                <a:r>
                  <a:rPr lang="en-US" sz="800" b="0" i="0" u="none" strike="noStrike" baseline="0">
                    <a:effectLst/>
                  </a:rPr>
                  <a:t>Banks</a:t>
                </a:r>
                <a:r>
                  <a:rPr lang="en-US" sz="800" b="0" i="0" u="none" strike="noStrike" kern="1200" baseline="0">
                    <a:solidFill>
                      <a:sysClr val="windowText" lastClr="000000"/>
                    </a:solidFill>
                    <a:effectLst/>
                    <a:latin typeface="+mn-lt"/>
                    <a:ea typeface="+mn-ea"/>
                    <a:cs typeface="+mn-cs"/>
                  </a:rPr>
                  <a:t> </a:t>
                </a:r>
                <a:r>
                  <a:rPr lang="en-US" sz="800" b="0" i="0" u="none" strike="noStrike" baseline="0">
                    <a:effectLst/>
                  </a:rPr>
                  <a:t>that</a:t>
                </a:r>
                <a:r>
                  <a:rPr lang="en-US" sz="800" b="0" i="0" u="none" strike="noStrike" kern="1200" baseline="0">
                    <a:solidFill>
                      <a:sysClr val="windowText" lastClr="000000"/>
                    </a:solidFill>
                    <a:effectLst/>
                    <a:latin typeface="+mn-lt"/>
                    <a:ea typeface="+mn-ea"/>
                    <a:cs typeface="+mn-cs"/>
                  </a:rPr>
                  <a:t> </a:t>
                </a:r>
                <a:r>
                  <a:rPr lang="en-US" sz="800" b="0" i="0" u="none" strike="noStrike" baseline="0">
                    <a:effectLst/>
                  </a:rPr>
                  <a:t>Borrow</a:t>
                </a:r>
                <a:r>
                  <a:rPr lang="en-US" sz="800" b="0" i="0" u="none" strike="noStrike" kern="1200" baseline="0">
                    <a:solidFill>
                      <a:sysClr val="windowText" lastClr="000000"/>
                    </a:solidFill>
                    <a:effectLst/>
                    <a:latin typeface="+mn-lt"/>
                    <a:ea typeface="+mn-ea"/>
                    <a:cs typeface="+mn-cs"/>
                  </a:rPr>
                  <a:t> </a:t>
                </a:r>
                <a:r>
                  <a:rPr lang="en-US" sz="800" b="0" i="0" u="none" strike="noStrike" baseline="0">
                    <a:effectLst/>
                  </a:rPr>
                  <a:t>at</a:t>
                </a:r>
                <a:r>
                  <a:rPr lang="en-US" sz="800" b="0" i="0" u="none" strike="noStrike" kern="1200" baseline="0">
                    <a:solidFill>
                      <a:sysClr val="windowText" lastClr="000000"/>
                    </a:solidFill>
                    <a:effectLst/>
                    <a:latin typeface="+mn-lt"/>
                    <a:ea typeface="+mn-ea"/>
                    <a:cs typeface="+mn-cs"/>
                  </a:rPr>
                  <a:t> </a:t>
                </a:r>
                <a:r>
                  <a:rPr lang="en-US" sz="800" b="0" i="0" u="none" strike="noStrike" baseline="0">
                    <a:effectLst/>
                  </a:rPr>
                  <a:t>DW</a:t>
                </a:r>
                <a:r>
                  <a:rPr lang="en-US" sz="800" b="0" i="0" u="none" strike="noStrike" kern="1200" baseline="0">
                    <a:solidFill>
                      <a:sysClr val="windowText" lastClr="000000"/>
                    </a:solidFill>
                    <a:effectLst/>
                    <a:latin typeface="+mn-lt"/>
                    <a:ea typeface="+mn-ea"/>
                    <a:cs typeface="+mn-cs"/>
                  </a:rPr>
                  <a:t> </a:t>
                </a:r>
                <a:endParaRPr lang="en-US" sz="800" b="0"/>
              </a:p>
            </c:rich>
          </c:tx>
          <c:layout>
            <c:manualLayout>
              <c:xMode val="edge"/>
              <c:yMode val="edge"/>
              <c:x val="0"/>
              <c:y val="0.126531288852051"/>
            </c:manualLayout>
          </c:layout>
          <c:overlay val="0"/>
        </c:title>
        <c:numFmt formatCode="0%" sourceLinked="0"/>
        <c:majorTickMark val="out"/>
        <c:minorTickMark val="none"/>
        <c:tickLblPos val="nextTo"/>
        <c:spPr>
          <a:ln w="6350"/>
        </c:spPr>
        <c:txPr>
          <a:bodyPr/>
          <a:lstStyle/>
          <a:p>
            <a:pPr>
              <a:defRPr sz="500"/>
            </a:pPr>
            <a:endParaRPr lang="en-US"/>
          </a:p>
        </c:txPr>
        <c:crossAx val="-2139007096"/>
        <c:crosses val="autoZero"/>
        <c:crossBetween val="midCat"/>
        <c:majorUnit val="0.1"/>
      </c:valAx>
      <c:spPr>
        <a:ln w="6350">
          <a:solidFill>
            <a:schemeClr val="bg1">
              <a:lumMod val="50000"/>
            </a:schemeClr>
          </a:solidFill>
        </a:ln>
      </c:spPr>
    </c:plotArea>
    <c:legend>
      <c:legendPos val="b"/>
      <c:legendEntry>
        <c:idx val="2"/>
        <c:delete val="1"/>
      </c:legendEntry>
      <c:legendEntry>
        <c:idx val="3"/>
        <c:delete val="1"/>
      </c:legendEntry>
      <c:legendEntry>
        <c:idx val="4"/>
        <c:delete val="1"/>
      </c:legendEntry>
      <c:legendEntry>
        <c:idx val="5"/>
        <c:delete val="1"/>
      </c:legendEntry>
      <c:layout>
        <c:manualLayout>
          <c:xMode val="edge"/>
          <c:yMode val="edge"/>
          <c:x val="0"/>
          <c:y val="0.93273219879773095"/>
          <c:w val="1"/>
          <c:h val="6.1415282934192801E-2"/>
        </c:manualLayout>
      </c:layout>
      <c:overlay val="0"/>
      <c:txPr>
        <a:bodyPr/>
        <a:lstStyle/>
        <a:p>
          <a:pPr>
            <a:defRPr sz="800"/>
          </a:pPr>
          <a:endParaRPr lang="en-US"/>
        </a:p>
      </c:txPr>
    </c:legend>
    <c:plotVisOnly val="1"/>
    <c:dispBlanksAs val="gap"/>
    <c:showDLblsOverMax val="0"/>
  </c:chart>
  <c:spPr>
    <a:ln w="6350"/>
    <a:effectLst/>
  </c:spPr>
  <c:externalData r:id="rId1">
    <c:autoUpdate val="0"/>
  </c:externalData>
  <c:userShapes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77894226636305"/>
          <c:y val="8.4180938446688003E-2"/>
          <c:w val="0.72024746906636705"/>
          <c:h val="0.78661083324287595"/>
        </c:manualLayout>
      </c:layout>
      <c:scatterChart>
        <c:scatterStyle val="smoothMarker"/>
        <c:varyColors val="0"/>
        <c:ser>
          <c:idx val="0"/>
          <c:order val="0"/>
          <c:tx>
            <c:strRef>
              <c:f>T0!$AX$1</c:f>
              <c:strCache>
                <c:ptCount val="1"/>
                <c:pt idx="0">
                  <c:v>Fund if DW not detected</c:v>
                </c:pt>
              </c:strCache>
            </c:strRef>
          </c:tx>
          <c:spPr>
            <a:ln w="6350">
              <a:solidFill>
                <a:srgbClr val="FF0000"/>
              </a:solidFill>
            </a:ln>
            <a:effectLst/>
          </c:spPr>
          <c:marker>
            <c:symbol val="circle"/>
            <c:size val="2"/>
            <c:spPr>
              <a:solidFill>
                <a:srgbClr val="FF0000"/>
              </a:solidFill>
              <a:ln w="6350">
                <a:solidFill>
                  <a:srgbClr val="FF0000"/>
                </a:solidFill>
              </a:ln>
              <a:effectLst/>
            </c:spPr>
          </c:marker>
          <c:xVal>
            <c:numRef>
              <c:f>T0!$AU$2:$AU$26</c:f>
              <c:numCache>
                <c:formatCode>General</c:formatCode>
                <c:ptCount val="2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</c:numCache>
            </c:numRef>
          </c:xVal>
          <c:yVal>
            <c:numRef>
              <c:f>T0!$AQ$2:$AQ$26</c:f>
              <c:numCache>
                <c:formatCode>General</c:formatCode>
                <c:ptCount val="25"/>
                <c:pt idx="0">
                  <c:v>0.83333333333333304</c:v>
                </c:pt>
                <c:pt idx="1">
                  <c:v>0.83333333333333304</c:v>
                </c:pt>
                <c:pt idx="2">
                  <c:v>0.83333333333333304</c:v>
                </c:pt>
                <c:pt idx="3">
                  <c:v>0.83333333333333304</c:v>
                </c:pt>
                <c:pt idx="4">
                  <c:v>1</c:v>
                </c:pt>
                <c:pt idx="5">
                  <c:v>0.5</c:v>
                </c:pt>
                <c:pt idx="6">
                  <c:v>0.66666666666666696</c:v>
                </c:pt>
                <c:pt idx="7">
                  <c:v>0.83333333333333304</c:v>
                </c:pt>
                <c:pt idx="8">
                  <c:v>0.83333333333333304</c:v>
                </c:pt>
                <c:pt idx="9">
                  <c:v>1</c:v>
                </c:pt>
                <c:pt idx="10">
                  <c:v>0.83333333333333304</c:v>
                </c:pt>
                <c:pt idx="11">
                  <c:v>1</c:v>
                </c:pt>
                <c:pt idx="12">
                  <c:v>0.83333333333333304</c:v>
                </c:pt>
                <c:pt idx="13">
                  <c:v>0.83333333333333304</c:v>
                </c:pt>
                <c:pt idx="14">
                  <c:v>1</c:v>
                </c:pt>
                <c:pt idx="15">
                  <c:v>0.83333333333333304</c:v>
                </c:pt>
                <c:pt idx="16">
                  <c:v>1</c:v>
                </c:pt>
                <c:pt idx="17">
                  <c:v>0.83333333333333304</c:v>
                </c:pt>
                <c:pt idx="18">
                  <c:v>1</c:v>
                </c:pt>
                <c:pt idx="19">
                  <c:v>0.83333333333333304</c:v>
                </c:pt>
                <c:pt idx="20">
                  <c:v>1</c:v>
                </c:pt>
                <c:pt idx="21">
                  <c:v>0.83333333333333304</c:v>
                </c:pt>
                <c:pt idx="22">
                  <c:v>0.83333333333333304</c:v>
                </c:pt>
                <c:pt idx="23">
                  <c:v>0.66666666666666696</c:v>
                </c:pt>
                <c:pt idx="24">
                  <c:v>0.66666666666666696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DAD9-204E-901D-2B29E2DF17C7}"/>
            </c:ext>
          </c:extLst>
        </c:ser>
        <c:ser>
          <c:idx val="1"/>
          <c:order val="1"/>
          <c:tx>
            <c:strRef>
              <c:f>T0!$AY$1</c:f>
              <c:strCache>
                <c:ptCount val="1"/>
                <c:pt idx="0">
                  <c:v>Fund if DW detected</c:v>
                </c:pt>
              </c:strCache>
            </c:strRef>
          </c:tx>
          <c:spPr>
            <a:ln w="6350" cmpd="sng">
              <a:solidFill>
                <a:srgbClr val="FF9300"/>
              </a:solidFill>
            </a:ln>
            <a:effectLst/>
          </c:spPr>
          <c:marker>
            <c:symbol val="circle"/>
            <c:size val="2"/>
            <c:spPr>
              <a:solidFill>
                <a:schemeClr val="bg1"/>
              </a:solidFill>
              <a:ln w="6350">
                <a:solidFill>
                  <a:srgbClr val="FF9300"/>
                </a:solidFill>
              </a:ln>
              <a:effectLst/>
            </c:spPr>
          </c:marker>
          <c:xVal>
            <c:numRef>
              <c:f>T0!$AU$2:$AU$26</c:f>
              <c:numCache>
                <c:formatCode>General</c:formatCode>
                <c:ptCount val="2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</c:numCache>
            </c:numRef>
          </c:xVal>
          <c:yVal>
            <c:numRef>
              <c:f>T0!$AR$2:$AR$26</c:f>
              <c:numCache>
                <c:formatCode>General</c:formatCode>
                <c:ptCount val="25"/>
                <c:pt idx="0">
                  <c:v>0.66666666666666696</c:v>
                </c:pt>
                <c:pt idx="1">
                  <c:v>0.5</c:v>
                </c:pt>
                <c:pt idx="2">
                  <c:v>0.33333333333333298</c:v>
                </c:pt>
                <c:pt idx="3">
                  <c:v>0.16666666666666699</c:v>
                </c:pt>
                <c:pt idx="4">
                  <c:v>0.33333333333333298</c:v>
                </c:pt>
                <c:pt idx="5">
                  <c:v>0</c:v>
                </c:pt>
                <c:pt idx="6">
                  <c:v>0</c:v>
                </c:pt>
                <c:pt idx="7">
                  <c:v>0.16666666666666699</c:v>
                </c:pt>
                <c:pt idx="8">
                  <c:v>0.16666666666666699</c:v>
                </c:pt>
                <c:pt idx="9">
                  <c:v>0.33333333333333298</c:v>
                </c:pt>
                <c:pt idx="10">
                  <c:v>0.16666666666666699</c:v>
                </c:pt>
                <c:pt idx="11">
                  <c:v>0.33333333333333298</c:v>
                </c:pt>
                <c:pt idx="12">
                  <c:v>0.16666666666666699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0.16666666666666699</c:v>
                </c:pt>
                <c:pt idx="17">
                  <c:v>0</c:v>
                </c:pt>
                <c:pt idx="18">
                  <c:v>0.16666666666666699</c:v>
                </c:pt>
                <c:pt idx="19">
                  <c:v>0</c:v>
                </c:pt>
                <c:pt idx="20">
                  <c:v>0.33333333333333298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DAD9-204E-901D-2B29E2DF17C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-2096604968"/>
        <c:axId val="-2096667544"/>
      </c:scatterChart>
      <c:valAx>
        <c:axId val="-2096604968"/>
        <c:scaling>
          <c:orientation val="minMax"/>
          <c:max val="25"/>
          <c:min val="1"/>
        </c:scaling>
        <c:delete val="0"/>
        <c:axPos val="b"/>
        <c:title>
          <c:tx>
            <c:rich>
              <a:bodyPr/>
              <a:lstStyle/>
              <a:p>
                <a:pPr>
                  <a:defRPr sz="500" b="0"/>
                </a:pPr>
                <a:r>
                  <a:rPr lang="en-US" sz="5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rPr>
                  <a:t> </a:t>
                </a:r>
                <a:r>
                  <a:rPr lang="en-US" sz="500" b="0"/>
                  <a:t>Round</a:t>
                </a:r>
              </a:p>
            </c:rich>
          </c:tx>
          <c:layout>
            <c:manualLayout>
              <c:xMode val="edge"/>
              <c:yMode val="edge"/>
              <c:x val="0.40041885008276401"/>
              <c:y val="0.90604453870625601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6350"/>
        </c:spPr>
        <c:txPr>
          <a:bodyPr/>
          <a:lstStyle/>
          <a:p>
            <a:pPr>
              <a:defRPr sz="500"/>
            </a:pPr>
            <a:endParaRPr lang="en-US"/>
          </a:p>
        </c:txPr>
        <c:crossAx val="-2096667544"/>
        <c:crosses val="autoZero"/>
        <c:crossBetween val="midCat"/>
        <c:majorUnit val="24"/>
      </c:valAx>
      <c:valAx>
        <c:axId val="-2096667544"/>
        <c:scaling>
          <c:orientation val="minMax"/>
          <c:max val="1"/>
        </c:scaling>
        <c:delete val="0"/>
        <c:axPos val="l"/>
        <c:majorGridlines>
          <c:spPr>
            <a:ln w="6350"/>
          </c:spPr>
        </c:majorGridlines>
        <c:title>
          <c:tx>
            <c:rich>
              <a:bodyPr rot="-5400000" vert="horz"/>
              <a:lstStyle/>
              <a:p>
                <a:pPr>
                  <a:defRPr sz="500" b="0"/>
                </a:pPr>
                <a:r>
                  <a:rPr lang="en-US" sz="500" b="0" i="0" u="none" strike="noStrike" baseline="0">
                    <a:effectLst/>
                  </a:rPr>
                  <a:t>Fund</a:t>
                </a:r>
                <a:r>
                  <a:rPr lang="en-US" sz="500" b="0" i="0" u="none" strike="noStrike" kern="1200" baseline="0">
                    <a:solidFill>
                      <a:sysClr val="windowText" lastClr="000000"/>
                    </a:solidFill>
                    <a:effectLst/>
                    <a:latin typeface="+mn-lt"/>
                    <a:ea typeface="+mn-ea"/>
                    <a:cs typeface="+mn-cs"/>
                  </a:rPr>
                  <a:t> </a:t>
                </a:r>
                <a:r>
                  <a:rPr lang="en-US" sz="500" b="0" i="0" u="none" strike="noStrike" baseline="0">
                    <a:effectLst/>
                  </a:rPr>
                  <a:t>the</a:t>
                </a:r>
                <a:r>
                  <a:rPr lang="en-US" sz="500" b="0" i="0" u="none" strike="noStrike" kern="1200" baseline="0">
                    <a:solidFill>
                      <a:sysClr val="windowText" lastClr="000000"/>
                    </a:solidFill>
                    <a:effectLst/>
                    <a:latin typeface="+mn-lt"/>
                    <a:ea typeface="+mn-ea"/>
                    <a:cs typeface="+mn-cs"/>
                  </a:rPr>
                  <a:t> </a:t>
                </a:r>
                <a:r>
                  <a:rPr lang="en-US" sz="500" b="0" i="0" u="none" strike="noStrike" baseline="0">
                    <a:effectLst/>
                  </a:rPr>
                  <a:t>Bank</a:t>
                </a:r>
                <a:r>
                  <a:rPr lang="en-US" sz="500" b="0" i="0" u="none" strike="noStrike" kern="1200" baseline="0">
                    <a:solidFill>
                      <a:sysClr val="windowText" lastClr="000000"/>
                    </a:solidFill>
                    <a:effectLst/>
                    <a:latin typeface="+mn-lt"/>
                    <a:ea typeface="+mn-ea"/>
                    <a:cs typeface="+mn-cs"/>
                  </a:rPr>
                  <a:t> </a:t>
                </a:r>
                <a:endParaRPr lang="en-US" sz="500" b="0"/>
              </a:p>
            </c:rich>
          </c:tx>
          <c:layout>
            <c:manualLayout>
              <c:xMode val="edge"/>
              <c:yMode val="edge"/>
              <c:x val="0"/>
              <c:y val="0.28127771144195501"/>
            </c:manualLayout>
          </c:layout>
          <c:overlay val="0"/>
        </c:title>
        <c:numFmt formatCode="0%" sourceLinked="0"/>
        <c:majorTickMark val="out"/>
        <c:minorTickMark val="none"/>
        <c:tickLblPos val="nextTo"/>
        <c:spPr>
          <a:ln w="6350"/>
        </c:spPr>
        <c:txPr>
          <a:bodyPr/>
          <a:lstStyle/>
          <a:p>
            <a:pPr>
              <a:defRPr sz="400"/>
            </a:pPr>
            <a:endParaRPr lang="en-US"/>
          </a:p>
        </c:txPr>
        <c:crossAx val="-2096604968"/>
        <c:crosses val="autoZero"/>
        <c:crossBetween val="midCat"/>
        <c:majorUnit val="1"/>
      </c:valAx>
      <c:spPr>
        <a:ln w="6350">
          <a:solidFill>
            <a:schemeClr val="bg1">
              <a:lumMod val="50000"/>
            </a:schemeClr>
          </a:solidFill>
        </a:ln>
      </c:spPr>
    </c:plotArea>
    <c:plotVisOnly val="1"/>
    <c:dispBlanksAs val="gap"/>
    <c:showDLblsOverMax val="0"/>
  </c:chart>
  <c:spPr>
    <a:ln w="6350"/>
    <a:effectLst/>
  </c:sp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0.12624</cdr:x>
      <cdr:y>0.75975</cdr:y>
    </cdr:from>
    <cdr:to>
      <cdr:x>0.34813</cdr:x>
      <cdr:y>0.80058</cdr:y>
    </cdr:to>
    <cdr:sp macro="" textlink="">
      <cdr:nvSpPr>
        <cdr:cNvPr id="6" name="Rectangle 5"/>
        <cdr:cNvSpPr/>
      </cdr:nvSpPr>
      <cdr:spPr>
        <a:xfrm xmlns:a="http://schemas.openxmlformats.org/drawingml/2006/main">
          <a:off x="375160" y="1877179"/>
          <a:ext cx="659413" cy="100882"/>
        </a:xfrm>
        <a:prstGeom xmlns:a="http://schemas.openxmlformats.org/drawingml/2006/main" prst="rect">
          <a:avLst/>
        </a:prstGeom>
        <a:noFill xmlns:a="http://schemas.openxmlformats.org/drawingml/2006/main"/>
      </cdr:spPr>
      <cdr:txBody>
        <a:bodyPr xmlns:a="http://schemas.openxmlformats.org/drawingml/2006/main" wrap="none" lIns="2" tIns="45720" rIns="91440" bIns="45720">
          <a:noAutofit/>
        </a:bodyPr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marL="0" marR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endParaRPr lang="en-US" sz="400" b="0" baseline="30000">
            <a:effectLst/>
            <a:latin typeface="+mn-lt"/>
            <a:ea typeface="+mn-ea"/>
            <a:cs typeface="+mn-cs"/>
          </a:endParaRPr>
        </a:p>
        <a:p xmlns:a="http://schemas.openxmlformats.org/drawingml/2006/main">
          <a:pPr marL="0" marR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en-US" sz="800" b="0" baseline="30000">
              <a:effectLst/>
              <a:latin typeface="+mn-lt"/>
              <a:ea typeface="+mn-ea"/>
              <a:cs typeface="+mn-cs"/>
            </a:rPr>
            <a:t>             </a:t>
          </a:r>
          <a:r>
            <a:rPr lang="en-US" sz="1000" b="0" baseline="30000">
              <a:effectLst/>
              <a:latin typeface="+mn-lt"/>
              <a:ea typeface="+mn-ea"/>
              <a:cs typeface="+mn-cs"/>
            </a:rPr>
            <a:t>Equilibrium Strategy</a:t>
          </a:r>
          <a:endParaRPr lang="el-GR" sz="1000" b="0">
            <a:effectLst/>
          </a:endParaRPr>
        </a:p>
      </cdr:txBody>
    </cdr:sp>
  </cdr:relSizeAnchor>
  <cdr:relSizeAnchor xmlns:cdr="http://schemas.openxmlformats.org/drawingml/2006/chartDrawing">
    <cdr:from>
      <cdr:x>0.69174</cdr:x>
      <cdr:y>0.05501</cdr:y>
    </cdr:from>
    <cdr:to>
      <cdr:x>0.95369</cdr:x>
      <cdr:y>0.14525</cdr:y>
    </cdr:to>
    <cdr:sp macro="" textlink="">
      <cdr:nvSpPr>
        <cdr:cNvPr id="7" name="Rectangle 6"/>
        <cdr:cNvSpPr/>
      </cdr:nvSpPr>
      <cdr:spPr>
        <a:xfrm xmlns:a="http://schemas.openxmlformats.org/drawingml/2006/main">
          <a:off x="2055710" y="135918"/>
          <a:ext cx="778465" cy="222964"/>
        </a:xfrm>
        <a:prstGeom xmlns:a="http://schemas.openxmlformats.org/drawingml/2006/main" prst="rect">
          <a:avLst/>
        </a:prstGeom>
        <a:noFill xmlns:a="http://schemas.openxmlformats.org/drawingml/2006/main"/>
      </cdr:spPr>
      <cdr:txBody>
        <a:bodyPr xmlns:a="http://schemas.openxmlformats.org/drawingml/2006/main" wrap="none" lIns="2" tIns="45720" rIns="91440" bIns="45720">
          <a:noAutofit/>
        </a:bodyPr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marL="0" marR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endParaRPr lang="en-US" sz="100" b="0" baseline="30000">
            <a:effectLst/>
            <a:latin typeface="+mn-lt"/>
            <a:ea typeface="+mn-ea"/>
            <a:cs typeface="+mn-cs"/>
          </a:endParaRPr>
        </a:p>
        <a:p xmlns:a="http://schemas.openxmlformats.org/drawingml/2006/main">
          <a:pPr marL="0" marR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en-US" sz="800" b="0" baseline="30000">
              <a:effectLst/>
              <a:latin typeface="+mn-lt"/>
              <a:ea typeface="+mn-ea"/>
              <a:cs typeface="+mn-cs"/>
            </a:rPr>
            <a:t>           </a:t>
          </a:r>
        </a:p>
        <a:p xmlns:a="http://schemas.openxmlformats.org/drawingml/2006/main">
          <a:pPr marL="0" marR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en-US" sz="1000" b="0" baseline="30000">
              <a:effectLst/>
              <a:latin typeface="+mn-lt"/>
              <a:ea typeface="+mn-ea"/>
              <a:cs typeface="+mn-cs"/>
            </a:rPr>
            <a:t>    Equilibrium Strategy</a:t>
          </a:r>
          <a:endParaRPr lang="en-US" sz="1000" b="0" i="0" u="none" cap="none" spc="0" baseline="0">
            <a:ln w="12700">
              <a:solidFill>
                <a:schemeClr val="tx1"/>
              </a:solidFill>
              <a:prstDash val="solid"/>
            </a:ln>
            <a:solidFill>
              <a:schemeClr val="tx1"/>
            </a:solidFill>
            <a:effectLst/>
          </a:endParaRPr>
        </a:p>
      </cdr:txBody>
    </cdr:sp>
  </cdr:relSizeAnchor>
  <cdr:relSizeAnchor xmlns:cdr="http://schemas.openxmlformats.org/drawingml/2006/chartDrawing">
    <cdr:from>
      <cdr:x>0.62359</cdr:x>
      <cdr:y>0.6265</cdr:y>
    </cdr:from>
    <cdr:to>
      <cdr:x>0.96974</cdr:x>
      <cdr:y>0.72695</cdr:y>
    </cdr:to>
    <cdr:sp macro="" textlink="">
      <cdr:nvSpPr>
        <cdr:cNvPr id="8" name="Text Box 1"/>
        <cdr:cNvSpPr txBox="1"/>
      </cdr:nvSpPr>
      <cdr:spPr>
        <a:xfrm xmlns:a="http://schemas.openxmlformats.org/drawingml/2006/main">
          <a:off x="1853185" y="1547948"/>
          <a:ext cx="1028688" cy="24819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700" b="1">
              <a:solidFill>
                <a:srgbClr val="FF0000"/>
              </a:solidFill>
              <a:latin typeface="+mn-lt"/>
              <a:ea typeface="+mn-ea"/>
              <a:cs typeface="+mn-cs"/>
            </a:rPr>
            <a:t>   </a:t>
          </a:r>
          <a:endParaRPr lang="en-US" sz="200" b="1">
            <a:solidFill>
              <a:srgbClr val="FF0000"/>
            </a:solidFill>
          </a:endParaRPr>
        </a:p>
        <a:p xmlns:a="http://schemas.openxmlformats.org/drawingml/2006/main">
          <a:r>
            <a:rPr lang="en-US" sz="700" b="1">
              <a:solidFill>
                <a:srgbClr val="FF9300"/>
              </a:solidFill>
              <a:latin typeface="+mn-lt"/>
              <a:ea typeface="+mn-ea"/>
              <a:cs typeface="+mn-cs"/>
            </a:rPr>
            <a:t>    </a:t>
          </a:r>
          <a:r>
            <a:rPr lang="en-US" sz="700" b="1">
              <a:solidFill>
                <a:srgbClr val="FF9300"/>
              </a:solidFill>
            </a:rPr>
            <a:t>Last</a:t>
          </a:r>
          <a:r>
            <a:rPr lang="en-US" sz="700" b="1">
              <a:solidFill>
                <a:srgbClr val="FF9300"/>
              </a:solidFill>
              <a:latin typeface="+mn-lt"/>
              <a:ea typeface="+mn-ea"/>
              <a:cs typeface="+mn-cs"/>
            </a:rPr>
            <a:t> </a:t>
          </a:r>
          <a:r>
            <a:rPr lang="en-US" sz="700" b="1">
              <a:solidFill>
                <a:srgbClr val="FF9300"/>
              </a:solidFill>
            </a:rPr>
            <a:t>10</a:t>
          </a:r>
          <a:r>
            <a:rPr lang="en-US" sz="700" b="1">
              <a:solidFill>
                <a:srgbClr val="FF9300"/>
              </a:solidFill>
              <a:latin typeface="+mn-lt"/>
              <a:ea typeface="+mn-ea"/>
              <a:cs typeface="+mn-cs"/>
            </a:rPr>
            <a:t> </a:t>
          </a:r>
          <a:r>
            <a:rPr lang="en-US" sz="700" b="1" baseline="0">
              <a:solidFill>
                <a:srgbClr val="FF9300"/>
              </a:solidFill>
            </a:rPr>
            <a:t>roun</a:t>
          </a:r>
          <a:r>
            <a:rPr lang="en-US" sz="700" b="1">
              <a:solidFill>
                <a:srgbClr val="FF9300"/>
              </a:solidFill>
            </a:rPr>
            <a:t>ds:</a:t>
          </a:r>
          <a:r>
            <a:rPr lang="en-US" sz="700" b="1">
              <a:solidFill>
                <a:srgbClr val="FF9300"/>
              </a:solidFill>
              <a:latin typeface="+mn-lt"/>
              <a:ea typeface="+mn-ea"/>
              <a:cs typeface="+mn-cs"/>
            </a:rPr>
            <a:t> </a:t>
          </a:r>
          <a:r>
            <a:rPr lang="en-US" sz="700" b="1">
              <a:solidFill>
                <a:srgbClr val="FF9300"/>
              </a:solidFill>
            </a:rPr>
            <a:t>4%</a:t>
          </a:r>
        </a:p>
        <a:p xmlns:a="http://schemas.openxmlformats.org/drawingml/2006/main">
          <a:endParaRPr lang="en-US" sz="1100"/>
        </a:p>
      </cdr:txBody>
    </cdr:sp>
  </cdr:relSizeAnchor>
  <cdr:relSizeAnchor xmlns:cdr="http://schemas.openxmlformats.org/drawingml/2006/chartDrawing">
    <cdr:from>
      <cdr:x>0.62014</cdr:x>
      <cdr:y>0.22176</cdr:y>
    </cdr:from>
    <cdr:to>
      <cdr:x>0.96629</cdr:x>
      <cdr:y>0.31692</cdr:y>
    </cdr:to>
    <cdr:sp macro="" textlink="">
      <cdr:nvSpPr>
        <cdr:cNvPr id="9" name="Text Box 1"/>
        <cdr:cNvSpPr txBox="1"/>
      </cdr:nvSpPr>
      <cdr:spPr>
        <a:xfrm xmlns:a="http://schemas.openxmlformats.org/drawingml/2006/main">
          <a:off x="1842932" y="547930"/>
          <a:ext cx="1028689" cy="23511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400" b="1">
              <a:solidFill>
                <a:srgbClr val="FF6600"/>
              </a:solidFill>
              <a:latin typeface="+mn-lt"/>
              <a:ea typeface="+mn-ea"/>
              <a:cs typeface="+mn-cs"/>
            </a:rPr>
            <a:t>  </a:t>
          </a:r>
          <a:endParaRPr lang="en-US" sz="200" b="1">
            <a:solidFill>
              <a:srgbClr val="FF6600"/>
            </a:solidFill>
          </a:endParaRPr>
        </a:p>
        <a:p xmlns:a="http://schemas.openxmlformats.org/drawingml/2006/main">
          <a:r>
            <a:rPr lang="en-US" sz="600" b="1">
              <a:solidFill>
                <a:srgbClr val="FF6600"/>
              </a:solidFill>
              <a:latin typeface="+mn-lt"/>
              <a:ea typeface="+mn-ea"/>
              <a:cs typeface="+mn-cs"/>
            </a:rPr>
            <a:t>   </a:t>
          </a:r>
          <a:r>
            <a:rPr lang="en-US" sz="700" b="1">
              <a:solidFill>
                <a:srgbClr val="FF0000"/>
              </a:solidFill>
            </a:rPr>
            <a:t>Last</a:t>
          </a:r>
          <a:r>
            <a:rPr lang="en-US" sz="700" b="1">
              <a:solidFill>
                <a:srgbClr val="FF0000"/>
              </a:solidFill>
              <a:latin typeface="+mn-lt"/>
              <a:ea typeface="+mn-ea"/>
              <a:cs typeface="+mn-cs"/>
            </a:rPr>
            <a:t> </a:t>
          </a:r>
          <a:r>
            <a:rPr lang="en-US" sz="700" b="1">
              <a:solidFill>
                <a:srgbClr val="FF0000"/>
              </a:solidFill>
            </a:rPr>
            <a:t>10</a:t>
          </a:r>
          <a:r>
            <a:rPr lang="en-US" sz="700" b="1">
              <a:solidFill>
                <a:srgbClr val="FF0000"/>
              </a:solidFill>
              <a:latin typeface="+mn-lt"/>
              <a:ea typeface="+mn-ea"/>
              <a:cs typeface="+mn-cs"/>
            </a:rPr>
            <a:t> </a:t>
          </a:r>
          <a:r>
            <a:rPr lang="en-US" sz="700" b="1">
              <a:solidFill>
                <a:srgbClr val="FF0000"/>
              </a:solidFill>
            </a:rPr>
            <a:t>rounds:</a:t>
          </a:r>
          <a:r>
            <a:rPr lang="en-US" sz="700" b="1">
              <a:solidFill>
                <a:srgbClr val="FF0000"/>
              </a:solidFill>
              <a:latin typeface="+mn-lt"/>
              <a:ea typeface="+mn-ea"/>
              <a:cs typeface="+mn-cs"/>
            </a:rPr>
            <a:t> </a:t>
          </a:r>
          <a:r>
            <a:rPr lang="en-US" sz="700" b="1">
              <a:solidFill>
                <a:srgbClr val="FF0000"/>
              </a:solidFill>
            </a:rPr>
            <a:t>84%</a:t>
          </a:r>
          <a:r>
            <a:rPr lang="en-US" sz="700" b="1">
              <a:solidFill>
                <a:srgbClr val="FF0000"/>
              </a:solidFill>
              <a:latin typeface="+mn-lt"/>
              <a:ea typeface="+mn-ea"/>
              <a:cs typeface="+mn-cs"/>
            </a:rPr>
            <a:t> </a:t>
          </a:r>
          <a:endParaRPr lang="en-US" sz="600">
            <a:solidFill>
              <a:srgbClr val="FF0000"/>
            </a:solidFill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0.59238</cdr:x>
      <cdr:y>0.06961</cdr:y>
    </cdr:from>
    <cdr:to>
      <cdr:x>0.86806</cdr:x>
      <cdr:y>0.11365</cdr:y>
    </cdr:to>
    <cdr:sp macro="" textlink="">
      <cdr:nvSpPr>
        <cdr:cNvPr id="6" name="Rectangle 3"/>
        <cdr:cNvSpPr/>
      </cdr:nvSpPr>
      <cdr:spPr>
        <a:xfrm xmlns:a="http://schemas.openxmlformats.org/drawingml/2006/main">
          <a:off x="1760425" y="172119"/>
          <a:ext cx="819266" cy="108898"/>
        </a:xfrm>
        <a:prstGeom xmlns:a="http://schemas.openxmlformats.org/drawingml/2006/main" prst="rect">
          <a:avLst/>
        </a:prstGeom>
        <a:noFill xmlns:a="http://schemas.openxmlformats.org/drawingml/2006/main"/>
      </cdr:spPr>
      <cdr:txBody>
        <a:bodyPr xmlns:a="http://schemas.openxmlformats.org/drawingml/2006/main" wrap="none" lIns="2" tIns="45720" rIns="91440" bIns="45720">
          <a:noAutofit/>
        </a:bodyPr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marL="0" marR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endParaRPr lang="en-US" sz="200" b="0" baseline="30000">
            <a:effectLst/>
            <a:latin typeface="+mn-lt"/>
            <a:ea typeface="+mn-ea"/>
            <a:cs typeface="+mn-cs"/>
          </a:endParaRPr>
        </a:p>
        <a:p xmlns:a="http://schemas.openxmlformats.org/drawingml/2006/main">
          <a:pPr marL="0" marR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en-US" sz="1000" b="0" baseline="30000">
              <a:effectLst/>
              <a:latin typeface="+mn-lt"/>
              <a:ea typeface="+mn-ea"/>
              <a:cs typeface="+mn-cs"/>
            </a:rPr>
            <a:t>Good Equilibrium (without DW Stigma)</a:t>
          </a:r>
          <a:endParaRPr lang="el-GR" sz="1000" b="0">
            <a:effectLst/>
          </a:endParaRPr>
        </a:p>
        <a:p xmlns:a="http://schemas.openxmlformats.org/drawingml/2006/main">
          <a:pPr algn="ctr"/>
          <a:endParaRPr lang="en-US" sz="2200" b="0" i="0" u="none" cap="none" spc="0" baseline="0">
            <a:ln w="12700">
              <a:solidFill>
                <a:schemeClr val="tx1"/>
              </a:solidFill>
              <a:prstDash val="solid"/>
            </a:ln>
            <a:solidFill>
              <a:schemeClr val="tx1"/>
            </a:solidFill>
            <a:effectLst/>
          </a:endParaRPr>
        </a:p>
      </cdr:txBody>
    </cdr:sp>
  </cdr:relSizeAnchor>
  <cdr:relSizeAnchor xmlns:cdr="http://schemas.openxmlformats.org/drawingml/2006/chartDrawing">
    <cdr:from>
      <cdr:x>0.21899</cdr:x>
      <cdr:y>0.75889</cdr:y>
    </cdr:from>
    <cdr:to>
      <cdr:x>0.46583</cdr:x>
      <cdr:y>0.79775</cdr:y>
    </cdr:to>
    <cdr:sp macro="" textlink="">
      <cdr:nvSpPr>
        <cdr:cNvPr id="7" name="Rectangle 4"/>
        <cdr:cNvSpPr/>
      </cdr:nvSpPr>
      <cdr:spPr>
        <a:xfrm xmlns:a="http://schemas.openxmlformats.org/drawingml/2006/main">
          <a:off x="650797" y="1876492"/>
          <a:ext cx="733559" cy="96089"/>
        </a:xfrm>
        <a:prstGeom xmlns:a="http://schemas.openxmlformats.org/drawingml/2006/main" prst="rect">
          <a:avLst/>
        </a:prstGeom>
        <a:noFill xmlns:a="http://schemas.openxmlformats.org/drawingml/2006/main"/>
      </cdr:spPr>
      <cdr:txBody>
        <a:bodyPr xmlns:a="http://schemas.openxmlformats.org/drawingml/2006/main" wrap="none" lIns="2" tIns="45720" rIns="91440" bIns="45720">
          <a:noAutofit/>
        </a:bodyPr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marL="0" marR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endParaRPr lang="en-US" sz="400" b="0" baseline="30000">
            <a:effectLst/>
            <a:latin typeface="+mn-lt"/>
            <a:ea typeface="+mn-ea"/>
            <a:cs typeface="+mn-cs"/>
          </a:endParaRPr>
        </a:p>
        <a:p xmlns:a="http://schemas.openxmlformats.org/drawingml/2006/main">
          <a:pPr marL="0" marR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en-US" sz="1000" b="0" baseline="30000">
              <a:effectLst/>
              <a:latin typeface="+mn-lt"/>
              <a:ea typeface="+mn-ea"/>
              <a:cs typeface="+mn-cs"/>
            </a:rPr>
            <a:t>Bad Equilibrium (with DW Stigma)</a:t>
          </a:r>
          <a:endParaRPr lang="el-GR" sz="1000" b="0">
            <a:effectLst/>
          </a:endParaRPr>
        </a:p>
      </cdr:txBody>
    </cdr:sp>
  </cdr:relSizeAnchor>
  <cdr:relSizeAnchor xmlns:cdr="http://schemas.openxmlformats.org/drawingml/2006/chartDrawing">
    <cdr:from>
      <cdr:x>0.57863</cdr:x>
      <cdr:y>0.49208</cdr:y>
    </cdr:from>
    <cdr:to>
      <cdr:x>0.96325</cdr:x>
      <cdr:y>0.64541</cdr:y>
    </cdr:to>
    <cdr:sp macro="" textlink="">
      <cdr:nvSpPr>
        <cdr:cNvPr id="8" name="Text Box 1"/>
        <cdr:cNvSpPr txBox="1"/>
      </cdr:nvSpPr>
      <cdr:spPr>
        <a:xfrm xmlns:a="http://schemas.openxmlformats.org/drawingml/2006/main">
          <a:off x="1719573" y="1216770"/>
          <a:ext cx="1143013" cy="3791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en-US" sz="220">
            <a:solidFill>
              <a:srgbClr val="000090"/>
            </a:solidFill>
          </a:endParaRPr>
        </a:p>
        <a:p xmlns:a="http://schemas.openxmlformats.org/drawingml/2006/main">
          <a:r>
            <a:rPr lang="en-US" sz="700" b="1">
              <a:solidFill>
                <a:srgbClr val="000090"/>
              </a:solidFill>
              <a:latin typeface="+mn-lt"/>
              <a:ea typeface="+mn-ea"/>
              <a:cs typeface="+mn-cs"/>
            </a:rPr>
            <a:t>       </a:t>
          </a:r>
          <a:r>
            <a:rPr lang="en-US" sz="700" b="1">
              <a:solidFill>
                <a:srgbClr val="002060"/>
              </a:solidFill>
            </a:rPr>
            <a:t>Last</a:t>
          </a:r>
          <a:r>
            <a:rPr lang="en-US" sz="700" b="1">
              <a:solidFill>
                <a:srgbClr val="002060"/>
              </a:solidFill>
              <a:latin typeface="+mn-lt"/>
              <a:ea typeface="+mn-ea"/>
              <a:cs typeface="+mn-cs"/>
            </a:rPr>
            <a:t> </a:t>
          </a:r>
          <a:r>
            <a:rPr lang="en-US" sz="700" b="1">
              <a:solidFill>
                <a:srgbClr val="002060"/>
              </a:solidFill>
            </a:rPr>
            <a:t>10</a:t>
          </a:r>
          <a:r>
            <a:rPr lang="en-US" sz="700" b="1">
              <a:solidFill>
                <a:srgbClr val="002060"/>
              </a:solidFill>
              <a:latin typeface="+mn-lt"/>
              <a:ea typeface="+mn-ea"/>
              <a:cs typeface="+mn-cs"/>
            </a:rPr>
            <a:t> </a:t>
          </a:r>
          <a:r>
            <a:rPr lang="en-US" sz="700" b="1">
              <a:solidFill>
                <a:srgbClr val="002060"/>
              </a:solidFill>
            </a:rPr>
            <a:t>rounds:</a:t>
          </a:r>
          <a:r>
            <a:rPr lang="en-US" sz="700" b="1">
              <a:solidFill>
                <a:srgbClr val="002060"/>
              </a:solidFill>
              <a:latin typeface="+mn-lt"/>
              <a:ea typeface="+mn-ea"/>
              <a:cs typeface="+mn-cs"/>
            </a:rPr>
            <a:t> </a:t>
          </a:r>
          <a:r>
            <a:rPr lang="en-US" sz="700" b="1">
              <a:solidFill>
                <a:srgbClr val="002060"/>
              </a:solidFill>
            </a:rPr>
            <a:t>18%</a:t>
          </a:r>
          <a:r>
            <a:rPr lang="en-US" sz="700" b="1">
              <a:solidFill>
                <a:srgbClr val="002060"/>
              </a:solidFill>
              <a:latin typeface="+mn-lt"/>
              <a:ea typeface="+mn-ea"/>
              <a:cs typeface="+mn-cs"/>
            </a:rPr>
            <a:t> </a:t>
          </a:r>
          <a:endParaRPr lang="en-US" sz="700" b="1">
            <a:solidFill>
              <a:srgbClr val="002060"/>
            </a:solidFill>
          </a:endParaRPr>
        </a:p>
        <a:p xmlns:a="http://schemas.openxmlformats.org/drawingml/2006/main">
          <a:r>
            <a:rPr lang="en-US" sz="700" b="1">
              <a:solidFill>
                <a:schemeClr val="tx2">
                  <a:lumMod val="40000"/>
                  <a:lumOff val="60000"/>
                </a:schemeClr>
              </a:solidFill>
              <a:latin typeface="+mn-lt"/>
              <a:ea typeface="+mn-ea"/>
              <a:cs typeface="+mn-cs"/>
            </a:rPr>
            <a:t>       </a:t>
          </a:r>
          <a:r>
            <a:rPr lang="en-US" sz="700" b="1">
              <a:solidFill>
                <a:srgbClr val="00B0F0"/>
              </a:solidFill>
            </a:rPr>
            <a:t>Last</a:t>
          </a:r>
          <a:r>
            <a:rPr lang="en-US" sz="700" b="1">
              <a:solidFill>
                <a:srgbClr val="00B0F0"/>
              </a:solidFill>
              <a:latin typeface="+mn-lt"/>
              <a:ea typeface="+mn-ea"/>
              <a:cs typeface="+mn-cs"/>
            </a:rPr>
            <a:t> </a:t>
          </a:r>
          <a:r>
            <a:rPr lang="en-US" sz="700" b="1">
              <a:solidFill>
                <a:srgbClr val="00B0F0"/>
              </a:solidFill>
            </a:rPr>
            <a:t>10</a:t>
          </a:r>
          <a:r>
            <a:rPr lang="en-US" sz="700" b="1">
              <a:solidFill>
                <a:srgbClr val="00B0F0"/>
              </a:solidFill>
              <a:latin typeface="+mn-lt"/>
              <a:ea typeface="+mn-ea"/>
              <a:cs typeface="+mn-cs"/>
            </a:rPr>
            <a:t> </a:t>
          </a:r>
          <a:r>
            <a:rPr lang="en-US" sz="700" b="1">
              <a:solidFill>
                <a:srgbClr val="00B0F0"/>
              </a:solidFill>
            </a:rPr>
            <a:t>rounds:</a:t>
          </a:r>
          <a:r>
            <a:rPr lang="en-US" sz="700" b="1">
              <a:solidFill>
                <a:srgbClr val="00B0F0"/>
              </a:solidFill>
              <a:latin typeface="+mn-lt"/>
              <a:ea typeface="+mn-ea"/>
              <a:cs typeface="+mn-cs"/>
            </a:rPr>
            <a:t> </a:t>
          </a:r>
          <a:r>
            <a:rPr lang="en-US" sz="700" b="1">
              <a:solidFill>
                <a:srgbClr val="00B0F0"/>
              </a:solidFill>
            </a:rPr>
            <a:t>22%</a:t>
          </a:r>
        </a:p>
        <a:p xmlns:a="http://schemas.openxmlformats.org/drawingml/2006/main">
          <a:r>
            <a:rPr lang="en-US" sz="800">
              <a:solidFill>
                <a:srgbClr val="000090"/>
              </a:solidFill>
              <a:latin typeface="+mn-lt"/>
              <a:ea typeface="+mn-ea"/>
              <a:cs typeface="+mn-cs"/>
            </a:rPr>
            <a:t> </a:t>
          </a:r>
          <a:endParaRPr lang="en-US" sz="800">
            <a:solidFill>
              <a:srgbClr val="000090"/>
            </a:solidFill>
          </a:endParaRP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0.12624</cdr:x>
      <cdr:y>0.75975</cdr:y>
    </cdr:from>
    <cdr:to>
      <cdr:x>0.34813</cdr:x>
      <cdr:y>0.80058</cdr:y>
    </cdr:to>
    <cdr:sp macro="" textlink="">
      <cdr:nvSpPr>
        <cdr:cNvPr id="6" name="Rectangle 5"/>
        <cdr:cNvSpPr/>
      </cdr:nvSpPr>
      <cdr:spPr>
        <a:xfrm xmlns:a="http://schemas.openxmlformats.org/drawingml/2006/main">
          <a:off x="375150" y="1877188"/>
          <a:ext cx="659413" cy="100878"/>
        </a:xfrm>
        <a:prstGeom xmlns:a="http://schemas.openxmlformats.org/drawingml/2006/main" prst="rect">
          <a:avLst/>
        </a:prstGeom>
        <a:noFill xmlns:a="http://schemas.openxmlformats.org/drawingml/2006/main"/>
      </cdr:spPr>
      <cdr:txBody>
        <a:bodyPr xmlns:a="http://schemas.openxmlformats.org/drawingml/2006/main" wrap="none" lIns="2" tIns="45720" rIns="91440" bIns="45720">
          <a:noAutofit/>
        </a:bodyPr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marL="0" marR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endParaRPr lang="en-US" sz="400" b="0" baseline="30000">
            <a:effectLst/>
            <a:latin typeface="+mn-lt"/>
            <a:ea typeface="+mn-ea"/>
            <a:cs typeface="+mn-cs"/>
          </a:endParaRPr>
        </a:p>
        <a:p xmlns:a="http://schemas.openxmlformats.org/drawingml/2006/main">
          <a:pPr marL="0" marR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en-US" sz="800" b="0" baseline="30000">
              <a:effectLst/>
              <a:latin typeface="+mn-lt"/>
              <a:ea typeface="+mn-ea"/>
              <a:cs typeface="+mn-cs"/>
            </a:rPr>
            <a:t>             </a:t>
          </a:r>
          <a:r>
            <a:rPr lang="en-US" sz="1000" b="0" baseline="30000">
              <a:effectLst/>
              <a:latin typeface="+mn-lt"/>
              <a:ea typeface="+mn-ea"/>
              <a:cs typeface="+mn-cs"/>
            </a:rPr>
            <a:t>Equilibrium Strategy</a:t>
          </a:r>
          <a:endParaRPr lang="el-GR" sz="1000" b="0">
            <a:effectLst/>
          </a:endParaRPr>
        </a:p>
      </cdr:txBody>
    </cdr:sp>
  </cdr:relSizeAnchor>
  <cdr:relSizeAnchor xmlns:cdr="http://schemas.openxmlformats.org/drawingml/2006/chartDrawing">
    <cdr:from>
      <cdr:x>0.67638</cdr:x>
      <cdr:y>0.05501</cdr:y>
    </cdr:from>
    <cdr:to>
      <cdr:x>0.95369</cdr:x>
      <cdr:y>0.14525</cdr:y>
    </cdr:to>
    <cdr:sp macro="" textlink="">
      <cdr:nvSpPr>
        <cdr:cNvPr id="7" name="Rectangle 6"/>
        <cdr:cNvSpPr/>
      </cdr:nvSpPr>
      <cdr:spPr>
        <a:xfrm xmlns:a="http://schemas.openxmlformats.org/drawingml/2006/main">
          <a:off x="2010054" y="135923"/>
          <a:ext cx="824110" cy="222955"/>
        </a:xfrm>
        <a:prstGeom xmlns:a="http://schemas.openxmlformats.org/drawingml/2006/main" prst="rect">
          <a:avLst/>
        </a:prstGeom>
        <a:noFill xmlns:a="http://schemas.openxmlformats.org/drawingml/2006/main"/>
      </cdr:spPr>
      <cdr:txBody>
        <a:bodyPr xmlns:a="http://schemas.openxmlformats.org/drawingml/2006/main" wrap="none" lIns="2" tIns="45720" rIns="91440" bIns="45720">
          <a:noAutofit/>
        </a:bodyPr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marL="0" marR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endParaRPr lang="en-US" sz="300" b="0" baseline="30000">
            <a:effectLst/>
            <a:latin typeface="+mn-lt"/>
            <a:ea typeface="+mn-ea"/>
            <a:cs typeface="+mn-cs"/>
          </a:endParaRPr>
        </a:p>
        <a:p xmlns:a="http://schemas.openxmlformats.org/drawingml/2006/main">
          <a:pPr marL="0" marR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endParaRPr lang="en-US" sz="300" b="0" baseline="30000">
            <a:effectLst/>
            <a:latin typeface="+mn-lt"/>
            <a:ea typeface="+mn-ea"/>
            <a:cs typeface="+mn-cs"/>
          </a:endParaRPr>
        </a:p>
        <a:p xmlns:a="http://schemas.openxmlformats.org/drawingml/2006/main">
          <a:pPr marL="0" marR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en-US" sz="800" b="0" baseline="30000">
              <a:effectLst/>
              <a:latin typeface="+mn-lt"/>
              <a:ea typeface="+mn-ea"/>
              <a:cs typeface="+mn-cs"/>
            </a:rPr>
            <a:t>           </a:t>
          </a:r>
          <a:r>
            <a:rPr lang="en-US" sz="1000" b="0" baseline="30000">
              <a:effectLst/>
              <a:latin typeface="+mn-lt"/>
              <a:ea typeface="+mn-ea"/>
              <a:cs typeface="+mn-cs"/>
            </a:rPr>
            <a:t>Equilibrium Strategy</a:t>
          </a:r>
          <a:endParaRPr lang="en-US" sz="1000" b="0" i="0" u="none" cap="none" spc="0" baseline="0">
            <a:ln w="12700">
              <a:solidFill>
                <a:schemeClr val="tx1"/>
              </a:solidFill>
              <a:prstDash val="solid"/>
            </a:ln>
            <a:solidFill>
              <a:schemeClr val="tx1"/>
            </a:solidFill>
            <a:effectLst/>
          </a:endParaRPr>
        </a:p>
      </cdr:txBody>
    </cdr:sp>
  </cdr:relSizeAnchor>
  <cdr:relSizeAnchor xmlns:cdr="http://schemas.openxmlformats.org/drawingml/2006/chartDrawing">
    <cdr:from>
      <cdr:x>0.62359</cdr:x>
      <cdr:y>0.60271</cdr:y>
    </cdr:from>
    <cdr:to>
      <cdr:x>0.96974</cdr:x>
      <cdr:y>0.76815</cdr:y>
    </cdr:to>
    <cdr:sp macro="" textlink="">
      <cdr:nvSpPr>
        <cdr:cNvPr id="8" name="Text Box 1"/>
        <cdr:cNvSpPr txBox="1"/>
      </cdr:nvSpPr>
      <cdr:spPr>
        <a:xfrm xmlns:a="http://schemas.openxmlformats.org/drawingml/2006/main">
          <a:off x="1853185" y="1489165"/>
          <a:ext cx="1028688" cy="40876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700" b="1">
              <a:solidFill>
                <a:srgbClr val="FF9300"/>
              </a:solidFill>
              <a:latin typeface="+mn-lt"/>
              <a:ea typeface="+mn-ea"/>
              <a:cs typeface="+mn-cs"/>
            </a:rPr>
            <a:t> </a:t>
          </a:r>
          <a:r>
            <a:rPr lang="en-US" sz="700" b="1">
              <a:solidFill>
                <a:srgbClr val="FF9300"/>
              </a:solidFill>
            </a:rPr>
            <a:t>Last</a:t>
          </a:r>
          <a:r>
            <a:rPr lang="en-US" sz="700" b="1">
              <a:solidFill>
                <a:srgbClr val="FF9300"/>
              </a:solidFill>
              <a:latin typeface="+mn-lt"/>
              <a:ea typeface="+mn-ea"/>
              <a:cs typeface="+mn-cs"/>
            </a:rPr>
            <a:t> </a:t>
          </a:r>
          <a:r>
            <a:rPr lang="en-US" sz="700" b="1">
              <a:solidFill>
                <a:srgbClr val="FF9300"/>
              </a:solidFill>
            </a:rPr>
            <a:t>10</a:t>
          </a:r>
          <a:r>
            <a:rPr lang="en-US" sz="700" b="1">
              <a:solidFill>
                <a:srgbClr val="FF9300"/>
              </a:solidFill>
              <a:latin typeface="+mn-lt"/>
              <a:ea typeface="+mn-ea"/>
              <a:cs typeface="+mn-cs"/>
            </a:rPr>
            <a:t> </a:t>
          </a:r>
          <a:r>
            <a:rPr lang="en-US" sz="700" b="1" baseline="0">
              <a:solidFill>
                <a:srgbClr val="FF9300"/>
              </a:solidFill>
            </a:rPr>
            <a:t>roun</a:t>
          </a:r>
          <a:r>
            <a:rPr lang="en-US" sz="700" b="1">
              <a:solidFill>
                <a:srgbClr val="FF9300"/>
              </a:solidFill>
            </a:rPr>
            <a:t>ds:</a:t>
          </a:r>
          <a:r>
            <a:rPr lang="en-US" sz="700" b="1">
              <a:solidFill>
                <a:srgbClr val="FF9300"/>
              </a:solidFill>
              <a:latin typeface="+mn-lt"/>
              <a:ea typeface="+mn-ea"/>
              <a:cs typeface="+mn-cs"/>
            </a:rPr>
            <a:t> </a:t>
          </a:r>
          <a:r>
            <a:rPr lang="en-US" sz="700" b="1">
              <a:solidFill>
                <a:srgbClr val="FF9300"/>
              </a:solidFill>
            </a:rPr>
            <a:t>14%</a:t>
          </a:r>
        </a:p>
        <a:p xmlns:a="http://schemas.openxmlformats.org/drawingml/2006/main">
          <a:endParaRPr lang="en-US" sz="1100"/>
        </a:p>
      </cdr:txBody>
    </cdr:sp>
  </cdr:relSizeAnchor>
  <cdr:relSizeAnchor xmlns:cdr="http://schemas.openxmlformats.org/drawingml/2006/chartDrawing">
    <cdr:from>
      <cdr:x>0.62014</cdr:x>
      <cdr:y>0.25609</cdr:y>
    </cdr:from>
    <cdr:to>
      <cdr:x>0.96629</cdr:x>
      <cdr:y>0.37185</cdr:y>
    </cdr:to>
    <cdr:sp macro="" textlink="">
      <cdr:nvSpPr>
        <cdr:cNvPr id="9" name="Text Box 1"/>
        <cdr:cNvSpPr txBox="1"/>
      </cdr:nvSpPr>
      <cdr:spPr>
        <a:xfrm xmlns:a="http://schemas.openxmlformats.org/drawingml/2006/main">
          <a:off x="1842920" y="632748"/>
          <a:ext cx="1028689" cy="28600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600" b="1">
              <a:solidFill>
                <a:srgbClr val="FF6600"/>
              </a:solidFill>
              <a:latin typeface="+mn-lt"/>
              <a:ea typeface="+mn-ea"/>
              <a:cs typeface="+mn-cs"/>
            </a:rPr>
            <a:t>  </a:t>
          </a:r>
          <a:endParaRPr lang="en-US" sz="600" b="1">
            <a:solidFill>
              <a:srgbClr val="FF6600"/>
            </a:solidFill>
          </a:endParaRPr>
        </a:p>
        <a:p xmlns:a="http://schemas.openxmlformats.org/drawingml/2006/main">
          <a:r>
            <a:rPr lang="en-US" sz="600" b="1">
              <a:solidFill>
                <a:srgbClr val="FF6600"/>
              </a:solidFill>
              <a:latin typeface="+mn-lt"/>
              <a:ea typeface="+mn-ea"/>
              <a:cs typeface="+mn-cs"/>
            </a:rPr>
            <a:t>   </a:t>
          </a:r>
          <a:r>
            <a:rPr lang="en-US" sz="700" b="1">
              <a:solidFill>
                <a:srgbClr val="FF0000"/>
              </a:solidFill>
            </a:rPr>
            <a:t>Last</a:t>
          </a:r>
          <a:r>
            <a:rPr lang="en-US" sz="700" b="1">
              <a:solidFill>
                <a:srgbClr val="FF0000"/>
              </a:solidFill>
              <a:latin typeface="+mn-lt"/>
              <a:ea typeface="+mn-ea"/>
              <a:cs typeface="+mn-cs"/>
            </a:rPr>
            <a:t> </a:t>
          </a:r>
          <a:r>
            <a:rPr lang="en-US" sz="700" b="1">
              <a:solidFill>
                <a:srgbClr val="FF0000"/>
              </a:solidFill>
            </a:rPr>
            <a:t>10</a:t>
          </a:r>
          <a:r>
            <a:rPr lang="en-US" sz="700" b="1">
              <a:solidFill>
                <a:srgbClr val="FF0000"/>
              </a:solidFill>
              <a:latin typeface="+mn-lt"/>
              <a:ea typeface="+mn-ea"/>
              <a:cs typeface="+mn-cs"/>
            </a:rPr>
            <a:t> </a:t>
          </a:r>
          <a:r>
            <a:rPr lang="en-US" sz="700" b="1">
              <a:solidFill>
                <a:srgbClr val="FF0000"/>
              </a:solidFill>
            </a:rPr>
            <a:t>rounds:</a:t>
          </a:r>
          <a:r>
            <a:rPr lang="en-US" sz="700" b="1">
              <a:solidFill>
                <a:srgbClr val="FF0000"/>
              </a:solidFill>
              <a:latin typeface="+mn-lt"/>
              <a:ea typeface="+mn-ea"/>
              <a:cs typeface="+mn-cs"/>
            </a:rPr>
            <a:t> </a:t>
          </a:r>
          <a:r>
            <a:rPr lang="en-US" sz="700" b="1">
              <a:solidFill>
                <a:srgbClr val="FF0000"/>
              </a:solidFill>
            </a:rPr>
            <a:t>83%</a:t>
          </a:r>
          <a:r>
            <a:rPr lang="en-US" sz="700" b="1">
              <a:solidFill>
                <a:srgbClr val="FF0000"/>
              </a:solidFill>
              <a:latin typeface="+mn-lt"/>
              <a:ea typeface="+mn-ea"/>
              <a:cs typeface="+mn-cs"/>
            </a:rPr>
            <a:t> </a:t>
          </a:r>
          <a:endParaRPr lang="en-US" sz="600">
            <a:solidFill>
              <a:srgbClr val="FF0000"/>
            </a:solidFill>
          </a:endParaRP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0.59238</cdr:x>
      <cdr:y>0.06961</cdr:y>
    </cdr:from>
    <cdr:to>
      <cdr:x>0.86806</cdr:x>
      <cdr:y>0.11365</cdr:y>
    </cdr:to>
    <cdr:sp macro="" textlink="">
      <cdr:nvSpPr>
        <cdr:cNvPr id="6" name="Rectangle 3"/>
        <cdr:cNvSpPr/>
      </cdr:nvSpPr>
      <cdr:spPr>
        <a:xfrm xmlns:a="http://schemas.openxmlformats.org/drawingml/2006/main">
          <a:off x="1760425" y="172119"/>
          <a:ext cx="819266" cy="108898"/>
        </a:xfrm>
        <a:prstGeom xmlns:a="http://schemas.openxmlformats.org/drawingml/2006/main" prst="rect">
          <a:avLst/>
        </a:prstGeom>
        <a:noFill xmlns:a="http://schemas.openxmlformats.org/drawingml/2006/main"/>
      </cdr:spPr>
      <cdr:txBody>
        <a:bodyPr xmlns:a="http://schemas.openxmlformats.org/drawingml/2006/main" wrap="none" lIns="2" tIns="45720" rIns="91440" bIns="45720">
          <a:noAutofit/>
        </a:bodyPr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marL="0" marR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endParaRPr lang="en-US" sz="100" b="0" baseline="30000">
            <a:effectLst/>
            <a:latin typeface="+mn-lt"/>
            <a:ea typeface="+mn-ea"/>
            <a:cs typeface="+mn-cs"/>
          </a:endParaRPr>
        </a:p>
        <a:p xmlns:a="http://schemas.openxmlformats.org/drawingml/2006/main">
          <a:pPr marL="0" marR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en-US" sz="1000" b="0" baseline="30000">
              <a:effectLst/>
              <a:latin typeface="+mn-lt"/>
              <a:ea typeface="+mn-ea"/>
              <a:cs typeface="+mn-cs"/>
            </a:rPr>
            <a:t>Good Equilibrium (without DW Stigma)</a:t>
          </a:r>
          <a:endParaRPr lang="el-GR" sz="1000" b="0">
            <a:effectLst/>
          </a:endParaRPr>
        </a:p>
        <a:p xmlns:a="http://schemas.openxmlformats.org/drawingml/2006/main">
          <a:pPr algn="ctr"/>
          <a:endParaRPr lang="en-US" sz="2200" b="0" i="0" u="none" cap="none" spc="0" baseline="0">
            <a:ln w="12700">
              <a:solidFill>
                <a:schemeClr val="tx1"/>
              </a:solidFill>
              <a:prstDash val="solid"/>
            </a:ln>
            <a:solidFill>
              <a:schemeClr val="tx1"/>
            </a:solidFill>
            <a:effectLst/>
          </a:endParaRPr>
        </a:p>
      </cdr:txBody>
    </cdr:sp>
  </cdr:relSizeAnchor>
  <cdr:relSizeAnchor xmlns:cdr="http://schemas.openxmlformats.org/drawingml/2006/chartDrawing">
    <cdr:from>
      <cdr:x>0.21899</cdr:x>
      <cdr:y>0.75889</cdr:y>
    </cdr:from>
    <cdr:to>
      <cdr:x>0.46583</cdr:x>
      <cdr:y>0.79775</cdr:y>
    </cdr:to>
    <cdr:sp macro="" textlink="">
      <cdr:nvSpPr>
        <cdr:cNvPr id="7" name="Rectangle 4"/>
        <cdr:cNvSpPr/>
      </cdr:nvSpPr>
      <cdr:spPr>
        <a:xfrm xmlns:a="http://schemas.openxmlformats.org/drawingml/2006/main">
          <a:off x="650797" y="1876492"/>
          <a:ext cx="733559" cy="96089"/>
        </a:xfrm>
        <a:prstGeom xmlns:a="http://schemas.openxmlformats.org/drawingml/2006/main" prst="rect">
          <a:avLst/>
        </a:prstGeom>
        <a:noFill xmlns:a="http://schemas.openxmlformats.org/drawingml/2006/main"/>
      </cdr:spPr>
      <cdr:txBody>
        <a:bodyPr xmlns:a="http://schemas.openxmlformats.org/drawingml/2006/main" wrap="none" lIns="2" tIns="45720" rIns="91440" bIns="45720">
          <a:noAutofit/>
        </a:bodyPr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marL="0" marR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endParaRPr lang="en-US" sz="400" b="0" baseline="30000">
            <a:effectLst/>
            <a:latin typeface="+mn-lt"/>
            <a:ea typeface="+mn-ea"/>
            <a:cs typeface="+mn-cs"/>
          </a:endParaRPr>
        </a:p>
        <a:p xmlns:a="http://schemas.openxmlformats.org/drawingml/2006/main">
          <a:pPr marL="0" marR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en-US" sz="1000" b="0" baseline="30000">
              <a:effectLst/>
              <a:latin typeface="+mn-lt"/>
              <a:ea typeface="+mn-ea"/>
              <a:cs typeface="+mn-cs"/>
            </a:rPr>
            <a:t>Bad Equilibrium (with DW Stigma)</a:t>
          </a:r>
          <a:endParaRPr lang="el-GR" sz="1000" b="0">
            <a:effectLst/>
          </a:endParaRPr>
        </a:p>
      </cdr:txBody>
    </cdr:sp>
  </cdr:relSizeAnchor>
  <cdr:relSizeAnchor xmlns:cdr="http://schemas.openxmlformats.org/drawingml/2006/chartDrawing">
    <cdr:from>
      <cdr:x>0.58077</cdr:x>
      <cdr:y>0.34141</cdr:y>
    </cdr:from>
    <cdr:to>
      <cdr:x>0.96539</cdr:x>
      <cdr:y>0.49474</cdr:y>
    </cdr:to>
    <cdr:sp macro="" textlink="">
      <cdr:nvSpPr>
        <cdr:cNvPr id="8" name="Text Box 1"/>
        <cdr:cNvSpPr txBox="1"/>
      </cdr:nvSpPr>
      <cdr:spPr>
        <a:xfrm xmlns:a="http://schemas.openxmlformats.org/drawingml/2006/main">
          <a:off x="1725945" y="844189"/>
          <a:ext cx="1143014" cy="37913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en-US" sz="220">
            <a:solidFill>
              <a:srgbClr val="000090"/>
            </a:solidFill>
          </a:endParaRPr>
        </a:p>
        <a:p xmlns:a="http://schemas.openxmlformats.org/drawingml/2006/main">
          <a:r>
            <a:rPr lang="en-US" sz="700" b="1">
              <a:solidFill>
                <a:srgbClr val="000090"/>
              </a:solidFill>
              <a:latin typeface="+mn-lt"/>
              <a:ea typeface="+mn-ea"/>
              <a:cs typeface="+mn-cs"/>
            </a:rPr>
            <a:t>       </a:t>
          </a:r>
          <a:r>
            <a:rPr lang="en-US" sz="700" b="1">
              <a:solidFill>
                <a:srgbClr val="002060"/>
              </a:solidFill>
            </a:rPr>
            <a:t>Last</a:t>
          </a:r>
          <a:r>
            <a:rPr lang="en-US" sz="700" b="1">
              <a:solidFill>
                <a:srgbClr val="002060"/>
              </a:solidFill>
              <a:latin typeface="+mn-lt"/>
              <a:ea typeface="+mn-ea"/>
              <a:cs typeface="+mn-cs"/>
            </a:rPr>
            <a:t> </a:t>
          </a:r>
          <a:r>
            <a:rPr lang="en-US" sz="700" b="1">
              <a:solidFill>
                <a:srgbClr val="002060"/>
              </a:solidFill>
            </a:rPr>
            <a:t>10</a:t>
          </a:r>
          <a:r>
            <a:rPr lang="en-US" sz="700" b="1">
              <a:solidFill>
                <a:srgbClr val="002060"/>
              </a:solidFill>
              <a:latin typeface="+mn-lt"/>
              <a:ea typeface="+mn-ea"/>
              <a:cs typeface="+mn-cs"/>
            </a:rPr>
            <a:t> </a:t>
          </a:r>
          <a:r>
            <a:rPr lang="en-US" sz="700" b="1">
              <a:solidFill>
                <a:srgbClr val="002060"/>
              </a:solidFill>
            </a:rPr>
            <a:t>rounds:</a:t>
          </a:r>
          <a:r>
            <a:rPr lang="en-US" sz="700" b="1">
              <a:solidFill>
                <a:srgbClr val="002060"/>
              </a:solidFill>
              <a:latin typeface="+mn-lt"/>
              <a:ea typeface="+mn-ea"/>
              <a:cs typeface="+mn-cs"/>
            </a:rPr>
            <a:t> </a:t>
          </a:r>
          <a:r>
            <a:rPr lang="en-US" sz="700" b="1">
              <a:solidFill>
                <a:srgbClr val="002060"/>
              </a:solidFill>
            </a:rPr>
            <a:t>33%</a:t>
          </a:r>
          <a:r>
            <a:rPr lang="en-US" sz="700" b="1">
              <a:solidFill>
                <a:srgbClr val="002060"/>
              </a:solidFill>
              <a:latin typeface="+mn-lt"/>
              <a:ea typeface="+mn-ea"/>
              <a:cs typeface="+mn-cs"/>
            </a:rPr>
            <a:t> </a:t>
          </a:r>
          <a:endParaRPr lang="en-US" sz="700" b="1">
            <a:solidFill>
              <a:srgbClr val="002060"/>
            </a:solidFill>
          </a:endParaRPr>
        </a:p>
        <a:p xmlns:a="http://schemas.openxmlformats.org/drawingml/2006/main">
          <a:r>
            <a:rPr lang="en-US" sz="700" b="1">
              <a:solidFill>
                <a:schemeClr val="tx2">
                  <a:lumMod val="40000"/>
                  <a:lumOff val="60000"/>
                </a:schemeClr>
              </a:solidFill>
              <a:latin typeface="+mn-lt"/>
              <a:ea typeface="+mn-ea"/>
              <a:cs typeface="+mn-cs"/>
            </a:rPr>
            <a:t>       </a:t>
          </a:r>
          <a:r>
            <a:rPr lang="en-US" sz="700" b="1">
              <a:solidFill>
                <a:srgbClr val="00B0F0"/>
              </a:solidFill>
            </a:rPr>
            <a:t>Last</a:t>
          </a:r>
          <a:r>
            <a:rPr lang="en-US" sz="700" b="1">
              <a:solidFill>
                <a:srgbClr val="00B0F0"/>
              </a:solidFill>
              <a:latin typeface="+mn-lt"/>
              <a:ea typeface="+mn-ea"/>
              <a:cs typeface="+mn-cs"/>
            </a:rPr>
            <a:t> </a:t>
          </a:r>
          <a:r>
            <a:rPr lang="en-US" sz="700" b="1">
              <a:solidFill>
                <a:srgbClr val="00B0F0"/>
              </a:solidFill>
            </a:rPr>
            <a:t>10</a:t>
          </a:r>
          <a:r>
            <a:rPr lang="en-US" sz="700" b="1">
              <a:solidFill>
                <a:srgbClr val="00B0F0"/>
              </a:solidFill>
              <a:latin typeface="+mn-lt"/>
              <a:ea typeface="+mn-ea"/>
              <a:cs typeface="+mn-cs"/>
            </a:rPr>
            <a:t> </a:t>
          </a:r>
          <a:r>
            <a:rPr lang="en-US" sz="700" b="1">
              <a:solidFill>
                <a:srgbClr val="00B0F0"/>
              </a:solidFill>
            </a:rPr>
            <a:t>rounds:</a:t>
          </a:r>
          <a:r>
            <a:rPr lang="en-US" sz="700" b="1">
              <a:solidFill>
                <a:srgbClr val="00B0F0"/>
              </a:solidFill>
              <a:latin typeface="+mn-lt"/>
              <a:ea typeface="+mn-ea"/>
              <a:cs typeface="+mn-cs"/>
            </a:rPr>
            <a:t> </a:t>
          </a:r>
          <a:r>
            <a:rPr lang="en-US" sz="700" b="1">
              <a:solidFill>
                <a:srgbClr val="00B0F0"/>
              </a:solidFill>
            </a:rPr>
            <a:t>32%</a:t>
          </a:r>
        </a:p>
        <a:p xmlns:a="http://schemas.openxmlformats.org/drawingml/2006/main">
          <a:r>
            <a:rPr lang="en-US" sz="800">
              <a:solidFill>
                <a:srgbClr val="000090"/>
              </a:solidFill>
              <a:latin typeface="+mn-lt"/>
              <a:ea typeface="+mn-ea"/>
              <a:cs typeface="+mn-cs"/>
            </a:rPr>
            <a:t> </a:t>
          </a:r>
          <a:endParaRPr lang="en-US" sz="800">
            <a:solidFill>
              <a:srgbClr val="000090"/>
            </a:solidFill>
          </a:endParaRPr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0.12624</cdr:x>
      <cdr:y>0.75975</cdr:y>
    </cdr:from>
    <cdr:to>
      <cdr:x>0.34813</cdr:x>
      <cdr:y>0.80058</cdr:y>
    </cdr:to>
    <cdr:sp macro="" textlink="">
      <cdr:nvSpPr>
        <cdr:cNvPr id="6" name="Rectangle 5"/>
        <cdr:cNvSpPr/>
      </cdr:nvSpPr>
      <cdr:spPr>
        <a:xfrm xmlns:a="http://schemas.openxmlformats.org/drawingml/2006/main">
          <a:off x="375150" y="1877188"/>
          <a:ext cx="659413" cy="100878"/>
        </a:xfrm>
        <a:prstGeom xmlns:a="http://schemas.openxmlformats.org/drawingml/2006/main" prst="rect">
          <a:avLst/>
        </a:prstGeom>
        <a:noFill xmlns:a="http://schemas.openxmlformats.org/drawingml/2006/main"/>
      </cdr:spPr>
      <cdr:txBody>
        <a:bodyPr xmlns:a="http://schemas.openxmlformats.org/drawingml/2006/main" wrap="none" lIns="2" tIns="45720" rIns="91440" bIns="45720">
          <a:noAutofit/>
        </a:bodyPr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marL="0" marR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endParaRPr lang="en-US" sz="400" b="0" baseline="30000">
            <a:effectLst/>
            <a:latin typeface="+mn-lt"/>
            <a:ea typeface="+mn-ea"/>
            <a:cs typeface="+mn-cs"/>
          </a:endParaRPr>
        </a:p>
        <a:p xmlns:a="http://schemas.openxmlformats.org/drawingml/2006/main">
          <a:pPr marL="0" marR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en-US" sz="800" b="0" baseline="30000">
              <a:effectLst/>
              <a:latin typeface="+mn-lt"/>
              <a:ea typeface="+mn-ea"/>
              <a:cs typeface="+mn-cs"/>
            </a:rPr>
            <a:t>             </a:t>
          </a:r>
          <a:r>
            <a:rPr lang="en-US" sz="1000" b="0" baseline="30000">
              <a:effectLst/>
              <a:latin typeface="+mn-lt"/>
              <a:ea typeface="+mn-ea"/>
              <a:cs typeface="+mn-cs"/>
            </a:rPr>
            <a:t>Equilibrium Strategy</a:t>
          </a:r>
          <a:endParaRPr lang="el-GR" sz="1000" b="0">
            <a:effectLst/>
          </a:endParaRPr>
        </a:p>
      </cdr:txBody>
    </cdr:sp>
  </cdr:relSizeAnchor>
  <cdr:relSizeAnchor xmlns:cdr="http://schemas.openxmlformats.org/drawingml/2006/chartDrawing">
    <cdr:from>
      <cdr:x>0.67638</cdr:x>
      <cdr:y>0.05501</cdr:y>
    </cdr:from>
    <cdr:to>
      <cdr:x>0.95369</cdr:x>
      <cdr:y>0.14525</cdr:y>
    </cdr:to>
    <cdr:sp macro="" textlink="">
      <cdr:nvSpPr>
        <cdr:cNvPr id="7" name="Rectangle 6"/>
        <cdr:cNvSpPr/>
      </cdr:nvSpPr>
      <cdr:spPr>
        <a:xfrm xmlns:a="http://schemas.openxmlformats.org/drawingml/2006/main">
          <a:off x="2010054" y="135923"/>
          <a:ext cx="824110" cy="222955"/>
        </a:xfrm>
        <a:prstGeom xmlns:a="http://schemas.openxmlformats.org/drawingml/2006/main" prst="rect">
          <a:avLst/>
        </a:prstGeom>
        <a:noFill xmlns:a="http://schemas.openxmlformats.org/drawingml/2006/main"/>
      </cdr:spPr>
      <cdr:txBody>
        <a:bodyPr xmlns:a="http://schemas.openxmlformats.org/drawingml/2006/main" wrap="none" lIns="2" tIns="45720" rIns="91440" bIns="45720">
          <a:noAutofit/>
        </a:bodyPr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marL="0" marR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endParaRPr lang="en-US" sz="400" b="0" baseline="30000">
            <a:effectLst/>
            <a:latin typeface="+mn-lt"/>
            <a:ea typeface="+mn-ea"/>
            <a:cs typeface="+mn-cs"/>
          </a:endParaRPr>
        </a:p>
        <a:p xmlns:a="http://schemas.openxmlformats.org/drawingml/2006/main">
          <a:pPr marL="0" marR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en-US" sz="400" b="0" baseline="30000">
              <a:effectLst/>
              <a:latin typeface="+mn-lt"/>
              <a:ea typeface="+mn-ea"/>
              <a:cs typeface="+mn-cs"/>
            </a:rPr>
            <a:t>           </a:t>
          </a:r>
        </a:p>
        <a:p xmlns:a="http://schemas.openxmlformats.org/drawingml/2006/main">
          <a:pPr marL="0" marR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en-US" sz="1000" b="0" baseline="30000">
              <a:effectLst/>
              <a:latin typeface="+mn-lt"/>
              <a:ea typeface="+mn-ea"/>
              <a:cs typeface="+mn-cs"/>
            </a:rPr>
            <a:t>Equilibrium Strategy</a:t>
          </a:r>
          <a:endParaRPr lang="en-US" sz="1000" b="0" i="0" u="none" cap="none" spc="0" baseline="0">
            <a:ln w="12700">
              <a:solidFill>
                <a:schemeClr val="tx1"/>
              </a:solidFill>
              <a:prstDash val="solid"/>
            </a:ln>
            <a:solidFill>
              <a:schemeClr val="tx1"/>
            </a:solidFill>
            <a:effectLst/>
          </a:endParaRPr>
        </a:p>
      </cdr:txBody>
    </cdr:sp>
  </cdr:relSizeAnchor>
  <cdr:relSizeAnchor xmlns:cdr="http://schemas.openxmlformats.org/drawingml/2006/chartDrawing">
    <cdr:from>
      <cdr:x>0.6148</cdr:x>
      <cdr:y>0.57887</cdr:y>
    </cdr:from>
    <cdr:to>
      <cdr:x>0.96095</cdr:x>
      <cdr:y>0.69437</cdr:y>
    </cdr:to>
    <cdr:sp macro="" textlink="">
      <cdr:nvSpPr>
        <cdr:cNvPr id="8" name="Text Box 1"/>
        <cdr:cNvSpPr txBox="1"/>
      </cdr:nvSpPr>
      <cdr:spPr>
        <a:xfrm xmlns:a="http://schemas.openxmlformats.org/drawingml/2006/main">
          <a:off x="1827063" y="1430252"/>
          <a:ext cx="1028688" cy="28537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700" b="1">
              <a:solidFill>
                <a:srgbClr val="FF0000"/>
              </a:solidFill>
              <a:latin typeface="+mn-lt"/>
              <a:ea typeface="+mn-ea"/>
              <a:cs typeface="+mn-cs"/>
            </a:rPr>
            <a:t>   </a:t>
          </a:r>
          <a:r>
            <a:rPr lang="en-US" sz="700" b="1">
              <a:solidFill>
                <a:srgbClr val="FF9300"/>
              </a:solidFill>
            </a:rPr>
            <a:t>Last</a:t>
          </a:r>
          <a:r>
            <a:rPr lang="en-US" sz="700" b="1">
              <a:solidFill>
                <a:srgbClr val="FF9300"/>
              </a:solidFill>
              <a:latin typeface="+mn-lt"/>
              <a:ea typeface="+mn-ea"/>
              <a:cs typeface="+mn-cs"/>
            </a:rPr>
            <a:t> </a:t>
          </a:r>
          <a:r>
            <a:rPr lang="en-US" sz="700" b="1">
              <a:solidFill>
                <a:srgbClr val="FF9300"/>
              </a:solidFill>
            </a:rPr>
            <a:t>10</a:t>
          </a:r>
          <a:r>
            <a:rPr lang="en-US" sz="700" b="1">
              <a:solidFill>
                <a:srgbClr val="FF9300"/>
              </a:solidFill>
              <a:latin typeface="+mn-lt"/>
              <a:ea typeface="+mn-ea"/>
              <a:cs typeface="+mn-cs"/>
            </a:rPr>
            <a:t> </a:t>
          </a:r>
          <a:r>
            <a:rPr lang="en-US" sz="700" b="1" baseline="0">
              <a:solidFill>
                <a:srgbClr val="FF9300"/>
              </a:solidFill>
            </a:rPr>
            <a:t>roun</a:t>
          </a:r>
          <a:r>
            <a:rPr lang="en-US" sz="700" b="1">
              <a:solidFill>
                <a:srgbClr val="FF9300"/>
              </a:solidFill>
            </a:rPr>
            <a:t>ds:</a:t>
          </a:r>
          <a:r>
            <a:rPr lang="en-US" sz="700" b="1">
              <a:solidFill>
                <a:srgbClr val="FF9300"/>
              </a:solidFill>
              <a:latin typeface="+mn-lt"/>
              <a:ea typeface="+mn-ea"/>
              <a:cs typeface="+mn-cs"/>
            </a:rPr>
            <a:t> </a:t>
          </a:r>
          <a:r>
            <a:rPr lang="en-US" sz="700" b="1">
              <a:solidFill>
                <a:srgbClr val="FF9300"/>
              </a:solidFill>
            </a:rPr>
            <a:t>45%</a:t>
          </a:r>
        </a:p>
        <a:p xmlns:a="http://schemas.openxmlformats.org/drawingml/2006/main">
          <a:endParaRPr lang="en-US" sz="1100"/>
        </a:p>
      </cdr:txBody>
    </cdr:sp>
  </cdr:relSizeAnchor>
  <cdr:relSizeAnchor xmlns:cdr="http://schemas.openxmlformats.org/drawingml/2006/chartDrawing">
    <cdr:from>
      <cdr:x>0.62014</cdr:x>
      <cdr:y>0.25609</cdr:y>
    </cdr:from>
    <cdr:to>
      <cdr:x>0.96629</cdr:x>
      <cdr:y>0.37185</cdr:y>
    </cdr:to>
    <cdr:sp macro="" textlink="">
      <cdr:nvSpPr>
        <cdr:cNvPr id="9" name="Text Box 1"/>
        <cdr:cNvSpPr txBox="1"/>
      </cdr:nvSpPr>
      <cdr:spPr>
        <a:xfrm xmlns:a="http://schemas.openxmlformats.org/drawingml/2006/main">
          <a:off x="1842920" y="632748"/>
          <a:ext cx="1028689" cy="28600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600" b="1">
              <a:solidFill>
                <a:srgbClr val="FF6600"/>
              </a:solidFill>
              <a:latin typeface="+mn-lt"/>
              <a:ea typeface="+mn-ea"/>
              <a:cs typeface="+mn-cs"/>
            </a:rPr>
            <a:t>  </a:t>
          </a:r>
          <a:endParaRPr lang="en-US" sz="600" b="1">
            <a:solidFill>
              <a:srgbClr val="FF6600"/>
            </a:solidFill>
          </a:endParaRPr>
        </a:p>
        <a:p xmlns:a="http://schemas.openxmlformats.org/drawingml/2006/main">
          <a:r>
            <a:rPr lang="en-US" sz="600" b="1">
              <a:solidFill>
                <a:srgbClr val="FF6600"/>
              </a:solidFill>
              <a:latin typeface="+mn-lt"/>
              <a:ea typeface="+mn-ea"/>
              <a:cs typeface="+mn-cs"/>
            </a:rPr>
            <a:t>   </a:t>
          </a:r>
          <a:r>
            <a:rPr lang="en-US" sz="700" b="1">
              <a:solidFill>
                <a:srgbClr val="FF0000"/>
              </a:solidFill>
            </a:rPr>
            <a:t>Last</a:t>
          </a:r>
          <a:r>
            <a:rPr lang="en-US" sz="700" b="1">
              <a:solidFill>
                <a:srgbClr val="FF0000"/>
              </a:solidFill>
              <a:latin typeface="+mn-lt"/>
              <a:ea typeface="+mn-ea"/>
              <a:cs typeface="+mn-cs"/>
            </a:rPr>
            <a:t> </a:t>
          </a:r>
          <a:r>
            <a:rPr lang="en-US" sz="700" b="1">
              <a:solidFill>
                <a:srgbClr val="FF0000"/>
              </a:solidFill>
            </a:rPr>
            <a:t>10</a:t>
          </a:r>
          <a:r>
            <a:rPr lang="en-US" sz="700" b="1">
              <a:solidFill>
                <a:srgbClr val="FF0000"/>
              </a:solidFill>
              <a:latin typeface="+mn-lt"/>
              <a:ea typeface="+mn-ea"/>
              <a:cs typeface="+mn-cs"/>
            </a:rPr>
            <a:t> </a:t>
          </a:r>
          <a:r>
            <a:rPr lang="en-US" sz="700" b="1">
              <a:solidFill>
                <a:srgbClr val="FF0000"/>
              </a:solidFill>
            </a:rPr>
            <a:t>rounds:</a:t>
          </a:r>
          <a:r>
            <a:rPr lang="en-US" sz="700" b="1">
              <a:solidFill>
                <a:srgbClr val="FF0000"/>
              </a:solidFill>
              <a:latin typeface="+mn-lt"/>
              <a:ea typeface="+mn-ea"/>
              <a:cs typeface="+mn-cs"/>
            </a:rPr>
            <a:t> </a:t>
          </a:r>
          <a:r>
            <a:rPr lang="en-US" sz="700" b="1">
              <a:solidFill>
                <a:srgbClr val="FF0000"/>
              </a:solidFill>
            </a:rPr>
            <a:t>84%</a:t>
          </a:r>
          <a:r>
            <a:rPr lang="en-US" sz="700" b="1">
              <a:solidFill>
                <a:srgbClr val="FF0000"/>
              </a:solidFill>
              <a:latin typeface="+mn-lt"/>
              <a:ea typeface="+mn-ea"/>
              <a:cs typeface="+mn-cs"/>
            </a:rPr>
            <a:t> </a:t>
          </a:r>
          <a:endParaRPr lang="en-US" sz="600">
            <a:solidFill>
              <a:srgbClr val="FF0000"/>
            </a:solidFill>
          </a:endParaRPr>
        </a:p>
      </cdr:txBody>
    </cdr:sp>
  </cdr:relSizeAnchor>
</c:userShapes>
</file>

<file path=word/drawings/drawing6.xml><?xml version="1.0" encoding="utf-8"?>
<c:userShapes xmlns:c="http://schemas.openxmlformats.org/drawingml/2006/chart">
  <cdr:relSizeAnchor xmlns:cdr="http://schemas.openxmlformats.org/drawingml/2006/chartDrawing">
    <cdr:from>
      <cdr:x>0.59238</cdr:x>
      <cdr:y>0.06961</cdr:y>
    </cdr:from>
    <cdr:to>
      <cdr:x>0.86806</cdr:x>
      <cdr:y>0.11365</cdr:y>
    </cdr:to>
    <cdr:sp macro="" textlink="">
      <cdr:nvSpPr>
        <cdr:cNvPr id="6" name="Rectangle 3"/>
        <cdr:cNvSpPr/>
      </cdr:nvSpPr>
      <cdr:spPr>
        <a:xfrm xmlns:a="http://schemas.openxmlformats.org/drawingml/2006/main">
          <a:off x="1760425" y="172119"/>
          <a:ext cx="819266" cy="108898"/>
        </a:xfrm>
        <a:prstGeom xmlns:a="http://schemas.openxmlformats.org/drawingml/2006/main" prst="rect">
          <a:avLst/>
        </a:prstGeom>
        <a:noFill xmlns:a="http://schemas.openxmlformats.org/drawingml/2006/main"/>
      </cdr:spPr>
      <cdr:txBody>
        <a:bodyPr xmlns:a="http://schemas.openxmlformats.org/drawingml/2006/main" wrap="none" lIns="2" tIns="45720" rIns="91440" bIns="45720">
          <a:noAutofit/>
        </a:bodyPr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marL="0" marR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endParaRPr lang="en-US" sz="200" b="0" baseline="30000">
            <a:effectLst/>
            <a:latin typeface="+mn-lt"/>
            <a:ea typeface="+mn-ea"/>
            <a:cs typeface="+mn-cs"/>
          </a:endParaRPr>
        </a:p>
        <a:p xmlns:a="http://schemas.openxmlformats.org/drawingml/2006/main">
          <a:pPr marL="0" marR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en-US" sz="1000" b="0" baseline="30000">
              <a:effectLst/>
              <a:latin typeface="+mn-lt"/>
              <a:ea typeface="+mn-ea"/>
              <a:cs typeface="+mn-cs"/>
            </a:rPr>
            <a:t>Good Equilibrium (without DW Stigma)</a:t>
          </a:r>
          <a:endParaRPr lang="el-GR" sz="1000" b="0">
            <a:effectLst/>
          </a:endParaRPr>
        </a:p>
        <a:p xmlns:a="http://schemas.openxmlformats.org/drawingml/2006/main">
          <a:pPr algn="ctr"/>
          <a:endParaRPr lang="en-US" sz="2200" b="0" i="0" u="none" cap="none" spc="0" baseline="0">
            <a:ln w="12700">
              <a:solidFill>
                <a:schemeClr val="tx1"/>
              </a:solidFill>
              <a:prstDash val="solid"/>
            </a:ln>
            <a:solidFill>
              <a:schemeClr val="tx1"/>
            </a:solidFill>
            <a:effectLst/>
          </a:endParaRPr>
        </a:p>
      </cdr:txBody>
    </cdr:sp>
  </cdr:relSizeAnchor>
  <cdr:relSizeAnchor xmlns:cdr="http://schemas.openxmlformats.org/drawingml/2006/chartDrawing">
    <cdr:from>
      <cdr:x>0.56324</cdr:x>
      <cdr:y>0.30219</cdr:y>
    </cdr:from>
    <cdr:to>
      <cdr:x>0.94786</cdr:x>
      <cdr:y>0.45552</cdr:y>
    </cdr:to>
    <cdr:sp macro="" textlink="">
      <cdr:nvSpPr>
        <cdr:cNvPr id="8" name="Text Box 1"/>
        <cdr:cNvSpPr txBox="1"/>
      </cdr:nvSpPr>
      <cdr:spPr>
        <a:xfrm xmlns:a="http://schemas.openxmlformats.org/drawingml/2006/main">
          <a:off x="1673839" y="747219"/>
          <a:ext cx="1143014" cy="37913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en-US" sz="220">
            <a:solidFill>
              <a:srgbClr val="000090"/>
            </a:solidFill>
          </a:endParaRPr>
        </a:p>
        <a:p xmlns:a="http://schemas.openxmlformats.org/drawingml/2006/main">
          <a:r>
            <a:rPr lang="en-US" sz="700" b="1">
              <a:solidFill>
                <a:srgbClr val="000090"/>
              </a:solidFill>
              <a:latin typeface="+mn-lt"/>
              <a:ea typeface="+mn-ea"/>
              <a:cs typeface="+mn-cs"/>
            </a:rPr>
            <a:t>       </a:t>
          </a:r>
          <a:r>
            <a:rPr lang="en-US" sz="700" b="1">
              <a:solidFill>
                <a:srgbClr val="002060"/>
              </a:solidFill>
            </a:rPr>
            <a:t>Last</a:t>
          </a:r>
          <a:r>
            <a:rPr lang="en-US" sz="700" b="1">
              <a:solidFill>
                <a:srgbClr val="002060"/>
              </a:solidFill>
              <a:latin typeface="+mn-lt"/>
              <a:ea typeface="+mn-ea"/>
              <a:cs typeface="+mn-cs"/>
            </a:rPr>
            <a:t> </a:t>
          </a:r>
          <a:r>
            <a:rPr lang="en-US" sz="700" b="1">
              <a:solidFill>
                <a:srgbClr val="002060"/>
              </a:solidFill>
            </a:rPr>
            <a:t>10</a:t>
          </a:r>
          <a:r>
            <a:rPr lang="en-US" sz="700" b="1">
              <a:solidFill>
                <a:srgbClr val="002060"/>
              </a:solidFill>
              <a:latin typeface="+mn-lt"/>
              <a:ea typeface="+mn-ea"/>
              <a:cs typeface="+mn-cs"/>
            </a:rPr>
            <a:t> </a:t>
          </a:r>
          <a:r>
            <a:rPr lang="en-US" sz="700" b="1">
              <a:solidFill>
                <a:srgbClr val="002060"/>
              </a:solidFill>
            </a:rPr>
            <a:t>rounds:</a:t>
          </a:r>
          <a:r>
            <a:rPr lang="en-US" sz="700" b="1">
              <a:solidFill>
                <a:srgbClr val="002060"/>
              </a:solidFill>
              <a:latin typeface="+mn-lt"/>
              <a:ea typeface="+mn-ea"/>
              <a:cs typeface="+mn-cs"/>
            </a:rPr>
            <a:t> </a:t>
          </a:r>
          <a:r>
            <a:rPr lang="en-US" sz="700" b="1">
              <a:solidFill>
                <a:srgbClr val="002060"/>
              </a:solidFill>
            </a:rPr>
            <a:t>71%</a:t>
          </a:r>
          <a:r>
            <a:rPr lang="en-US" sz="700" b="1">
              <a:solidFill>
                <a:srgbClr val="002060"/>
              </a:solidFill>
              <a:latin typeface="+mn-lt"/>
              <a:ea typeface="+mn-ea"/>
              <a:cs typeface="+mn-cs"/>
            </a:rPr>
            <a:t> </a:t>
          </a:r>
          <a:endParaRPr lang="en-US" sz="700" b="1">
            <a:solidFill>
              <a:srgbClr val="002060"/>
            </a:solidFill>
          </a:endParaRPr>
        </a:p>
        <a:p xmlns:a="http://schemas.openxmlformats.org/drawingml/2006/main">
          <a:r>
            <a:rPr lang="en-US" sz="700" b="1">
              <a:solidFill>
                <a:schemeClr val="tx2">
                  <a:lumMod val="40000"/>
                  <a:lumOff val="60000"/>
                </a:schemeClr>
              </a:solidFill>
              <a:latin typeface="+mn-lt"/>
              <a:ea typeface="+mn-ea"/>
              <a:cs typeface="+mn-cs"/>
            </a:rPr>
            <a:t>       </a:t>
          </a:r>
          <a:r>
            <a:rPr lang="en-US" sz="700" b="1">
              <a:solidFill>
                <a:srgbClr val="00B0F0"/>
              </a:solidFill>
            </a:rPr>
            <a:t>Last</a:t>
          </a:r>
          <a:r>
            <a:rPr lang="en-US" sz="700" b="1">
              <a:solidFill>
                <a:srgbClr val="00B0F0"/>
              </a:solidFill>
              <a:latin typeface="+mn-lt"/>
              <a:ea typeface="+mn-ea"/>
              <a:cs typeface="+mn-cs"/>
            </a:rPr>
            <a:t> </a:t>
          </a:r>
          <a:r>
            <a:rPr lang="en-US" sz="700" b="1">
              <a:solidFill>
                <a:srgbClr val="00B0F0"/>
              </a:solidFill>
            </a:rPr>
            <a:t>10</a:t>
          </a:r>
          <a:r>
            <a:rPr lang="en-US" sz="700" b="1">
              <a:solidFill>
                <a:srgbClr val="00B0F0"/>
              </a:solidFill>
              <a:latin typeface="+mn-lt"/>
              <a:ea typeface="+mn-ea"/>
              <a:cs typeface="+mn-cs"/>
            </a:rPr>
            <a:t> </a:t>
          </a:r>
          <a:r>
            <a:rPr lang="en-US" sz="700" b="1">
              <a:solidFill>
                <a:srgbClr val="00B0F0"/>
              </a:solidFill>
            </a:rPr>
            <a:t>rounds:</a:t>
          </a:r>
          <a:r>
            <a:rPr lang="en-US" sz="700" b="1">
              <a:solidFill>
                <a:srgbClr val="00B0F0"/>
              </a:solidFill>
              <a:latin typeface="+mn-lt"/>
              <a:ea typeface="+mn-ea"/>
              <a:cs typeface="+mn-cs"/>
            </a:rPr>
            <a:t> </a:t>
          </a:r>
          <a:r>
            <a:rPr lang="en-US" sz="700" b="1">
              <a:solidFill>
                <a:srgbClr val="00B0F0"/>
              </a:solidFill>
            </a:rPr>
            <a:t>78%</a:t>
          </a:r>
        </a:p>
        <a:p xmlns:a="http://schemas.openxmlformats.org/drawingml/2006/main">
          <a:r>
            <a:rPr lang="en-US" sz="800">
              <a:solidFill>
                <a:srgbClr val="000090"/>
              </a:solidFill>
              <a:latin typeface="+mn-lt"/>
              <a:ea typeface="+mn-ea"/>
              <a:cs typeface="+mn-cs"/>
            </a:rPr>
            <a:t> </a:t>
          </a:r>
          <a:endParaRPr lang="en-US" sz="800">
            <a:solidFill>
              <a:srgbClr val="000090"/>
            </a:solidFill>
          </a:endParaRPr>
        </a:p>
      </cdr:txBody>
    </cdr:sp>
  </cdr:relSizeAnchor>
</c:userShapes>
</file>

<file path=word/drawings/drawing7.xml><?xml version="1.0" encoding="utf-8"?>
<c:userShapes xmlns:c="http://schemas.openxmlformats.org/drawingml/2006/chart">
  <cdr:relSizeAnchor xmlns:cdr="http://schemas.openxmlformats.org/drawingml/2006/chartDrawing">
    <cdr:from>
      <cdr:x>0.12624</cdr:x>
      <cdr:y>0.75975</cdr:y>
    </cdr:from>
    <cdr:to>
      <cdr:x>0.34813</cdr:x>
      <cdr:y>0.80058</cdr:y>
    </cdr:to>
    <cdr:sp macro="" textlink="">
      <cdr:nvSpPr>
        <cdr:cNvPr id="6" name="Rectangle 5"/>
        <cdr:cNvSpPr/>
      </cdr:nvSpPr>
      <cdr:spPr>
        <a:xfrm xmlns:a="http://schemas.openxmlformats.org/drawingml/2006/main">
          <a:off x="375150" y="1877188"/>
          <a:ext cx="659413" cy="100878"/>
        </a:xfrm>
        <a:prstGeom xmlns:a="http://schemas.openxmlformats.org/drawingml/2006/main" prst="rect">
          <a:avLst/>
        </a:prstGeom>
        <a:noFill xmlns:a="http://schemas.openxmlformats.org/drawingml/2006/main"/>
      </cdr:spPr>
      <cdr:txBody>
        <a:bodyPr xmlns:a="http://schemas.openxmlformats.org/drawingml/2006/main" wrap="none" lIns="2" tIns="45720" rIns="91440" bIns="45720">
          <a:noAutofit/>
        </a:bodyPr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marL="0" marR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endParaRPr lang="en-US" sz="400" b="0" baseline="30000">
            <a:effectLst/>
            <a:latin typeface="+mn-lt"/>
            <a:ea typeface="+mn-ea"/>
            <a:cs typeface="+mn-cs"/>
          </a:endParaRPr>
        </a:p>
        <a:p xmlns:a="http://schemas.openxmlformats.org/drawingml/2006/main">
          <a:pPr marL="0" marR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en-US" sz="800" b="0" baseline="30000">
              <a:effectLst/>
              <a:latin typeface="+mn-lt"/>
              <a:ea typeface="+mn-ea"/>
              <a:cs typeface="+mn-cs"/>
            </a:rPr>
            <a:t>             </a:t>
          </a:r>
          <a:r>
            <a:rPr lang="en-US" sz="1000" b="0" baseline="30000">
              <a:effectLst/>
              <a:latin typeface="+mn-lt"/>
              <a:ea typeface="+mn-ea"/>
              <a:cs typeface="+mn-cs"/>
            </a:rPr>
            <a:t>Equilibrium Strategy</a:t>
          </a:r>
          <a:endParaRPr lang="el-GR" sz="1000" b="0">
            <a:effectLst/>
          </a:endParaRPr>
        </a:p>
      </cdr:txBody>
    </cdr:sp>
  </cdr:relSizeAnchor>
  <cdr:relSizeAnchor xmlns:cdr="http://schemas.openxmlformats.org/drawingml/2006/chartDrawing">
    <cdr:from>
      <cdr:x>0.67638</cdr:x>
      <cdr:y>0.05501</cdr:y>
    </cdr:from>
    <cdr:to>
      <cdr:x>0.95369</cdr:x>
      <cdr:y>0.14525</cdr:y>
    </cdr:to>
    <cdr:sp macro="" textlink="">
      <cdr:nvSpPr>
        <cdr:cNvPr id="7" name="Rectangle 6"/>
        <cdr:cNvSpPr/>
      </cdr:nvSpPr>
      <cdr:spPr>
        <a:xfrm xmlns:a="http://schemas.openxmlformats.org/drawingml/2006/main">
          <a:off x="2010054" y="135923"/>
          <a:ext cx="824110" cy="222955"/>
        </a:xfrm>
        <a:prstGeom xmlns:a="http://schemas.openxmlformats.org/drawingml/2006/main" prst="rect">
          <a:avLst/>
        </a:prstGeom>
        <a:noFill xmlns:a="http://schemas.openxmlformats.org/drawingml/2006/main"/>
      </cdr:spPr>
      <cdr:txBody>
        <a:bodyPr xmlns:a="http://schemas.openxmlformats.org/drawingml/2006/main" wrap="none" lIns="2" tIns="45720" rIns="91440" bIns="45720">
          <a:noAutofit/>
        </a:bodyPr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marL="0" marR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endParaRPr lang="en-US" sz="600" b="0" baseline="30000">
            <a:effectLst/>
            <a:latin typeface="+mn-lt"/>
            <a:ea typeface="+mn-ea"/>
            <a:cs typeface="+mn-cs"/>
          </a:endParaRPr>
        </a:p>
        <a:p xmlns:a="http://schemas.openxmlformats.org/drawingml/2006/main">
          <a:pPr marL="0" marR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en-US" sz="800" b="0" baseline="30000">
              <a:effectLst/>
              <a:latin typeface="+mn-lt"/>
              <a:ea typeface="+mn-ea"/>
              <a:cs typeface="+mn-cs"/>
            </a:rPr>
            <a:t>           </a:t>
          </a:r>
          <a:r>
            <a:rPr lang="en-US" sz="1000" b="0" baseline="30000">
              <a:effectLst/>
              <a:latin typeface="+mn-lt"/>
              <a:ea typeface="+mn-ea"/>
              <a:cs typeface="+mn-cs"/>
            </a:rPr>
            <a:t>Equilibrium Strategy</a:t>
          </a:r>
          <a:endParaRPr lang="en-US" sz="1000" b="0" i="0" u="none" cap="none" spc="0" baseline="0">
            <a:ln w="12700">
              <a:solidFill>
                <a:schemeClr val="tx1"/>
              </a:solidFill>
              <a:prstDash val="solid"/>
            </a:ln>
            <a:solidFill>
              <a:schemeClr val="tx1"/>
            </a:solidFill>
            <a:effectLst/>
          </a:endParaRPr>
        </a:p>
      </cdr:txBody>
    </cdr:sp>
  </cdr:relSizeAnchor>
  <cdr:relSizeAnchor xmlns:cdr="http://schemas.openxmlformats.org/drawingml/2006/chartDrawing">
    <cdr:from>
      <cdr:x>0.6126</cdr:x>
      <cdr:y>0.61828</cdr:y>
    </cdr:from>
    <cdr:to>
      <cdr:x>0.95875</cdr:x>
      <cdr:y>0.73378</cdr:y>
    </cdr:to>
    <cdr:sp macro="" textlink="">
      <cdr:nvSpPr>
        <cdr:cNvPr id="8" name="Text Box 1"/>
        <cdr:cNvSpPr txBox="1"/>
      </cdr:nvSpPr>
      <cdr:spPr>
        <a:xfrm xmlns:a="http://schemas.openxmlformats.org/drawingml/2006/main">
          <a:off x="1820528" y="1527649"/>
          <a:ext cx="1028688" cy="2853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700" b="1">
              <a:solidFill>
                <a:srgbClr val="FF0000"/>
              </a:solidFill>
              <a:latin typeface="+mn-lt"/>
              <a:ea typeface="+mn-ea"/>
              <a:cs typeface="+mn-cs"/>
            </a:rPr>
            <a:t>   </a:t>
          </a:r>
          <a:r>
            <a:rPr lang="en-US" sz="700" b="1">
              <a:solidFill>
                <a:srgbClr val="FF9300"/>
              </a:solidFill>
            </a:rPr>
            <a:t>Last</a:t>
          </a:r>
          <a:r>
            <a:rPr lang="en-US" sz="700" b="1">
              <a:solidFill>
                <a:srgbClr val="FF9300"/>
              </a:solidFill>
              <a:latin typeface="+mn-lt"/>
              <a:ea typeface="+mn-ea"/>
              <a:cs typeface="+mn-cs"/>
            </a:rPr>
            <a:t> </a:t>
          </a:r>
          <a:r>
            <a:rPr lang="en-US" sz="700" b="1">
              <a:solidFill>
                <a:srgbClr val="FF9300"/>
              </a:solidFill>
            </a:rPr>
            <a:t>10</a:t>
          </a:r>
          <a:r>
            <a:rPr lang="en-US" sz="700" b="1">
              <a:solidFill>
                <a:srgbClr val="FF9300"/>
              </a:solidFill>
              <a:latin typeface="+mn-lt"/>
              <a:ea typeface="+mn-ea"/>
              <a:cs typeface="+mn-cs"/>
            </a:rPr>
            <a:t> </a:t>
          </a:r>
          <a:r>
            <a:rPr lang="en-US" sz="700" b="1" baseline="0">
              <a:solidFill>
                <a:srgbClr val="FF9300"/>
              </a:solidFill>
            </a:rPr>
            <a:t>roun</a:t>
          </a:r>
          <a:r>
            <a:rPr lang="en-US" sz="700" b="1">
              <a:solidFill>
                <a:srgbClr val="FF9300"/>
              </a:solidFill>
            </a:rPr>
            <a:t>ds:</a:t>
          </a:r>
          <a:r>
            <a:rPr lang="en-US" sz="700" b="1">
              <a:solidFill>
                <a:srgbClr val="FF9300"/>
              </a:solidFill>
              <a:latin typeface="+mn-lt"/>
              <a:ea typeface="+mn-ea"/>
              <a:cs typeface="+mn-cs"/>
            </a:rPr>
            <a:t> </a:t>
          </a:r>
          <a:r>
            <a:rPr lang="en-US" sz="700" b="1">
              <a:solidFill>
                <a:srgbClr val="FF9300"/>
              </a:solidFill>
            </a:rPr>
            <a:t>16%</a:t>
          </a:r>
        </a:p>
        <a:p xmlns:a="http://schemas.openxmlformats.org/drawingml/2006/main">
          <a:endParaRPr lang="en-US" sz="1100"/>
        </a:p>
      </cdr:txBody>
    </cdr:sp>
  </cdr:relSizeAnchor>
  <cdr:relSizeAnchor xmlns:cdr="http://schemas.openxmlformats.org/drawingml/2006/chartDrawing">
    <cdr:from>
      <cdr:x>0.62014</cdr:x>
      <cdr:y>0.25609</cdr:y>
    </cdr:from>
    <cdr:to>
      <cdr:x>0.96629</cdr:x>
      <cdr:y>0.37185</cdr:y>
    </cdr:to>
    <cdr:sp macro="" textlink="">
      <cdr:nvSpPr>
        <cdr:cNvPr id="9" name="Text Box 1"/>
        <cdr:cNvSpPr txBox="1"/>
      </cdr:nvSpPr>
      <cdr:spPr>
        <a:xfrm xmlns:a="http://schemas.openxmlformats.org/drawingml/2006/main">
          <a:off x="1842920" y="632748"/>
          <a:ext cx="1028689" cy="28600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600" b="1">
              <a:solidFill>
                <a:srgbClr val="FF6600"/>
              </a:solidFill>
              <a:latin typeface="+mn-lt"/>
              <a:ea typeface="+mn-ea"/>
              <a:cs typeface="+mn-cs"/>
            </a:rPr>
            <a:t>  </a:t>
          </a:r>
          <a:endParaRPr lang="en-US" sz="600" b="1">
            <a:solidFill>
              <a:srgbClr val="FF6600"/>
            </a:solidFill>
          </a:endParaRPr>
        </a:p>
        <a:p xmlns:a="http://schemas.openxmlformats.org/drawingml/2006/main">
          <a:r>
            <a:rPr lang="en-US" sz="600" b="1">
              <a:solidFill>
                <a:srgbClr val="FF6600"/>
              </a:solidFill>
              <a:latin typeface="+mn-lt"/>
              <a:ea typeface="+mn-ea"/>
              <a:cs typeface="+mn-cs"/>
            </a:rPr>
            <a:t>   </a:t>
          </a:r>
          <a:r>
            <a:rPr lang="en-US" sz="700" b="1">
              <a:solidFill>
                <a:srgbClr val="FF0000"/>
              </a:solidFill>
            </a:rPr>
            <a:t>Last</a:t>
          </a:r>
          <a:r>
            <a:rPr lang="en-US" sz="700" b="1">
              <a:solidFill>
                <a:srgbClr val="FF0000"/>
              </a:solidFill>
              <a:latin typeface="+mn-lt"/>
              <a:ea typeface="+mn-ea"/>
              <a:cs typeface="+mn-cs"/>
            </a:rPr>
            <a:t> </a:t>
          </a:r>
          <a:r>
            <a:rPr lang="en-US" sz="700" b="1">
              <a:solidFill>
                <a:srgbClr val="FF0000"/>
              </a:solidFill>
            </a:rPr>
            <a:t>10</a:t>
          </a:r>
          <a:r>
            <a:rPr lang="en-US" sz="700" b="1">
              <a:solidFill>
                <a:srgbClr val="FF0000"/>
              </a:solidFill>
              <a:latin typeface="+mn-lt"/>
              <a:ea typeface="+mn-ea"/>
              <a:cs typeface="+mn-cs"/>
            </a:rPr>
            <a:t> </a:t>
          </a:r>
          <a:r>
            <a:rPr lang="en-US" sz="700" b="1">
              <a:solidFill>
                <a:srgbClr val="FF0000"/>
              </a:solidFill>
            </a:rPr>
            <a:t>rounds:</a:t>
          </a:r>
          <a:r>
            <a:rPr lang="en-US" sz="700" b="1">
              <a:solidFill>
                <a:srgbClr val="FF0000"/>
              </a:solidFill>
              <a:latin typeface="+mn-lt"/>
              <a:ea typeface="+mn-ea"/>
              <a:cs typeface="+mn-cs"/>
            </a:rPr>
            <a:t> </a:t>
          </a:r>
          <a:r>
            <a:rPr lang="en-US" sz="700" b="1">
              <a:solidFill>
                <a:srgbClr val="FF0000"/>
              </a:solidFill>
            </a:rPr>
            <a:t>84%</a:t>
          </a:r>
          <a:r>
            <a:rPr lang="en-US" sz="700" b="1">
              <a:solidFill>
                <a:srgbClr val="FF0000"/>
              </a:solidFill>
              <a:latin typeface="+mn-lt"/>
              <a:ea typeface="+mn-ea"/>
              <a:cs typeface="+mn-cs"/>
            </a:rPr>
            <a:t> </a:t>
          </a:r>
          <a:endParaRPr lang="en-US" sz="600">
            <a:solidFill>
              <a:srgbClr val="FF0000"/>
            </a:solidFill>
          </a:endParaRPr>
        </a:p>
      </cdr:txBody>
    </cdr:sp>
  </cdr:relSizeAnchor>
</c:userShapes>
</file>

<file path=word/drawings/drawing8.xml><?xml version="1.0" encoding="utf-8"?>
<c:userShapes xmlns:c="http://schemas.openxmlformats.org/drawingml/2006/chart">
  <cdr:relSizeAnchor xmlns:cdr="http://schemas.openxmlformats.org/drawingml/2006/chartDrawing">
    <cdr:from>
      <cdr:x>0.59238</cdr:x>
      <cdr:y>0.06961</cdr:y>
    </cdr:from>
    <cdr:to>
      <cdr:x>0.86806</cdr:x>
      <cdr:y>0.11365</cdr:y>
    </cdr:to>
    <cdr:sp macro="" textlink="">
      <cdr:nvSpPr>
        <cdr:cNvPr id="6" name="Rectangle 3"/>
        <cdr:cNvSpPr/>
      </cdr:nvSpPr>
      <cdr:spPr>
        <a:xfrm xmlns:a="http://schemas.openxmlformats.org/drawingml/2006/main">
          <a:off x="1760425" y="172119"/>
          <a:ext cx="819266" cy="108898"/>
        </a:xfrm>
        <a:prstGeom xmlns:a="http://schemas.openxmlformats.org/drawingml/2006/main" prst="rect">
          <a:avLst/>
        </a:prstGeom>
        <a:noFill xmlns:a="http://schemas.openxmlformats.org/drawingml/2006/main"/>
      </cdr:spPr>
      <cdr:txBody>
        <a:bodyPr xmlns:a="http://schemas.openxmlformats.org/drawingml/2006/main" wrap="none" lIns="2" tIns="45720" rIns="91440" bIns="45720">
          <a:noAutofit/>
        </a:bodyPr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marL="0" marR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endParaRPr lang="en-US" sz="200" b="0" baseline="30000">
            <a:effectLst/>
            <a:latin typeface="+mn-lt"/>
            <a:ea typeface="+mn-ea"/>
            <a:cs typeface="+mn-cs"/>
          </a:endParaRPr>
        </a:p>
        <a:p xmlns:a="http://schemas.openxmlformats.org/drawingml/2006/main">
          <a:pPr marL="0" marR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en-US" sz="1000" b="0" baseline="30000">
              <a:effectLst/>
              <a:latin typeface="+mn-lt"/>
              <a:ea typeface="+mn-ea"/>
              <a:cs typeface="+mn-cs"/>
            </a:rPr>
            <a:t>Good Equilibrium (without DW Stigma)</a:t>
          </a:r>
          <a:endParaRPr lang="el-GR" sz="1000" b="0">
            <a:effectLst/>
          </a:endParaRPr>
        </a:p>
        <a:p xmlns:a="http://schemas.openxmlformats.org/drawingml/2006/main">
          <a:pPr algn="ctr"/>
          <a:endParaRPr lang="en-US" sz="2200" b="0" i="0" u="none" cap="none" spc="0" baseline="0">
            <a:ln w="12700">
              <a:solidFill>
                <a:schemeClr val="tx1"/>
              </a:solidFill>
              <a:prstDash val="solid"/>
            </a:ln>
            <a:solidFill>
              <a:schemeClr val="tx1"/>
            </a:solidFill>
            <a:effectLst/>
          </a:endParaRPr>
        </a:p>
      </cdr:txBody>
    </cdr:sp>
  </cdr:relSizeAnchor>
  <cdr:relSizeAnchor xmlns:cdr="http://schemas.openxmlformats.org/drawingml/2006/chartDrawing">
    <cdr:from>
      <cdr:x>0.21899</cdr:x>
      <cdr:y>0.75889</cdr:y>
    </cdr:from>
    <cdr:to>
      <cdr:x>0.46583</cdr:x>
      <cdr:y>0.79775</cdr:y>
    </cdr:to>
    <cdr:sp macro="" textlink="">
      <cdr:nvSpPr>
        <cdr:cNvPr id="7" name="Rectangle 4"/>
        <cdr:cNvSpPr/>
      </cdr:nvSpPr>
      <cdr:spPr>
        <a:xfrm xmlns:a="http://schemas.openxmlformats.org/drawingml/2006/main">
          <a:off x="650797" y="1876492"/>
          <a:ext cx="733559" cy="96089"/>
        </a:xfrm>
        <a:prstGeom xmlns:a="http://schemas.openxmlformats.org/drawingml/2006/main" prst="rect">
          <a:avLst/>
        </a:prstGeom>
        <a:noFill xmlns:a="http://schemas.openxmlformats.org/drawingml/2006/main"/>
      </cdr:spPr>
      <cdr:txBody>
        <a:bodyPr xmlns:a="http://schemas.openxmlformats.org/drawingml/2006/main" wrap="none" lIns="2" tIns="45720" rIns="91440" bIns="45720">
          <a:noAutofit/>
        </a:bodyPr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marL="0" marR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endParaRPr lang="en-US" sz="400" b="0" baseline="30000">
            <a:effectLst/>
            <a:latin typeface="+mn-lt"/>
            <a:ea typeface="+mn-ea"/>
            <a:cs typeface="+mn-cs"/>
          </a:endParaRPr>
        </a:p>
        <a:p xmlns:a="http://schemas.openxmlformats.org/drawingml/2006/main">
          <a:pPr marL="0" marR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en-US" sz="1000" b="0" baseline="30000">
              <a:effectLst/>
              <a:latin typeface="+mn-lt"/>
              <a:ea typeface="+mn-ea"/>
              <a:cs typeface="+mn-cs"/>
            </a:rPr>
            <a:t>Bad Equilibrium (with DW Stigma)</a:t>
          </a:r>
          <a:endParaRPr lang="el-GR" sz="1000" b="0">
            <a:effectLst/>
          </a:endParaRPr>
        </a:p>
      </cdr:txBody>
    </cdr:sp>
  </cdr:relSizeAnchor>
  <cdr:relSizeAnchor xmlns:cdr="http://schemas.openxmlformats.org/drawingml/2006/chartDrawing">
    <cdr:from>
      <cdr:x>0.58522</cdr:x>
      <cdr:y>0.4052</cdr:y>
    </cdr:from>
    <cdr:to>
      <cdr:x>0.96984</cdr:x>
      <cdr:y>0.55853</cdr:y>
    </cdr:to>
    <cdr:sp macro="" textlink="">
      <cdr:nvSpPr>
        <cdr:cNvPr id="8" name="Text Box 1"/>
        <cdr:cNvSpPr txBox="1"/>
      </cdr:nvSpPr>
      <cdr:spPr>
        <a:xfrm xmlns:a="http://schemas.openxmlformats.org/drawingml/2006/main">
          <a:off x="1739153" y="1001944"/>
          <a:ext cx="1143014" cy="37913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en-US" sz="400">
            <a:solidFill>
              <a:srgbClr val="000090"/>
            </a:solidFill>
          </a:endParaRPr>
        </a:p>
        <a:p xmlns:a="http://schemas.openxmlformats.org/drawingml/2006/main">
          <a:r>
            <a:rPr lang="en-US" sz="700" b="1">
              <a:solidFill>
                <a:srgbClr val="000090"/>
              </a:solidFill>
              <a:latin typeface="+mn-lt"/>
              <a:ea typeface="+mn-ea"/>
              <a:cs typeface="+mn-cs"/>
            </a:rPr>
            <a:t>        </a:t>
          </a:r>
          <a:r>
            <a:rPr lang="en-US" sz="700" b="1">
              <a:solidFill>
                <a:srgbClr val="002060"/>
              </a:solidFill>
            </a:rPr>
            <a:t>Last</a:t>
          </a:r>
          <a:r>
            <a:rPr lang="en-US" sz="700" b="1">
              <a:solidFill>
                <a:srgbClr val="002060"/>
              </a:solidFill>
              <a:latin typeface="+mn-lt"/>
              <a:ea typeface="+mn-ea"/>
              <a:cs typeface="+mn-cs"/>
            </a:rPr>
            <a:t> </a:t>
          </a:r>
          <a:r>
            <a:rPr lang="en-US" sz="700" b="1">
              <a:solidFill>
                <a:srgbClr val="002060"/>
              </a:solidFill>
            </a:rPr>
            <a:t>10</a:t>
          </a:r>
          <a:r>
            <a:rPr lang="en-US" sz="700" b="1">
              <a:solidFill>
                <a:srgbClr val="002060"/>
              </a:solidFill>
              <a:latin typeface="+mn-lt"/>
              <a:ea typeface="+mn-ea"/>
              <a:cs typeface="+mn-cs"/>
            </a:rPr>
            <a:t> </a:t>
          </a:r>
          <a:r>
            <a:rPr lang="en-US" sz="700" b="1">
              <a:solidFill>
                <a:srgbClr val="002060"/>
              </a:solidFill>
            </a:rPr>
            <a:t>rounds:</a:t>
          </a:r>
          <a:r>
            <a:rPr lang="en-US" sz="700" b="1">
              <a:solidFill>
                <a:srgbClr val="002060"/>
              </a:solidFill>
              <a:latin typeface="+mn-lt"/>
              <a:ea typeface="+mn-ea"/>
              <a:cs typeface="+mn-cs"/>
            </a:rPr>
            <a:t> </a:t>
          </a:r>
          <a:r>
            <a:rPr lang="en-US" sz="700" b="1">
              <a:solidFill>
                <a:srgbClr val="002060"/>
              </a:solidFill>
            </a:rPr>
            <a:t>27%</a:t>
          </a:r>
          <a:r>
            <a:rPr lang="en-US" sz="700" b="1">
              <a:solidFill>
                <a:srgbClr val="002060"/>
              </a:solidFill>
              <a:latin typeface="+mn-lt"/>
              <a:ea typeface="+mn-ea"/>
              <a:cs typeface="+mn-cs"/>
            </a:rPr>
            <a:t> </a:t>
          </a:r>
          <a:endParaRPr lang="en-US" sz="700" b="1">
            <a:solidFill>
              <a:srgbClr val="002060"/>
            </a:solidFill>
          </a:endParaRPr>
        </a:p>
        <a:p xmlns:a="http://schemas.openxmlformats.org/drawingml/2006/main">
          <a:r>
            <a:rPr lang="en-US" sz="700" b="1">
              <a:solidFill>
                <a:schemeClr val="tx2">
                  <a:lumMod val="40000"/>
                  <a:lumOff val="60000"/>
                </a:schemeClr>
              </a:solidFill>
              <a:latin typeface="+mn-lt"/>
              <a:ea typeface="+mn-ea"/>
              <a:cs typeface="+mn-cs"/>
            </a:rPr>
            <a:t>        </a:t>
          </a:r>
          <a:r>
            <a:rPr lang="en-US" sz="700" b="1">
              <a:solidFill>
                <a:srgbClr val="00B0F0"/>
              </a:solidFill>
            </a:rPr>
            <a:t>Last</a:t>
          </a:r>
          <a:r>
            <a:rPr lang="en-US" sz="700" b="1">
              <a:solidFill>
                <a:srgbClr val="00B0F0"/>
              </a:solidFill>
              <a:latin typeface="+mn-lt"/>
              <a:ea typeface="+mn-ea"/>
              <a:cs typeface="+mn-cs"/>
            </a:rPr>
            <a:t> </a:t>
          </a:r>
          <a:r>
            <a:rPr lang="en-US" sz="700" b="1">
              <a:solidFill>
                <a:srgbClr val="00B0F0"/>
              </a:solidFill>
            </a:rPr>
            <a:t>10</a:t>
          </a:r>
          <a:r>
            <a:rPr lang="en-US" sz="700" b="1">
              <a:solidFill>
                <a:srgbClr val="00B0F0"/>
              </a:solidFill>
              <a:latin typeface="+mn-lt"/>
              <a:ea typeface="+mn-ea"/>
              <a:cs typeface="+mn-cs"/>
            </a:rPr>
            <a:t> </a:t>
          </a:r>
          <a:r>
            <a:rPr lang="en-US" sz="700" b="1">
              <a:solidFill>
                <a:srgbClr val="00B0F0"/>
              </a:solidFill>
            </a:rPr>
            <a:t>rounds:</a:t>
          </a:r>
          <a:r>
            <a:rPr lang="en-US" sz="700" b="1">
              <a:solidFill>
                <a:srgbClr val="00B0F0"/>
              </a:solidFill>
              <a:latin typeface="+mn-lt"/>
              <a:ea typeface="+mn-ea"/>
              <a:cs typeface="+mn-cs"/>
            </a:rPr>
            <a:t> </a:t>
          </a:r>
          <a:r>
            <a:rPr lang="en-US" sz="700" b="1">
              <a:solidFill>
                <a:srgbClr val="00B0F0"/>
              </a:solidFill>
            </a:rPr>
            <a:t>28%</a:t>
          </a:r>
        </a:p>
        <a:p xmlns:a="http://schemas.openxmlformats.org/drawingml/2006/main">
          <a:r>
            <a:rPr lang="en-US" sz="800">
              <a:solidFill>
                <a:srgbClr val="000090"/>
              </a:solidFill>
              <a:latin typeface="+mn-lt"/>
              <a:ea typeface="+mn-ea"/>
              <a:cs typeface="+mn-cs"/>
            </a:rPr>
            <a:t> </a:t>
          </a:r>
          <a:endParaRPr lang="en-US" sz="800">
            <a:solidFill>
              <a:srgbClr val="000090"/>
            </a:solidFill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139601-4899-4252-8EC3-1CB09419B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15155</Words>
  <Characters>86387</Characters>
  <Application>Microsoft Office Word</Application>
  <DocSecurity>4</DocSecurity>
  <Lines>719</Lines>
  <Paragraphs>202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FRBNY</dc:creator>
  <cp:keywords/>
  <dc:description/>
  <cp:lastModifiedBy>Stanford, Debby Jeanne (djb4c)</cp:lastModifiedBy>
  <cp:revision>2</cp:revision>
  <cp:lastPrinted>2018-09-10T11:41:00Z</cp:lastPrinted>
  <dcterms:created xsi:type="dcterms:W3CDTF">2018-09-10T11:47:00Z</dcterms:created>
  <dcterms:modified xsi:type="dcterms:W3CDTF">2018-09-10T11:47:00Z</dcterms:modified>
</cp:coreProperties>
</file>